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D3A5" w14:textId="5FB5FC11" w:rsidR="00392C3C" w:rsidRPr="00650F05" w:rsidRDefault="00C405F8" w:rsidP="00392C3C">
      <w:pPr>
        <w:jc w:val="both"/>
        <w:rPr>
          <w:rFonts w:ascii="Tahoma" w:hAnsi="Tahoma"/>
          <w:b/>
          <w:bCs/>
        </w:rPr>
      </w:pPr>
      <w:r w:rsidRPr="00650F05">
        <w:rPr>
          <w:rFonts w:ascii="Tahoma" w:hAnsi="Tahoma"/>
          <w:b/>
          <w:bCs/>
        </w:rPr>
        <w:t>‘</w:t>
      </w:r>
      <w:r w:rsidR="00060798" w:rsidRPr="00650F05">
        <w:rPr>
          <w:rFonts w:ascii="Tahoma" w:hAnsi="Tahoma"/>
          <w:b/>
          <w:bCs/>
        </w:rPr>
        <w:t>Looking Forward</w:t>
      </w:r>
      <w:r w:rsidRPr="00650F05">
        <w:rPr>
          <w:rFonts w:ascii="Tahoma" w:hAnsi="Tahoma"/>
          <w:b/>
          <w:bCs/>
        </w:rPr>
        <w:t>’</w:t>
      </w:r>
      <w:r w:rsidR="00392C3C" w:rsidRPr="00650F05">
        <w:rPr>
          <w:rFonts w:ascii="Tahoma" w:hAnsi="Tahoma"/>
          <w:b/>
          <w:bCs/>
        </w:rPr>
        <w:t xml:space="preserve">: Non-Traditional Students Perceptions of their Readiness and Preparedness for </w:t>
      </w:r>
      <w:r w:rsidR="003E75F0" w:rsidRPr="00650F05">
        <w:rPr>
          <w:rFonts w:ascii="Tahoma" w:hAnsi="Tahoma"/>
          <w:b/>
          <w:bCs/>
        </w:rPr>
        <w:t xml:space="preserve">the </w:t>
      </w:r>
      <w:r w:rsidR="00392C3C" w:rsidRPr="00650F05">
        <w:rPr>
          <w:rFonts w:ascii="Tahoma" w:hAnsi="Tahoma"/>
          <w:b/>
          <w:bCs/>
        </w:rPr>
        <w:t>Transition to Work after Graduation</w:t>
      </w:r>
    </w:p>
    <w:p w14:paraId="779B3DD9" w14:textId="77777777" w:rsidR="00392C3C" w:rsidRPr="00650F05" w:rsidRDefault="00392C3C" w:rsidP="00392C3C">
      <w:pPr>
        <w:rPr>
          <w:rFonts w:ascii="Tahoma" w:hAnsi="Tahoma"/>
        </w:rPr>
      </w:pPr>
    </w:p>
    <w:p w14:paraId="19A0B707" w14:textId="77777777" w:rsidR="00392C3C" w:rsidRPr="00650F05" w:rsidRDefault="00392C3C" w:rsidP="00392C3C">
      <w:pPr>
        <w:rPr>
          <w:rFonts w:ascii="Tahoma" w:hAnsi="Tahoma"/>
        </w:rPr>
      </w:pPr>
    </w:p>
    <w:p w14:paraId="459A517F" w14:textId="77777777" w:rsidR="00392C3C" w:rsidRPr="00650F05" w:rsidRDefault="00392C3C" w:rsidP="00392C3C">
      <w:pPr>
        <w:spacing w:after="0" w:line="240" w:lineRule="auto"/>
        <w:rPr>
          <w:rFonts w:ascii="Tahoma" w:hAnsi="Tahoma"/>
        </w:rPr>
      </w:pPr>
      <w:r w:rsidRPr="00650F05">
        <w:rPr>
          <w:rFonts w:ascii="Tahoma" w:hAnsi="Tahoma"/>
        </w:rPr>
        <w:t>Ashley J.G. Gill</w:t>
      </w:r>
    </w:p>
    <w:p w14:paraId="4C3559B1" w14:textId="77777777" w:rsidR="00392C3C" w:rsidRPr="00650F05" w:rsidRDefault="00392C3C" w:rsidP="00392C3C">
      <w:pPr>
        <w:spacing w:after="0" w:line="240" w:lineRule="auto"/>
        <w:rPr>
          <w:rFonts w:ascii="Tahoma" w:hAnsi="Tahoma"/>
        </w:rPr>
      </w:pPr>
      <w:r w:rsidRPr="00650F05">
        <w:rPr>
          <w:rFonts w:ascii="Tahoma" w:hAnsi="Tahoma"/>
        </w:rPr>
        <w:t>Staffordshire University</w:t>
      </w:r>
    </w:p>
    <w:p w14:paraId="35BEAC00" w14:textId="77777777" w:rsidR="00392C3C" w:rsidRPr="00650F05" w:rsidRDefault="00392C3C" w:rsidP="00392C3C">
      <w:pPr>
        <w:spacing w:after="0" w:line="240" w:lineRule="auto"/>
        <w:rPr>
          <w:rFonts w:ascii="Tahoma" w:hAnsi="Tahoma"/>
        </w:rPr>
      </w:pPr>
      <w:r w:rsidRPr="00650F05">
        <w:rPr>
          <w:rFonts w:ascii="Tahoma" w:hAnsi="Tahoma"/>
        </w:rPr>
        <w:t>Stoke on Trent</w:t>
      </w:r>
    </w:p>
    <w:p w14:paraId="6ED94786" w14:textId="77777777" w:rsidR="00392C3C" w:rsidRPr="00650F05" w:rsidRDefault="00392C3C" w:rsidP="00392C3C">
      <w:pPr>
        <w:spacing w:after="0" w:line="240" w:lineRule="auto"/>
        <w:rPr>
          <w:rFonts w:ascii="Tahoma" w:hAnsi="Tahoma"/>
        </w:rPr>
      </w:pPr>
      <w:r w:rsidRPr="00650F05">
        <w:rPr>
          <w:rFonts w:ascii="Tahoma" w:hAnsi="Tahoma"/>
        </w:rPr>
        <w:t>ST4 2DE</w:t>
      </w:r>
    </w:p>
    <w:p w14:paraId="7DA432BD" w14:textId="77777777" w:rsidR="00392C3C" w:rsidRPr="00650F05" w:rsidRDefault="00392C3C" w:rsidP="00392C3C">
      <w:pPr>
        <w:spacing w:after="0" w:line="240" w:lineRule="auto"/>
        <w:rPr>
          <w:rFonts w:ascii="Tahoma" w:hAnsi="Tahoma"/>
        </w:rPr>
      </w:pPr>
    </w:p>
    <w:p w14:paraId="2099E37B" w14:textId="21CBE57B" w:rsidR="00392C3C" w:rsidRPr="00650F05" w:rsidRDefault="00392C3C" w:rsidP="00392C3C">
      <w:pPr>
        <w:spacing w:after="0" w:line="240" w:lineRule="auto"/>
        <w:rPr>
          <w:rFonts w:ascii="Tahoma" w:hAnsi="Tahoma"/>
        </w:rPr>
      </w:pPr>
      <w:r w:rsidRPr="00650F05">
        <w:rPr>
          <w:rFonts w:ascii="Tahoma" w:hAnsi="Tahoma"/>
        </w:rPr>
        <w:t>(</w:t>
      </w:r>
      <w:hyperlink r:id="rId11" w:history="1">
        <w:r w:rsidR="0060595C" w:rsidRPr="00650F05">
          <w:rPr>
            <w:rStyle w:val="Hyperlink"/>
            <w:rFonts w:ascii="Tahoma" w:hAnsi="Tahoma"/>
          </w:rPr>
          <w:t>Ashley.Gill1@staffs.ac.uk</w:t>
        </w:r>
      </w:hyperlink>
      <w:r w:rsidRPr="00650F05">
        <w:rPr>
          <w:rFonts w:ascii="Tahoma" w:hAnsi="Tahoma"/>
        </w:rPr>
        <w:t xml:space="preserve">) </w:t>
      </w:r>
    </w:p>
    <w:p w14:paraId="4AB8ACA4" w14:textId="77777777" w:rsidR="00392C3C" w:rsidRPr="00650F05" w:rsidRDefault="00392C3C" w:rsidP="00392C3C">
      <w:pPr>
        <w:rPr>
          <w:rFonts w:ascii="Tahoma" w:hAnsi="Tahoma"/>
        </w:rPr>
      </w:pPr>
    </w:p>
    <w:p w14:paraId="29C3E9F1" w14:textId="77777777" w:rsidR="00392C3C" w:rsidRPr="00650F05" w:rsidRDefault="00392C3C" w:rsidP="00392C3C">
      <w:pPr>
        <w:rPr>
          <w:rFonts w:ascii="Tahoma" w:hAnsi="Tahoma"/>
        </w:rPr>
      </w:pPr>
    </w:p>
    <w:p w14:paraId="5BF29EA3" w14:textId="77777777" w:rsidR="00392C3C" w:rsidRPr="00650F05" w:rsidRDefault="00392C3C" w:rsidP="00392C3C">
      <w:pPr>
        <w:rPr>
          <w:rFonts w:ascii="Tahoma" w:hAnsi="Tahoma"/>
        </w:rPr>
      </w:pPr>
    </w:p>
    <w:p w14:paraId="121B1C77" w14:textId="77777777" w:rsidR="00857A93" w:rsidRPr="00650F05" w:rsidRDefault="00392C3C" w:rsidP="00392C3C">
      <w:pPr>
        <w:rPr>
          <w:rFonts w:ascii="Tahoma" w:hAnsi="Tahoma"/>
          <w:b/>
          <w:bCs/>
        </w:rPr>
      </w:pPr>
      <w:r w:rsidRPr="00650F05">
        <w:rPr>
          <w:rFonts w:ascii="Tahoma" w:hAnsi="Tahoma"/>
          <w:b/>
          <w:bCs/>
        </w:rPr>
        <w:t>Abstract</w:t>
      </w:r>
    </w:p>
    <w:p w14:paraId="5EFA77FB" w14:textId="333C0B4E" w:rsidR="008E5F3A" w:rsidRPr="00650F05" w:rsidRDefault="00857A93" w:rsidP="00857A93">
      <w:pPr>
        <w:jc w:val="both"/>
        <w:rPr>
          <w:rFonts w:ascii="Tahoma" w:hAnsi="Tahoma"/>
        </w:rPr>
      </w:pPr>
      <w:r w:rsidRPr="00650F05">
        <w:rPr>
          <w:rFonts w:ascii="Tahoma" w:hAnsi="Tahoma"/>
        </w:rPr>
        <w:t xml:space="preserve">This </w:t>
      </w:r>
      <w:r w:rsidR="002A60D8" w:rsidRPr="00650F05">
        <w:rPr>
          <w:rFonts w:ascii="Tahoma" w:hAnsi="Tahoma"/>
        </w:rPr>
        <w:t>study</w:t>
      </w:r>
      <w:r w:rsidRPr="00650F05">
        <w:rPr>
          <w:rFonts w:ascii="Tahoma" w:hAnsi="Tahoma"/>
        </w:rPr>
        <w:t xml:space="preserve"> explore</w:t>
      </w:r>
      <w:r w:rsidR="00C23ED5" w:rsidRPr="00650F05">
        <w:rPr>
          <w:rFonts w:ascii="Tahoma" w:hAnsi="Tahoma"/>
        </w:rPr>
        <w:t>s</w:t>
      </w:r>
      <w:r w:rsidRPr="00650F05">
        <w:rPr>
          <w:rFonts w:ascii="Tahoma" w:hAnsi="Tahoma"/>
        </w:rPr>
        <w:t xml:space="preserve"> how </w:t>
      </w:r>
      <w:r w:rsidR="00C23ED5" w:rsidRPr="00650F05">
        <w:rPr>
          <w:rFonts w:ascii="Tahoma" w:hAnsi="Tahoma"/>
        </w:rPr>
        <w:t>Higher Education</w:t>
      </w:r>
      <w:r w:rsidRPr="00650F05">
        <w:rPr>
          <w:rFonts w:ascii="Tahoma" w:hAnsi="Tahoma"/>
        </w:rPr>
        <w:t xml:space="preserve"> students from non-traditional backgrounds perceive their readiness and preparedness </w:t>
      </w:r>
      <w:r w:rsidR="00FD02F8" w:rsidRPr="00650F05">
        <w:rPr>
          <w:rFonts w:ascii="Tahoma" w:hAnsi="Tahoma"/>
        </w:rPr>
        <w:t>to make the transition fro</w:t>
      </w:r>
      <w:r w:rsidR="00B059C1" w:rsidRPr="00650F05">
        <w:rPr>
          <w:rFonts w:ascii="Tahoma" w:hAnsi="Tahoma"/>
        </w:rPr>
        <w:t>m university to work</w:t>
      </w:r>
      <w:r w:rsidR="006D0F3E" w:rsidRPr="00650F05">
        <w:rPr>
          <w:rFonts w:ascii="Tahoma" w:hAnsi="Tahoma"/>
        </w:rPr>
        <w:t>,</w:t>
      </w:r>
      <w:r w:rsidRPr="00650F05">
        <w:rPr>
          <w:rFonts w:ascii="Tahoma" w:hAnsi="Tahoma"/>
        </w:rPr>
        <w:t xml:space="preserve"> after graduation. </w:t>
      </w:r>
      <w:r w:rsidR="00342E82" w:rsidRPr="00650F05">
        <w:rPr>
          <w:rFonts w:ascii="Tahoma" w:hAnsi="Tahoma"/>
        </w:rPr>
        <w:t>Thirteen students</w:t>
      </w:r>
      <w:r w:rsidR="006D48A5" w:rsidRPr="00650F05">
        <w:rPr>
          <w:rFonts w:ascii="Tahoma" w:hAnsi="Tahoma"/>
        </w:rPr>
        <w:t xml:space="preserve"> </w:t>
      </w:r>
      <w:r w:rsidR="00C828C4" w:rsidRPr="00650F05">
        <w:rPr>
          <w:rFonts w:ascii="Tahoma" w:hAnsi="Tahoma"/>
        </w:rPr>
        <w:t xml:space="preserve">participated and </w:t>
      </w:r>
      <w:r w:rsidR="007C4043" w:rsidRPr="00650F05">
        <w:rPr>
          <w:rFonts w:ascii="Tahoma" w:hAnsi="Tahoma"/>
        </w:rPr>
        <w:t xml:space="preserve">each </w:t>
      </w:r>
      <w:r w:rsidR="009C6272" w:rsidRPr="00650F05">
        <w:rPr>
          <w:rFonts w:ascii="Tahoma" w:hAnsi="Tahoma"/>
        </w:rPr>
        <w:t xml:space="preserve">underwent a </w:t>
      </w:r>
      <w:r w:rsidR="005C60BA" w:rsidRPr="00650F05">
        <w:rPr>
          <w:rFonts w:ascii="Tahoma" w:hAnsi="Tahoma"/>
        </w:rPr>
        <w:t>s</w:t>
      </w:r>
      <w:r w:rsidR="006D49C8" w:rsidRPr="00650F05">
        <w:rPr>
          <w:rFonts w:ascii="Tahoma" w:hAnsi="Tahoma"/>
        </w:rPr>
        <w:t xml:space="preserve">emi-structured </w:t>
      </w:r>
      <w:r w:rsidR="009C6272" w:rsidRPr="00650F05">
        <w:rPr>
          <w:rFonts w:ascii="Tahoma" w:hAnsi="Tahoma"/>
        </w:rPr>
        <w:t>interview</w:t>
      </w:r>
      <w:r w:rsidR="007C4043" w:rsidRPr="00650F05">
        <w:rPr>
          <w:rFonts w:ascii="Tahoma" w:hAnsi="Tahoma"/>
        </w:rPr>
        <w:t xml:space="preserve"> exploring perceptions of their upcoming transition. Findings indicate</w:t>
      </w:r>
      <w:r w:rsidR="00CF1541" w:rsidRPr="00650F05">
        <w:rPr>
          <w:rFonts w:ascii="Tahoma" w:hAnsi="Tahoma"/>
        </w:rPr>
        <w:t xml:space="preserve"> that</w:t>
      </w:r>
      <w:r w:rsidR="009D765E" w:rsidRPr="00650F05">
        <w:rPr>
          <w:rFonts w:ascii="Tahoma" w:hAnsi="Tahoma"/>
        </w:rPr>
        <w:t xml:space="preserve"> </w:t>
      </w:r>
      <w:r w:rsidR="001E3EED" w:rsidRPr="00650F05">
        <w:rPr>
          <w:rFonts w:ascii="Tahoma" w:hAnsi="Tahoma"/>
        </w:rPr>
        <w:t>participants</w:t>
      </w:r>
      <w:r w:rsidR="009D765E" w:rsidRPr="00650F05">
        <w:rPr>
          <w:rFonts w:ascii="Tahoma" w:hAnsi="Tahoma"/>
        </w:rPr>
        <w:t xml:space="preserve"> have mixed views about </w:t>
      </w:r>
      <w:r w:rsidR="00763C28" w:rsidRPr="00650F05">
        <w:rPr>
          <w:rFonts w:ascii="Tahoma" w:hAnsi="Tahoma"/>
        </w:rPr>
        <w:t xml:space="preserve">their readiness for work, </w:t>
      </w:r>
      <w:r w:rsidR="00FF20D6" w:rsidRPr="00650F05">
        <w:rPr>
          <w:rFonts w:ascii="Tahoma" w:hAnsi="Tahoma"/>
        </w:rPr>
        <w:t xml:space="preserve">with some expressing anxiety surrounding their </w:t>
      </w:r>
      <w:r w:rsidR="00917CC2" w:rsidRPr="00650F05">
        <w:rPr>
          <w:rFonts w:ascii="Tahoma" w:hAnsi="Tahoma"/>
        </w:rPr>
        <w:t xml:space="preserve">future </w:t>
      </w:r>
      <w:r w:rsidR="00FF20D6" w:rsidRPr="00650F05">
        <w:rPr>
          <w:rFonts w:ascii="Tahoma" w:hAnsi="Tahoma"/>
        </w:rPr>
        <w:t>progression.</w:t>
      </w:r>
      <w:r w:rsidR="00B97DAD" w:rsidRPr="00650F05">
        <w:rPr>
          <w:rFonts w:ascii="Tahoma" w:hAnsi="Tahoma"/>
        </w:rPr>
        <w:t xml:space="preserve"> </w:t>
      </w:r>
      <w:r w:rsidR="00E91818" w:rsidRPr="00650F05">
        <w:rPr>
          <w:rFonts w:ascii="Tahoma" w:hAnsi="Tahoma"/>
        </w:rPr>
        <w:t>Despite this</w:t>
      </w:r>
      <w:r w:rsidR="00B97DAD" w:rsidRPr="00650F05">
        <w:rPr>
          <w:rFonts w:ascii="Tahoma" w:hAnsi="Tahoma"/>
        </w:rPr>
        <w:t xml:space="preserve">, participants were </w:t>
      </w:r>
      <w:r w:rsidR="00D237BE" w:rsidRPr="00650F05">
        <w:rPr>
          <w:rFonts w:ascii="Tahoma" w:hAnsi="Tahoma"/>
        </w:rPr>
        <w:t>positive about their</w:t>
      </w:r>
      <w:r w:rsidR="00B97DAD" w:rsidRPr="00650F05">
        <w:rPr>
          <w:rFonts w:ascii="Tahoma" w:hAnsi="Tahoma"/>
        </w:rPr>
        <w:t xml:space="preserve"> preparedness for industry roles</w:t>
      </w:r>
      <w:r w:rsidR="004B35E2" w:rsidRPr="00650F05">
        <w:rPr>
          <w:rFonts w:ascii="Tahoma" w:hAnsi="Tahoma"/>
        </w:rPr>
        <w:t>, highlighting</w:t>
      </w:r>
      <w:r w:rsidR="00AC1B32" w:rsidRPr="00650F05">
        <w:rPr>
          <w:rFonts w:ascii="Tahoma" w:hAnsi="Tahoma"/>
        </w:rPr>
        <w:t xml:space="preserve"> elements of</w:t>
      </w:r>
      <w:r w:rsidR="004B35E2" w:rsidRPr="00650F05">
        <w:rPr>
          <w:rFonts w:ascii="Tahoma" w:hAnsi="Tahoma"/>
        </w:rPr>
        <w:t xml:space="preserve"> the</w:t>
      </w:r>
      <w:r w:rsidR="00D237BE" w:rsidRPr="00650F05">
        <w:rPr>
          <w:rFonts w:ascii="Tahoma" w:hAnsi="Tahoma"/>
        </w:rPr>
        <w:t xml:space="preserve"> practical and theoretical content of </w:t>
      </w:r>
      <w:r w:rsidR="004B35E2" w:rsidRPr="00650F05">
        <w:rPr>
          <w:rFonts w:ascii="Tahoma" w:hAnsi="Tahoma"/>
        </w:rPr>
        <w:t xml:space="preserve">their </w:t>
      </w:r>
      <w:r w:rsidR="00D237BE" w:rsidRPr="00650F05">
        <w:rPr>
          <w:rFonts w:ascii="Tahoma" w:hAnsi="Tahoma"/>
        </w:rPr>
        <w:t xml:space="preserve">courses </w:t>
      </w:r>
      <w:r w:rsidR="00AC1B32" w:rsidRPr="00650F05">
        <w:rPr>
          <w:rFonts w:ascii="Tahoma" w:hAnsi="Tahoma"/>
        </w:rPr>
        <w:t>as effective preparation for work</w:t>
      </w:r>
      <w:r w:rsidR="00D237BE" w:rsidRPr="00650F05">
        <w:rPr>
          <w:rFonts w:ascii="Tahoma" w:hAnsi="Tahoma"/>
        </w:rPr>
        <w:t>.</w:t>
      </w:r>
      <w:r w:rsidR="00476FD9" w:rsidRPr="00650F05">
        <w:rPr>
          <w:rFonts w:ascii="Tahoma" w:hAnsi="Tahoma"/>
        </w:rPr>
        <w:t xml:space="preserve"> Furthermore, i</w:t>
      </w:r>
      <w:r w:rsidR="001703E9" w:rsidRPr="00650F05">
        <w:rPr>
          <w:rFonts w:ascii="Tahoma" w:hAnsi="Tahoma"/>
        </w:rPr>
        <w:t>t was apparent that the participants’ non-traditional backgrounds</w:t>
      </w:r>
      <w:r w:rsidR="00C265E3" w:rsidRPr="00650F05">
        <w:rPr>
          <w:rFonts w:ascii="Tahoma" w:hAnsi="Tahoma"/>
        </w:rPr>
        <w:t xml:space="preserve"> </w:t>
      </w:r>
      <w:r w:rsidR="001703E9" w:rsidRPr="00650F05">
        <w:rPr>
          <w:rFonts w:ascii="Tahoma" w:hAnsi="Tahoma"/>
        </w:rPr>
        <w:t>influence</w:t>
      </w:r>
      <w:r w:rsidR="00C430CB" w:rsidRPr="00650F05">
        <w:rPr>
          <w:rFonts w:ascii="Tahoma" w:hAnsi="Tahoma"/>
        </w:rPr>
        <w:t>d</w:t>
      </w:r>
      <w:r w:rsidR="001703E9" w:rsidRPr="00650F05">
        <w:rPr>
          <w:rFonts w:ascii="Tahoma" w:hAnsi="Tahoma"/>
        </w:rPr>
        <w:t xml:space="preserve"> HE experiences and inform</w:t>
      </w:r>
      <w:r w:rsidR="00987476">
        <w:rPr>
          <w:rFonts w:ascii="Tahoma" w:hAnsi="Tahoma"/>
        </w:rPr>
        <w:t>ed</w:t>
      </w:r>
      <w:r w:rsidR="001703E9" w:rsidRPr="00650F05">
        <w:rPr>
          <w:rFonts w:ascii="Tahoma" w:hAnsi="Tahoma"/>
        </w:rPr>
        <w:t xml:space="preserve"> perceptions of readiness and preparedness </w:t>
      </w:r>
      <w:r w:rsidR="00987476">
        <w:rPr>
          <w:rFonts w:ascii="Tahoma" w:hAnsi="Tahoma"/>
        </w:rPr>
        <w:t xml:space="preserve">for </w:t>
      </w:r>
      <w:r w:rsidR="001703E9" w:rsidRPr="00650F05">
        <w:rPr>
          <w:rFonts w:ascii="Tahoma" w:hAnsi="Tahoma"/>
        </w:rPr>
        <w:t>transition to work</w:t>
      </w:r>
      <w:r w:rsidR="001E3EED" w:rsidRPr="00650F05">
        <w:rPr>
          <w:rFonts w:ascii="Tahoma" w:hAnsi="Tahoma"/>
        </w:rPr>
        <w:t>.</w:t>
      </w:r>
      <w:r w:rsidR="00DF564B" w:rsidRPr="00650F05">
        <w:rPr>
          <w:rFonts w:ascii="Tahoma" w:hAnsi="Tahoma"/>
        </w:rPr>
        <w:t xml:space="preserve"> </w:t>
      </w:r>
      <w:r w:rsidR="005A5BCF">
        <w:rPr>
          <w:rFonts w:ascii="Tahoma" w:hAnsi="Tahoma"/>
        </w:rPr>
        <w:t>The g</w:t>
      </w:r>
      <w:r w:rsidR="00610FDE" w:rsidRPr="00650F05">
        <w:rPr>
          <w:rFonts w:ascii="Tahoma" w:hAnsi="Tahoma"/>
        </w:rPr>
        <w:t xml:space="preserve">uidelines </w:t>
      </w:r>
      <w:r w:rsidR="00510E59" w:rsidRPr="00650F05">
        <w:rPr>
          <w:rFonts w:ascii="Tahoma" w:hAnsi="Tahoma"/>
        </w:rPr>
        <w:t xml:space="preserve">provided </w:t>
      </w:r>
      <w:r w:rsidR="00610FDE" w:rsidRPr="00650F05">
        <w:rPr>
          <w:rFonts w:ascii="Tahoma" w:hAnsi="Tahoma"/>
        </w:rPr>
        <w:t xml:space="preserve">will help inform </w:t>
      </w:r>
      <w:r w:rsidR="005A5BCF">
        <w:rPr>
          <w:rFonts w:ascii="Tahoma" w:hAnsi="Tahoma"/>
        </w:rPr>
        <w:t xml:space="preserve">institutions </w:t>
      </w:r>
      <w:r w:rsidR="00610FDE" w:rsidRPr="00650F05">
        <w:rPr>
          <w:rFonts w:ascii="Tahoma" w:hAnsi="Tahoma"/>
        </w:rPr>
        <w:t xml:space="preserve">on </w:t>
      </w:r>
      <w:r w:rsidR="005A5BCF">
        <w:rPr>
          <w:rFonts w:ascii="Tahoma" w:hAnsi="Tahoma"/>
        </w:rPr>
        <w:t>inherent</w:t>
      </w:r>
      <w:r w:rsidR="00610FDE" w:rsidRPr="00650F05">
        <w:rPr>
          <w:rFonts w:ascii="Tahoma" w:hAnsi="Tahoma"/>
        </w:rPr>
        <w:t xml:space="preserve"> challenges supporting students</w:t>
      </w:r>
      <w:r w:rsidR="00C272B8" w:rsidRPr="00650F05">
        <w:rPr>
          <w:rFonts w:ascii="Tahoma" w:hAnsi="Tahoma"/>
        </w:rPr>
        <w:t xml:space="preserve"> who are from </w:t>
      </w:r>
      <w:r w:rsidR="00610FDE" w:rsidRPr="00650F05">
        <w:rPr>
          <w:rFonts w:ascii="Tahoma" w:hAnsi="Tahoma"/>
        </w:rPr>
        <w:t>non-traditional backgrounds</w:t>
      </w:r>
      <w:r w:rsidR="00510E59" w:rsidRPr="00650F05">
        <w:rPr>
          <w:rFonts w:ascii="Tahoma" w:hAnsi="Tahoma"/>
        </w:rPr>
        <w:t>.</w:t>
      </w:r>
    </w:p>
    <w:p w14:paraId="1B537B8C" w14:textId="6CB76B92" w:rsidR="002C37E3" w:rsidRPr="00650F05" w:rsidRDefault="002C37E3" w:rsidP="00857A93">
      <w:pPr>
        <w:jc w:val="both"/>
        <w:rPr>
          <w:rFonts w:ascii="Tahoma" w:hAnsi="Tahoma"/>
        </w:rPr>
      </w:pPr>
    </w:p>
    <w:p w14:paraId="3B21EAA0" w14:textId="1E90414D" w:rsidR="002C37E3" w:rsidRPr="00650F05" w:rsidRDefault="00940752" w:rsidP="002C37E3">
      <w:pPr>
        <w:rPr>
          <w:rFonts w:ascii="Tahoma" w:hAnsi="Tahoma"/>
          <w:b/>
          <w:bCs/>
        </w:rPr>
      </w:pPr>
      <w:r w:rsidRPr="00650F05">
        <w:rPr>
          <w:rFonts w:ascii="Tahoma" w:hAnsi="Tahoma"/>
          <w:b/>
          <w:bCs/>
        </w:rPr>
        <w:t>Keywords</w:t>
      </w:r>
    </w:p>
    <w:p w14:paraId="53A6A557" w14:textId="4BD2C051" w:rsidR="002C37E3" w:rsidRPr="00650F05" w:rsidRDefault="00BD7657" w:rsidP="00857A93">
      <w:pPr>
        <w:jc w:val="both"/>
        <w:rPr>
          <w:rFonts w:ascii="Tahoma" w:hAnsi="Tahoma"/>
        </w:rPr>
      </w:pPr>
      <w:r w:rsidRPr="00650F05">
        <w:rPr>
          <w:rFonts w:ascii="Tahoma" w:hAnsi="Tahoma"/>
        </w:rPr>
        <w:t>Transition</w:t>
      </w:r>
      <w:r w:rsidR="00E44DDB" w:rsidRPr="00650F05">
        <w:rPr>
          <w:rFonts w:ascii="Tahoma" w:hAnsi="Tahoma"/>
        </w:rPr>
        <w:t>,</w:t>
      </w:r>
      <w:r w:rsidRPr="00650F05">
        <w:rPr>
          <w:rFonts w:ascii="Tahoma" w:hAnsi="Tahoma"/>
        </w:rPr>
        <w:t xml:space="preserve"> readiness</w:t>
      </w:r>
      <w:r w:rsidR="00E44DDB" w:rsidRPr="00650F05">
        <w:rPr>
          <w:rFonts w:ascii="Tahoma" w:hAnsi="Tahoma"/>
        </w:rPr>
        <w:t>,</w:t>
      </w:r>
      <w:r w:rsidRPr="00650F05">
        <w:rPr>
          <w:rFonts w:ascii="Tahoma" w:hAnsi="Tahoma"/>
        </w:rPr>
        <w:t xml:space="preserve"> preparedness</w:t>
      </w:r>
      <w:r w:rsidR="00E44DDB" w:rsidRPr="00650F05">
        <w:rPr>
          <w:rFonts w:ascii="Tahoma" w:hAnsi="Tahoma"/>
        </w:rPr>
        <w:t>, higher education, work transition</w:t>
      </w:r>
      <w:r w:rsidR="00940752" w:rsidRPr="00650F05">
        <w:rPr>
          <w:rFonts w:ascii="Tahoma" w:hAnsi="Tahoma"/>
        </w:rPr>
        <w:t>, student perceptions.</w:t>
      </w:r>
    </w:p>
    <w:p w14:paraId="66D9F590" w14:textId="52AE731F" w:rsidR="00BA0029" w:rsidRPr="00650F05" w:rsidRDefault="00BA0029" w:rsidP="00857A93">
      <w:pPr>
        <w:jc w:val="both"/>
        <w:rPr>
          <w:rFonts w:ascii="Tahoma" w:hAnsi="Tahoma"/>
        </w:rPr>
      </w:pPr>
    </w:p>
    <w:p w14:paraId="528B5385" w14:textId="77777777" w:rsidR="00510E59" w:rsidRPr="00650F05" w:rsidRDefault="00510E59" w:rsidP="00392C3C">
      <w:pPr>
        <w:spacing w:line="480" w:lineRule="auto"/>
        <w:rPr>
          <w:rFonts w:ascii="Tahoma" w:hAnsi="Tahoma"/>
          <w:b/>
          <w:bCs/>
        </w:rPr>
        <w:sectPr w:rsidR="00510E59" w:rsidRPr="00650F05">
          <w:footerReference w:type="default" r:id="rId12"/>
          <w:pgSz w:w="11906" w:h="16838"/>
          <w:pgMar w:top="1440" w:right="1440" w:bottom="1440" w:left="1440" w:header="708" w:footer="708" w:gutter="0"/>
          <w:cols w:space="708"/>
          <w:docGrid w:linePitch="360"/>
        </w:sectPr>
      </w:pPr>
    </w:p>
    <w:p w14:paraId="2FA55020" w14:textId="112F0811" w:rsidR="001902AF" w:rsidRPr="00650F05" w:rsidRDefault="00392C3C" w:rsidP="00392C3C">
      <w:pPr>
        <w:spacing w:line="480" w:lineRule="auto"/>
        <w:rPr>
          <w:rFonts w:ascii="Tahoma" w:hAnsi="Tahoma"/>
          <w:b/>
          <w:bCs/>
        </w:rPr>
      </w:pPr>
      <w:r w:rsidRPr="00650F05">
        <w:rPr>
          <w:rFonts w:ascii="Tahoma" w:hAnsi="Tahoma"/>
          <w:b/>
          <w:bCs/>
        </w:rPr>
        <w:lastRenderedPageBreak/>
        <w:t>Introduction</w:t>
      </w:r>
      <w:r w:rsidR="003466E2" w:rsidRPr="00650F05">
        <w:rPr>
          <w:rFonts w:ascii="Tahoma" w:hAnsi="Tahoma"/>
          <w:b/>
          <w:bCs/>
        </w:rPr>
        <w:t xml:space="preserve"> and Rationale</w:t>
      </w:r>
    </w:p>
    <w:p w14:paraId="3DF7D412" w14:textId="3D3D033F" w:rsidR="006C4120" w:rsidRPr="00650F05" w:rsidRDefault="00261638" w:rsidP="000C2257">
      <w:pPr>
        <w:spacing w:line="480" w:lineRule="auto"/>
        <w:jc w:val="both"/>
        <w:rPr>
          <w:rFonts w:ascii="Tahoma" w:hAnsi="Tahoma"/>
        </w:rPr>
      </w:pPr>
      <w:r w:rsidRPr="00650F05">
        <w:rPr>
          <w:rFonts w:ascii="Tahoma" w:hAnsi="Tahoma"/>
        </w:rPr>
        <w:t xml:space="preserve">Higher Education </w:t>
      </w:r>
      <w:r w:rsidR="009224CD" w:rsidRPr="00650F05">
        <w:rPr>
          <w:rFonts w:ascii="Tahoma" w:hAnsi="Tahoma"/>
        </w:rPr>
        <w:t xml:space="preserve">(HE) </w:t>
      </w:r>
      <w:r w:rsidR="00E012F9" w:rsidRPr="00650F05">
        <w:rPr>
          <w:rFonts w:ascii="Tahoma" w:hAnsi="Tahoma"/>
        </w:rPr>
        <w:t xml:space="preserve">is a major provider of </w:t>
      </w:r>
      <w:r w:rsidR="00A30202" w:rsidRPr="00650F05">
        <w:rPr>
          <w:rFonts w:ascii="Tahoma" w:hAnsi="Tahoma"/>
        </w:rPr>
        <w:t>industry’s skilled workforce</w:t>
      </w:r>
      <w:r w:rsidR="006B77E2" w:rsidRPr="00650F05">
        <w:rPr>
          <w:rFonts w:ascii="Tahoma" w:hAnsi="Tahoma"/>
        </w:rPr>
        <w:t>,</w:t>
      </w:r>
      <w:r w:rsidR="001A06AF" w:rsidRPr="00650F05">
        <w:rPr>
          <w:rFonts w:ascii="Tahoma" w:hAnsi="Tahoma"/>
        </w:rPr>
        <w:t xml:space="preserve"> </w:t>
      </w:r>
      <w:r w:rsidR="00C415D0" w:rsidRPr="00650F05">
        <w:rPr>
          <w:rFonts w:ascii="Tahoma" w:hAnsi="Tahoma"/>
        </w:rPr>
        <w:t>evidenced by</w:t>
      </w:r>
      <w:r w:rsidR="00287D05" w:rsidRPr="00650F05">
        <w:rPr>
          <w:rFonts w:ascii="Tahoma" w:hAnsi="Tahoma"/>
        </w:rPr>
        <w:t xml:space="preserve"> </w:t>
      </w:r>
      <w:r w:rsidR="001A06AF" w:rsidRPr="00650F05">
        <w:rPr>
          <w:rFonts w:ascii="Tahoma" w:hAnsi="Tahoma"/>
        </w:rPr>
        <w:t>14 million</w:t>
      </w:r>
      <w:r w:rsidR="008E5F9B" w:rsidRPr="00650F05">
        <w:rPr>
          <w:rFonts w:ascii="Tahoma" w:hAnsi="Tahoma"/>
        </w:rPr>
        <w:t xml:space="preserve"> graduates</w:t>
      </w:r>
      <w:r w:rsidR="006B77E2" w:rsidRPr="00650F05">
        <w:rPr>
          <w:rFonts w:ascii="Tahoma" w:hAnsi="Tahoma"/>
        </w:rPr>
        <w:t xml:space="preserve"> </w:t>
      </w:r>
      <w:r w:rsidR="00287D05" w:rsidRPr="00650F05">
        <w:rPr>
          <w:rFonts w:ascii="Tahoma" w:hAnsi="Tahoma"/>
        </w:rPr>
        <w:t>in the UK</w:t>
      </w:r>
      <w:r w:rsidR="009A0757" w:rsidRPr="00650F05">
        <w:rPr>
          <w:rFonts w:ascii="Tahoma" w:hAnsi="Tahoma"/>
        </w:rPr>
        <w:t xml:space="preserve"> </w:t>
      </w:r>
      <w:r w:rsidR="007051E8" w:rsidRPr="00650F05">
        <w:rPr>
          <w:rFonts w:ascii="Tahoma" w:hAnsi="Tahoma"/>
        </w:rPr>
        <w:t xml:space="preserve">alone </w:t>
      </w:r>
      <w:r w:rsidR="009A0757" w:rsidRPr="00650F05">
        <w:rPr>
          <w:rFonts w:ascii="Tahoma" w:hAnsi="Tahoma"/>
        </w:rPr>
        <w:t>(ONS, 2021)</w:t>
      </w:r>
      <w:r w:rsidR="00F10C54" w:rsidRPr="00650F05">
        <w:rPr>
          <w:rFonts w:ascii="Tahoma" w:hAnsi="Tahoma"/>
        </w:rPr>
        <w:t xml:space="preserve">, and whilst </w:t>
      </w:r>
      <w:r w:rsidR="000C2257" w:rsidRPr="00650F05">
        <w:rPr>
          <w:rFonts w:ascii="Tahoma" w:hAnsi="Tahoma"/>
        </w:rPr>
        <w:t>the role of HE has been widely debated within literature, the betterment of self and the opportunity to enhance potential employment opportunities are among the main reasons why students complete undergraduate degree</w:t>
      </w:r>
      <w:r w:rsidR="008D17F3" w:rsidRPr="00650F05">
        <w:rPr>
          <w:rFonts w:ascii="Tahoma" w:hAnsi="Tahoma"/>
        </w:rPr>
        <w:t>s</w:t>
      </w:r>
      <w:r w:rsidR="000C2257" w:rsidRPr="00650F05">
        <w:rPr>
          <w:rFonts w:ascii="Tahoma" w:hAnsi="Tahoma"/>
        </w:rPr>
        <w:t xml:space="preserve"> (Garcia-Aracil </w:t>
      </w:r>
      <w:r w:rsidR="000C2257" w:rsidRPr="00CF783E">
        <w:rPr>
          <w:rFonts w:ascii="Tahoma" w:hAnsi="Tahoma"/>
          <w:i/>
          <w:iCs/>
        </w:rPr>
        <w:t>et al.,</w:t>
      </w:r>
      <w:r w:rsidR="000C2257" w:rsidRPr="00650F05">
        <w:rPr>
          <w:rFonts w:ascii="Tahoma" w:hAnsi="Tahoma"/>
        </w:rPr>
        <w:t xml:space="preserve"> 2018). This supports </w:t>
      </w:r>
      <w:r w:rsidR="007051E8" w:rsidRPr="00650F05">
        <w:rPr>
          <w:rFonts w:ascii="Tahoma" w:hAnsi="Tahoma"/>
        </w:rPr>
        <w:t>a</w:t>
      </w:r>
      <w:r w:rsidR="000C2257" w:rsidRPr="00650F05">
        <w:rPr>
          <w:rFonts w:ascii="Tahoma" w:hAnsi="Tahoma"/>
        </w:rPr>
        <w:t xml:space="preserve"> functionalist view of HE and its effectiveness being assessed in terms of its graduates’ impact on the capacity to contribute to society and economy (Lozano </w:t>
      </w:r>
      <w:r w:rsidR="000C2257" w:rsidRPr="00650F05">
        <w:rPr>
          <w:rFonts w:ascii="Tahoma" w:hAnsi="Tahoma"/>
          <w:i/>
          <w:iCs/>
        </w:rPr>
        <w:t>et al</w:t>
      </w:r>
      <w:r w:rsidR="000C2257" w:rsidRPr="00650F05">
        <w:rPr>
          <w:rFonts w:ascii="Tahoma" w:hAnsi="Tahoma"/>
        </w:rPr>
        <w:t>., 2013; Sla</w:t>
      </w:r>
      <w:r w:rsidR="007B645C" w:rsidRPr="00650F05">
        <w:rPr>
          <w:rFonts w:ascii="Tahoma" w:hAnsi="Tahoma"/>
        </w:rPr>
        <w:t xml:space="preserve">ughter </w:t>
      </w:r>
      <w:r w:rsidR="000C2257" w:rsidRPr="00650F05">
        <w:rPr>
          <w:rFonts w:ascii="Tahoma" w:hAnsi="Tahoma"/>
        </w:rPr>
        <w:t>and Rhoades, 2004).</w:t>
      </w:r>
      <w:r w:rsidR="0056359D" w:rsidRPr="00650F05">
        <w:rPr>
          <w:rFonts w:ascii="Tahoma" w:hAnsi="Tahoma"/>
        </w:rPr>
        <w:t xml:space="preserve"> </w:t>
      </w:r>
      <w:r w:rsidR="002329D7" w:rsidRPr="00650F05">
        <w:rPr>
          <w:rFonts w:ascii="Tahoma" w:hAnsi="Tahoma"/>
        </w:rPr>
        <w:t>It is apparent that</w:t>
      </w:r>
      <w:r w:rsidR="00684782" w:rsidRPr="00650F05">
        <w:rPr>
          <w:rFonts w:ascii="Tahoma" w:hAnsi="Tahoma"/>
        </w:rPr>
        <w:t xml:space="preserve"> </w:t>
      </w:r>
      <w:r w:rsidR="00AB06EB" w:rsidRPr="00650F05">
        <w:rPr>
          <w:rFonts w:ascii="Tahoma" w:hAnsi="Tahoma"/>
        </w:rPr>
        <w:t xml:space="preserve">HE </w:t>
      </w:r>
      <w:r w:rsidR="00C8795D" w:rsidRPr="00650F05">
        <w:rPr>
          <w:rFonts w:ascii="Tahoma" w:hAnsi="Tahoma"/>
        </w:rPr>
        <w:t xml:space="preserve">and industry </w:t>
      </w:r>
      <w:r w:rsidR="00AB06EB" w:rsidRPr="00650F05">
        <w:rPr>
          <w:rFonts w:ascii="Tahoma" w:hAnsi="Tahoma"/>
        </w:rPr>
        <w:t xml:space="preserve">have a </w:t>
      </w:r>
      <w:r w:rsidR="00C8795D" w:rsidRPr="00650F05">
        <w:rPr>
          <w:rFonts w:ascii="Tahoma" w:hAnsi="Tahoma"/>
        </w:rPr>
        <w:t xml:space="preserve">symbiotic </w:t>
      </w:r>
      <w:r w:rsidR="00AB06EB" w:rsidRPr="00650F05">
        <w:rPr>
          <w:rFonts w:ascii="Tahoma" w:hAnsi="Tahoma"/>
        </w:rPr>
        <w:t xml:space="preserve">relationship in terms of </w:t>
      </w:r>
      <w:r w:rsidR="00AD6979" w:rsidRPr="00650F05">
        <w:rPr>
          <w:rFonts w:ascii="Tahoma" w:hAnsi="Tahoma"/>
        </w:rPr>
        <w:t xml:space="preserve">the labour market, with </w:t>
      </w:r>
      <w:r w:rsidR="00AB06EB" w:rsidRPr="00650F05">
        <w:rPr>
          <w:rFonts w:ascii="Tahoma" w:hAnsi="Tahoma"/>
        </w:rPr>
        <w:t xml:space="preserve">HE </w:t>
      </w:r>
      <w:r w:rsidR="004D44BA" w:rsidRPr="00650F05">
        <w:rPr>
          <w:rFonts w:ascii="Tahoma" w:hAnsi="Tahoma"/>
        </w:rPr>
        <w:t xml:space="preserve">developing and </w:t>
      </w:r>
      <w:r w:rsidR="00AB06EB" w:rsidRPr="00650F05">
        <w:rPr>
          <w:rFonts w:ascii="Tahoma" w:hAnsi="Tahoma"/>
        </w:rPr>
        <w:t>upskilling i</w:t>
      </w:r>
      <w:r w:rsidR="00AD6979" w:rsidRPr="00650F05">
        <w:rPr>
          <w:rFonts w:ascii="Tahoma" w:hAnsi="Tahoma"/>
        </w:rPr>
        <w:t>ndividuals</w:t>
      </w:r>
      <w:r w:rsidR="0002581A" w:rsidRPr="00650F05">
        <w:rPr>
          <w:rFonts w:ascii="Tahoma" w:hAnsi="Tahoma"/>
        </w:rPr>
        <w:t xml:space="preserve"> in preparation </w:t>
      </w:r>
      <w:r w:rsidR="00987559" w:rsidRPr="00650F05">
        <w:rPr>
          <w:rFonts w:ascii="Tahoma" w:hAnsi="Tahoma"/>
        </w:rPr>
        <w:t>for industry demands</w:t>
      </w:r>
      <w:r w:rsidR="00DD308D" w:rsidRPr="00650F05">
        <w:rPr>
          <w:rFonts w:ascii="Tahoma" w:hAnsi="Tahoma"/>
        </w:rPr>
        <w:t>,</w:t>
      </w:r>
      <w:r w:rsidR="00AD6979" w:rsidRPr="00650F05">
        <w:rPr>
          <w:rFonts w:ascii="Tahoma" w:hAnsi="Tahoma"/>
        </w:rPr>
        <w:t xml:space="preserve"> and industry </w:t>
      </w:r>
      <w:r w:rsidR="000779E7" w:rsidRPr="00650F05">
        <w:rPr>
          <w:rFonts w:ascii="Tahoma" w:hAnsi="Tahoma"/>
        </w:rPr>
        <w:t xml:space="preserve">utilising </w:t>
      </w:r>
      <w:r w:rsidR="00987559" w:rsidRPr="00650F05">
        <w:rPr>
          <w:rFonts w:ascii="Tahoma" w:hAnsi="Tahoma"/>
        </w:rPr>
        <w:t xml:space="preserve">these </w:t>
      </w:r>
      <w:r w:rsidR="00CC37B1" w:rsidRPr="00650F05">
        <w:rPr>
          <w:rFonts w:ascii="Tahoma" w:hAnsi="Tahoma"/>
        </w:rPr>
        <w:t xml:space="preserve">skilled individuals </w:t>
      </w:r>
      <w:r w:rsidR="00987559" w:rsidRPr="00650F05">
        <w:rPr>
          <w:rFonts w:ascii="Tahoma" w:hAnsi="Tahoma"/>
        </w:rPr>
        <w:t>to</w:t>
      </w:r>
      <w:r w:rsidR="00C26B3A" w:rsidRPr="00650F05">
        <w:rPr>
          <w:rFonts w:ascii="Tahoma" w:hAnsi="Tahoma"/>
        </w:rPr>
        <w:t xml:space="preserve"> meet their </w:t>
      </w:r>
      <w:r w:rsidR="00FE6771" w:rsidRPr="00650F05">
        <w:rPr>
          <w:rFonts w:ascii="Tahoma" w:hAnsi="Tahoma"/>
        </w:rPr>
        <w:t xml:space="preserve">specific </w:t>
      </w:r>
      <w:r w:rsidR="00340EC2" w:rsidRPr="00650F05">
        <w:rPr>
          <w:rFonts w:ascii="Tahoma" w:hAnsi="Tahoma"/>
        </w:rPr>
        <w:t xml:space="preserve">organisational </w:t>
      </w:r>
      <w:r w:rsidR="00FE6771" w:rsidRPr="00650F05">
        <w:rPr>
          <w:rFonts w:ascii="Tahoma" w:hAnsi="Tahoma"/>
        </w:rPr>
        <w:t>needs</w:t>
      </w:r>
      <w:r w:rsidR="0096698A" w:rsidRPr="00650F05">
        <w:rPr>
          <w:rFonts w:ascii="Tahoma" w:hAnsi="Tahoma"/>
        </w:rPr>
        <w:t xml:space="preserve"> (Gill, 20</w:t>
      </w:r>
      <w:r w:rsidR="00B67A15" w:rsidRPr="00650F05">
        <w:rPr>
          <w:rFonts w:ascii="Tahoma" w:hAnsi="Tahoma"/>
        </w:rPr>
        <w:t>20)</w:t>
      </w:r>
      <w:r w:rsidR="00C26B3A" w:rsidRPr="00650F05">
        <w:rPr>
          <w:rFonts w:ascii="Tahoma" w:hAnsi="Tahoma"/>
        </w:rPr>
        <w:t>.</w:t>
      </w:r>
    </w:p>
    <w:p w14:paraId="4FFE17ED" w14:textId="55B92364" w:rsidR="00841432" w:rsidRPr="00650F05" w:rsidRDefault="00621626" w:rsidP="000C2257">
      <w:pPr>
        <w:spacing w:line="480" w:lineRule="auto"/>
        <w:jc w:val="both"/>
        <w:rPr>
          <w:rFonts w:ascii="Tahoma" w:hAnsi="Tahoma"/>
        </w:rPr>
      </w:pPr>
      <w:r w:rsidRPr="00650F05">
        <w:rPr>
          <w:rFonts w:ascii="Tahoma" w:hAnsi="Tahoma"/>
        </w:rPr>
        <w:t>HE</w:t>
      </w:r>
      <w:r w:rsidR="00BD01F6" w:rsidRPr="00650F05">
        <w:rPr>
          <w:rFonts w:ascii="Tahoma" w:hAnsi="Tahoma"/>
        </w:rPr>
        <w:t xml:space="preserve"> has the potential to be transformative for individuals, local communities, industry and </w:t>
      </w:r>
      <w:r w:rsidR="00942FDC" w:rsidRPr="00650F05">
        <w:rPr>
          <w:rFonts w:ascii="Tahoma" w:hAnsi="Tahoma"/>
        </w:rPr>
        <w:t xml:space="preserve">for </w:t>
      </w:r>
      <w:r w:rsidR="00BD01F6" w:rsidRPr="00650F05">
        <w:rPr>
          <w:rFonts w:ascii="Tahoma" w:hAnsi="Tahoma"/>
        </w:rPr>
        <w:t>wider society</w:t>
      </w:r>
      <w:r w:rsidR="004869B7" w:rsidRPr="00650F05">
        <w:rPr>
          <w:rFonts w:ascii="Tahoma" w:hAnsi="Tahoma" w:cs="Tahoma"/>
        </w:rPr>
        <w:t xml:space="preserve"> </w:t>
      </w:r>
      <w:r w:rsidR="00456D83" w:rsidRPr="00650F05">
        <w:rPr>
          <w:rFonts w:ascii="Tahoma" w:hAnsi="Tahoma" w:cs="Tahoma"/>
        </w:rPr>
        <w:t>(</w:t>
      </w:r>
      <w:r w:rsidR="004869B7" w:rsidRPr="00650F05">
        <w:rPr>
          <w:rFonts w:ascii="Tahoma" w:hAnsi="Tahoma"/>
        </w:rPr>
        <w:t>Vignoles and Murray, 2016</w:t>
      </w:r>
      <w:r w:rsidR="00456D83" w:rsidRPr="00650F05">
        <w:rPr>
          <w:rFonts w:ascii="Tahoma" w:hAnsi="Tahoma"/>
        </w:rPr>
        <w:t xml:space="preserve">; </w:t>
      </w:r>
      <w:r w:rsidR="004869B7" w:rsidRPr="00650F05">
        <w:rPr>
          <w:rFonts w:ascii="Tahoma" w:hAnsi="Tahoma"/>
        </w:rPr>
        <w:t xml:space="preserve">Lozano </w:t>
      </w:r>
      <w:r w:rsidR="004869B7" w:rsidRPr="00650F05">
        <w:rPr>
          <w:rFonts w:ascii="Tahoma" w:hAnsi="Tahoma"/>
          <w:i/>
          <w:iCs/>
        </w:rPr>
        <w:t>et al</w:t>
      </w:r>
      <w:r w:rsidR="004869B7" w:rsidRPr="00650F05">
        <w:rPr>
          <w:rFonts w:ascii="Tahoma" w:hAnsi="Tahoma"/>
        </w:rPr>
        <w:t>.</w:t>
      </w:r>
      <w:r w:rsidR="00456D83" w:rsidRPr="00650F05">
        <w:rPr>
          <w:rFonts w:ascii="Tahoma" w:hAnsi="Tahoma"/>
        </w:rPr>
        <w:t>,</w:t>
      </w:r>
      <w:r w:rsidR="004869B7" w:rsidRPr="00650F05">
        <w:rPr>
          <w:rFonts w:ascii="Tahoma" w:hAnsi="Tahoma"/>
        </w:rPr>
        <w:t xml:space="preserve"> 2013</w:t>
      </w:r>
      <w:r w:rsidR="00456D83" w:rsidRPr="00650F05">
        <w:rPr>
          <w:rFonts w:ascii="Tahoma" w:hAnsi="Tahoma"/>
        </w:rPr>
        <w:t>;</w:t>
      </w:r>
      <w:r w:rsidR="004869B7" w:rsidRPr="00650F05">
        <w:rPr>
          <w:rFonts w:ascii="Tahoma" w:hAnsi="Tahoma"/>
        </w:rPr>
        <w:t xml:space="preserve"> Slaughter and Rhoades</w:t>
      </w:r>
      <w:r w:rsidR="00456D83" w:rsidRPr="00650F05">
        <w:rPr>
          <w:rFonts w:ascii="Tahoma" w:hAnsi="Tahoma"/>
        </w:rPr>
        <w:t xml:space="preserve">, </w:t>
      </w:r>
      <w:r w:rsidR="004869B7" w:rsidRPr="00650F05">
        <w:rPr>
          <w:rFonts w:ascii="Tahoma" w:hAnsi="Tahoma"/>
        </w:rPr>
        <w:t>2004</w:t>
      </w:r>
      <w:r w:rsidR="00456D83" w:rsidRPr="00650F05">
        <w:rPr>
          <w:rFonts w:ascii="Tahoma" w:hAnsi="Tahoma"/>
        </w:rPr>
        <w:t>)</w:t>
      </w:r>
      <w:r w:rsidR="00BD01F6" w:rsidRPr="00650F05">
        <w:rPr>
          <w:rFonts w:ascii="Tahoma" w:hAnsi="Tahoma"/>
        </w:rPr>
        <w:t xml:space="preserve">. </w:t>
      </w:r>
      <w:r w:rsidR="00E934F0" w:rsidRPr="00650F05">
        <w:rPr>
          <w:rFonts w:ascii="Tahoma" w:hAnsi="Tahoma"/>
        </w:rPr>
        <w:t xml:space="preserve">However, </w:t>
      </w:r>
      <w:r w:rsidR="00370DAA" w:rsidRPr="00650F05">
        <w:rPr>
          <w:rFonts w:ascii="Tahoma" w:hAnsi="Tahoma"/>
        </w:rPr>
        <w:t xml:space="preserve">David et al. (2009) </w:t>
      </w:r>
      <w:r w:rsidR="00AF07E8">
        <w:rPr>
          <w:rFonts w:ascii="Tahoma" w:hAnsi="Tahoma"/>
        </w:rPr>
        <w:t>asserts</w:t>
      </w:r>
      <w:r w:rsidR="00016DCE" w:rsidRPr="00650F05">
        <w:rPr>
          <w:rFonts w:ascii="Tahoma" w:hAnsi="Tahoma"/>
        </w:rPr>
        <w:t xml:space="preserve"> </w:t>
      </w:r>
      <w:r w:rsidR="00370DAA" w:rsidRPr="00650F05">
        <w:rPr>
          <w:rFonts w:ascii="Tahoma" w:hAnsi="Tahoma"/>
        </w:rPr>
        <w:t xml:space="preserve">that if HE is going to </w:t>
      </w:r>
      <w:r w:rsidR="00610000" w:rsidRPr="00650F05">
        <w:rPr>
          <w:rFonts w:ascii="Tahoma" w:hAnsi="Tahoma"/>
        </w:rPr>
        <w:t>be transformational for all</w:t>
      </w:r>
      <w:r w:rsidR="0063167D" w:rsidRPr="00650F05">
        <w:rPr>
          <w:rFonts w:ascii="Tahoma" w:hAnsi="Tahoma"/>
        </w:rPr>
        <w:t xml:space="preserve"> then it must provide access to people </w:t>
      </w:r>
      <w:r w:rsidR="00370DAA" w:rsidRPr="00650F05">
        <w:rPr>
          <w:rFonts w:ascii="Tahoma" w:hAnsi="Tahoma"/>
        </w:rPr>
        <w:t>from a wide</w:t>
      </w:r>
      <w:r w:rsidR="00EB1CC1" w:rsidRPr="00650F05">
        <w:rPr>
          <w:rFonts w:ascii="Tahoma" w:hAnsi="Tahoma"/>
        </w:rPr>
        <w:t>r</w:t>
      </w:r>
      <w:r w:rsidR="00370DAA" w:rsidRPr="00650F05">
        <w:rPr>
          <w:rFonts w:ascii="Tahoma" w:hAnsi="Tahoma"/>
        </w:rPr>
        <w:t xml:space="preserve"> range of backgrounds.</w:t>
      </w:r>
      <w:r w:rsidR="003455FE" w:rsidRPr="00650F05">
        <w:rPr>
          <w:rFonts w:ascii="Tahoma" w:hAnsi="Tahoma"/>
        </w:rPr>
        <w:t xml:space="preserve"> Gill (2021)</w:t>
      </w:r>
      <w:r w:rsidR="005A71BD" w:rsidRPr="00650F05">
        <w:rPr>
          <w:rFonts w:ascii="Tahoma" w:hAnsi="Tahoma"/>
        </w:rPr>
        <w:t xml:space="preserve"> </w:t>
      </w:r>
      <w:r w:rsidR="00625D20" w:rsidRPr="00650F05">
        <w:rPr>
          <w:rFonts w:ascii="Tahoma" w:hAnsi="Tahoma"/>
        </w:rPr>
        <w:t>notes positive change</w:t>
      </w:r>
      <w:r w:rsidR="005A71BD" w:rsidRPr="00650F05">
        <w:rPr>
          <w:rFonts w:ascii="Tahoma" w:hAnsi="Tahoma"/>
        </w:rPr>
        <w:t xml:space="preserve"> </w:t>
      </w:r>
      <w:r w:rsidR="008729EF" w:rsidRPr="00650F05">
        <w:rPr>
          <w:rFonts w:ascii="Tahoma" w:hAnsi="Tahoma"/>
        </w:rPr>
        <w:t>after decades of government</w:t>
      </w:r>
      <w:r w:rsidR="0009240A" w:rsidRPr="00650F05">
        <w:rPr>
          <w:rFonts w:ascii="Tahoma" w:hAnsi="Tahoma"/>
        </w:rPr>
        <w:t xml:space="preserve"> rhetoric and </w:t>
      </w:r>
      <w:r w:rsidR="00C148D9" w:rsidRPr="00650F05">
        <w:rPr>
          <w:rFonts w:ascii="Tahoma" w:hAnsi="Tahoma"/>
        </w:rPr>
        <w:t xml:space="preserve">educational policy trying to widen participation, </w:t>
      </w:r>
      <w:r w:rsidR="00754288">
        <w:rPr>
          <w:rFonts w:ascii="Tahoma" w:hAnsi="Tahoma"/>
        </w:rPr>
        <w:t>highlighting</w:t>
      </w:r>
      <w:r w:rsidR="00DF4FD4" w:rsidRPr="00650F05">
        <w:rPr>
          <w:rFonts w:ascii="Tahoma" w:hAnsi="Tahoma"/>
        </w:rPr>
        <w:t xml:space="preserve"> </w:t>
      </w:r>
      <w:r w:rsidR="00C148D9" w:rsidRPr="00650F05">
        <w:rPr>
          <w:rFonts w:ascii="Tahoma" w:hAnsi="Tahoma"/>
        </w:rPr>
        <w:t>a visible increase in the number of students</w:t>
      </w:r>
      <w:r w:rsidR="006C608B" w:rsidRPr="00650F05">
        <w:rPr>
          <w:rFonts w:ascii="Tahoma" w:hAnsi="Tahoma"/>
        </w:rPr>
        <w:t xml:space="preserve"> and </w:t>
      </w:r>
      <w:r w:rsidR="002F1A76" w:rsidRPr="00650F05">
        <w:rPr>
          <w:rFonts w:ascii="Tahoma" w:hAnsi="Tahoma"/>
        </w:rPr>
        <w:t>Higher Education Institutions (</w:t>
      </w:r>
      <w:r w:rsidR="00C148D9" w:rsidRPr="00650F05">
        <w:rPr>
          <w:rFonts w:ascii="Tahoma" w:hAnsi="Tahoma"/>
        </w:rPr>
        <w:t>HEI</w:t>
      </w:r>
      <w:r w:rsidR="001428A1" w:rsidRPr="00650F05">
        <w:rPr>
          <w:rFonts w:ascii="Tahoma" w:hAnsi="Tahoma"/>
        </w:rPr>
        <w:t>’</w:t>
      </w:r>
      <w:r w:rsidR="00C148D9" w:rsidRPr="00650F05">
        <w:rPr>
          <w:rFonts w:ascii="Tahoma" w:hAnsi="Tahoma"/>
        </w:rPr>
        <w:t>s</w:t>
      </w:r>
      <w:r w:rsidR="002F1A76" w:rsidRPr="00650F05">
        <w:rPr>
          <w:rFonts w:ascii="Tahoma" w:hAnsi="Tahoma"/>
        </w:rPr>
        <w:t>)</w:t>
      </w:r>
      <w:r w:rsidR="006C608B" w:rsidRPr="00650F05">
        <w:rPr>
          <w:rFonts w:ascii="Tahoma" w:hAnsi="Tahoma"/>
        </w:rPr>
        <w:t>,</w:t>
      </w:r>
      <w:r w:rsidR="00C148D9" w:rsidRPr="00650F05">
        <w:rPr>
          <w:rFonts w:ascii="Tahoma" w:hAnsi="Tahoma"/>
        </w:rPr>
        <w:t xml:space="preserve"> </w:t>
      </w:r>
      <w:r w:rsidR="006C608B" w:rsidRPr="00650F05">
        <w:rPr>
          <w:rFonts w:ascii="Tahoma" w:hAnsi="Tahoma"/>
        </w:rPr>
        <w:t xml:space="preserve">as well as </w:t>
      </w:r>
      <w:r w:rsidR="00C148D9" w:rsidRPr="00650F05">
        <w:rPr>
          <w:rFonts w:ascii="Tahoma" w:hAnsi="Tahoma"/>
        </w:rPr>
        <w:t xml:space="preserve">the diversity of study programmes being offered. </w:t>
      </w:r>
      <w:r w:rsidR="00192B30" w:rsidRPr="00650F05">
        <w:rPr>
          <w:rFonts w:ascii="Tahoma" w:hAnsi="Tahoma"/>
        </w:rPr>
        <w:t xml:space="preserve">This growth </w:t>
      </w:r>
      <w:r w:rsidR="009F7834" w:rsidRPr="00650F05">
        <w:rPr>
          <w:rFonts w:ascii="Tahoma" w:hAnsi="Tahoma"/>
        </w:rPr>
        <w:t xml:space="preserve">provides </w:t>
      </w:r>
      <w:r w:rsidR="00C148D9" w:rsidRPr="00650F05">
        <w:rPr>
          <w:rFonts w:ascii="Tahoma" w:hAnsi="Tahoma"/>
        </w:rPr>
        <w:t xml:space="preserve">more </w:t>
      </w:r>
      <w:r w:rsidR="00192B30" w:rsidRPr="00650F05">
        <w:rPr>
          <w:rFonts w:ascii="Tahoma" w:hAnsi="Tahoma"/>
        </w:rPr>
        <w:t xml:space="preserve">opportunity than ever to engage with </w:t>
      </w:r>
      <w:r w:rsidR="00C148D9" w:rsidRPr="00650F05">
        <w:rPr>
          <w:rFonts w:ascii="Tahoma" w:hAnsi="Tahoma"/>
        </w:rPr>
        <w:t>HE</w:t>
      </w:r>
      <w:r w:rsidR="009F7834" w:rsidRPr="00650F05">
        <w:rPr>
          <w:rFonts w:ascii="Tahoma" w:hAnsi="Tahoma"/>
        </w:rPr>
        <w:t>, irrespective of background</w:t>
      </w:r>
      <w:r w:rsidR="00192B30" w:rsidRPr="00650F05">
        <w:rPr>
          <w:rFonts w:ascii="Tahoma" w:hAnsi="Tahoma"/>
        </w:rPr>
        <w:t>.</w:t>
      </w:r>
    </w:p>
    <w:p w14:paraId="182BF9FC" w14:textId="4E4BD1DE" w:rsidR="00692028" w:rsidRPr="00650F05" w:rsidRDefault="000410A2" w:rsidP="00DF5189">
      <w:pPr>
        <w:spacing w:line="480" w:lineRule="auto"/>
        <w:jc w:val="both"/>
        <w:rPr>
          <w:rFonts w:ascii="Tahoma" w:hAnsi="Tahoma"/>
        </w:rPr>
      </w:pPr>
      <w:r w:rsidRPr="00650F05">
        <w:rPr>
          <w:rFonts w:ascii="Tahoma" w:hAnsi="Tahoma"/>
        </w:rPr>
        <w:t xml:space="preserve">In the UK, applying the term ‘non-traditional’ to students defines those who may be older than the usual </w:t>
      </w:r>
      <w:r w:rsidR="00E80799" w:rsidRPr="00650F05">
        <w:rPr>
          <w:rFonts w:ascii="Tahoma" w:hAnsi="Tahoma"/>
        </w:rPr>
        <w:t>18–2</w:t>
      </w:r>
      <w:r w:rsidR="008A6493">
        <w:rPr>
          <w:rFonts w:ascii="Tahoma" w:hAnsi="Tahoma"/>
        </w:rPr>
        <w:t>4</w:t>
      </w:r>
      <w:r w:rsidR="00E80799" w:rsidRPr="00650F05">
        <w:rPr>
          <w:rFonts w:ascii="Tahoma" w:hAnsi="Tahoma"/>
        </w:rPr>
        <w:t>-year-old</w:t>
      </w:r>
      <w:r w:rsidRPr="00650F05">
        <w:rPr>
          <w:rFonts w:ascii="Tahoma" w:hAnsi="Tahoma"/>
        </w:rPr>
        <w:t xml:space="preserve"> undergraduate demographic, and/or students from </w:t>
      </w:r>
      <w:r w:rsidR="00BE3FBF" w:rsidRPr="00650F05">
        <w:rPr>
          <w:rFonts w:ascii="Tahoma" w:hAnsi="Tahoma"/>
        </w:rPr>
        <w:t>ethnic minority</w:t>
      </w:r>
      <w:r w:rsidRPr="00650F05">
        <w:rPr>
          <w:rFonts w:ascii="Tahoma" w:hAnsi="Tahoma"/>
        </w:rPr>
        <w:t xml:space="preserve"> backgrounds, as well as those who come from disadvantaged backgrounds</w:t>
      </w:r>
      <w:r w:rsidR="00775506" w:rsidRPr="00650F05">
        <w:rPr>
          <w:rFonts w:ascii="Tahoma" w:hAnsi="Tahoma"/>
        </w:rPr>
        <w:t xml:space="preserve">, often from </w:t>
      </w:r>
      <w:r w:rsidR="002D049B" w:rsidRPr="00650F05">
        <w:rPr>
          <w:rFonts w:ascii="Tahoma" w:hAnsi="Tahoma"/>
        </w:rPr>
        <w:t>areas with h</w:t>
      </w:r>
      <w:r w:rsidR="00E00552" w:rsidRPr="00650F05">
        <w:rPr>
          <w:rFonts w:ascii="Tahoma" w:hAnsi="Tahoma"/>
        </w:rPr>
        <w:t xml:space="preserve">igh </w:t>
      </w:r>
      <w:r w:rsidR="002D049B" w:rsidRPr="00650F05">
        <w:rPr>
          <w:rFonts w:ascii="Tahoma" w:hAnsi="Tahoma"/>
        </w:rPr>
        <w:t>l</w:t>
      </w:r>
      <w:r w:rsidR="00E00552" w:rsidRPr="00650F05">
        <w:rPr>
          <w:rFonts w:ascii="Tahoma" w:hAnsi="Tahoma"/>
        </w:rPr>
        <w:t xml:space="preserve">evels of </w:t>
      </w:r>
      <w:r w:rsidR="002D049B" w:rsidRPr="00650F05">
        <w:rPr>
          <w:rFonts w:ascii="Tahoma" w:hAnsi="Tahoma"/>
        </w:rPr>
        <w:t>socio-economic d</w:t>
      </w:r>
      <w:r w:rsidR="00E00552" w:rsidRPr="00650F05">
        <w:rPr>
          <w:rFonts w:ascii="Tahoma" w:hAnsi="Tahoma"/>
        </w:rPr>
        <w:t>eprivation</w:t>
      </w:r>
      <w:r w:rsidR="002D049B" w:rsidRPr="00650F05">
        <w:rPr>
          <w:rFonts w:ascii="Tahoma" w:hAnsi="Tahoma"/>
        </w:rPr>
        <w:t xml:space="preserve"> (HSED)</w:t>
      </w:r>
      <w:r w:rsidRPr="00650F05">
        <w:rPr>
          <w:rFonts w:ascii="Tahoma" w:hAnsi="Tahoma"/>
        </w:rPr>
        <w:t xml:space="preserve"> whose experience and knowledge of HE is limited (Rogers, 2005).</w:t>
      </w:r>
      <w:r w:rsidR="006D2576" w:rsidRPr="00650F05">
        <w:t xml:space="preserve"> </w:t>
      </w:r>
      <w:r w:rsidR="008B4833" w:rsidRPr="00650F05">
        <w:rPr>
          <w:rFonts w:ascii="Tahoma" w:hAnsi="Tahoma"/>
        </w:rPr>
        <w:t xml:space="preserve">Gill (2021) </w:t>
      </w:r>
      <w:r w:rsidR="00C61664" w:rsidRPr="00650F05">
        <w:rPr>
          <w:rFonts w:ascii="Tahoma" w:hAnsi="Tahoma"/>
        </w:rPr>
        <w:t xml:space="preserve">outlines that </w:t>
      </w:r>
      <w:r w:rsidR="006D2576" w:rsidRPr="00650F05">
        <w:rPr>
          <w:rFonts w:ascii="Tahoma" w:hAnsi="Tahoma"/>
        </w:rPr>
        <w:t xml:space="preserve">attrition is much higher amongst </w:t>
      </w:r>
      <w:r w:rsidR="00243DA5" w:rsidRPr="00650F05">
        <w:rPr>
          <w:rFonts w:ascii="Tahoma" w:hAnsi="Tahoma"/>
        </w:rPr>
        <w:t xml:space="preserve">HE </w:t>
      </w:r>
      <w:r w:rsidR="006D2576" w:rsidRPr="00650F05">
        <w:rPr>
          <w:rFonts w:ascii="Tahoma" w:hAnsi="Tahoma"/>
        </w:rPr>
        <w:t xml:space="preserve">students from non-traditional backgrounds, </w:t>
      </w:r>
      <w:r w:rsidR="00661B63" w:rsidRPr="00650F05">
        <w:rPr>
          <w:rFonts w:ascii="Tahoma" w:hAnsi="Tahoma"/>
        </w:rPr>
        <w:t xml:space="preserve">which is </w:t>
      </w:r>
      <w:r w:rsidR="009B7096" w:rsidRPr="00650F05">
        <w:rPr>
          <w:rFonts w:ascii="Tahoma" w:hAnsi="Tahoma"/>
        </w:rPr>
        <w:t>coupled with</w:t>
      </w:r>
      <w:r w:rsidR="00243DA5" w:rsidRPr="00650F05">
        <w:rPr>
          <w:rFonts w:ascii="Tahoma" w:hAnsi="Tahoma"/>
        </w:rPr>
        <w:t xml:space="preserve"> a </w:t>
      </w:r>
      <w:r w:rsidR="006D2576" w:rsidRPr="00650F05">
        <w:rPr>
          <w:rFonts w:ascii="Tahoma" w:hAnsi="Tahoma"/>
        </w:rPr>
        <w:t xml:space="preserve">lack of economic </w:t>
      </w:r>
      <w:r w:rsidR="006D2576" w:rsidRPr="00650F05">
        <w:rPr>
          <w:rFonts w:ascii="Tahoma" w:hAnsi="Tahoma"/>
        </w:rPr>
        <w:lastRenderedPageBreak/>
        <w:t xml:space="preserve">progression upon leaving </w:t>
      </w:r>
      <w:r w:rsidR="00A2586F">
        <w:rPr>
          <w:rFonts w:ascii="Tahoma" w:hAnsi="Tahoma"/>
        </w:rPr>
        <w:t>HE</w:t>
      </w:r>
      <w:r w:rsidR="00243DA5" w:rsidRPr="00650F05">
        <w:rPr>
          <w:rFonts w:ascii="Tahoma" w:hAnsi="Tahoma"/>
        </w:rPr>
        <w:t xml:space="preserve"> </w:t>
      </w:r>
      <w:r w:rsidR="00972614" w:rsidRPr="00650F05">
        <w:rPr>
          <w:rFonts w:ascii="Tahoma" w:hAnsi="Tahoma"/>
        </w:rPr>
        <w:t>when</w:t>
      </w:r>
      <w:r w:rsidR="006D2576" w:rsidRPr="00650F05">
        <w:rPr>
          <w:rFonts w:ascii="Tahoma" w:hAnsi="Tahoma"/>
        </w:rPr>
        <w:t xml:space="preserve"> compared to </w:t>
      </w:r>
      <w:r w:rsidR="007D6B8F" w:rsidRPr="00650F05">
        <w:rPr>
          <w:rFonts w:ascii="Tahoma" w:hAnsi="Tahoma"/>
        </w:rPr>
        <w:t xml:space="preserve">other </w:t>
      </w:r>
      <w:r w:rsidR="006D2576" w:rsidRPr="00650F05">
        <w:rPr>
          <w:rFonts w:ascii="Tahoma" w:hAnsi="Tahoma"/>
        </w:rPr>
        <w:t>student</w:t>
      </w:r>
      <w:r w:rsidR="007D6B8F" w:rsidRPr="00650F05">
        <w:rPr>
          <w:rFonts w:ascii="Tahoma" w:hAnsi="Tahoma"/>
        </w:rPr>
        <w:t xml:space="preserve"> groups</w:t>
      </w:r>
      <w:r w:rsidR="00972614" w:rsidRPr="00650F05">
        <w:rPr>
          <w:rFonts w:ascii="Tahoma" w:hAnsi="Tahoma"/>
        </w:rPr>
        <w:t xml:space="preserve"> (Vignoles and Murray, 2016)</w:t>
      </w:r>
      <w:r w:rsidR="0056646A" w:rsidRPr="00650F05">
        <w:rPr>
          <w:rFonts w:ascii="Tahoma" w:hAnsi="Tahoma"/>
        </w:rPr>
        <w:t xml:space="preserve">. Therefore, </w:t>
      </w:r>
      <w:r w:rsidR="005204BB" w:rsidRPr="00650F05">
        <w:rPr>
          <w:rFonts w:ascii="Tahoma" w:hAnsi="Tahoma"/>
        </w:rPr>
        <w:t>research</w:t>
      </w:r>
      <w:r w:rsidR="006D2576" w:rsidRPr="00650F05">
        <w:rPr>
          <w:rFonts w:ascii="Tahoma" w:hAnsi="Tahoma"/>
        </w:rPr>
        <w:t xml:space="preserve"> must </w:t>
      </w:r>
      <w:r w:rsidR="000A365F" w:rsidRPr="00650F05">
        <w:rPr>
          <w:rFonts w:ascii="Tahoma" w:hAnsi="Tahoma"/>
        </w:rPr>
        <w:t>further</w:t>
      </w:r>
      <w:r w:rsidR="006D2576" w:rsidRPr="00650F05">
        <w:rPr>
          <w:rFonts w:ascii="Tahoma" w:hAnsi="Tahoma"/>
        </w:rPr>
        <w:t xml:space="preserve"> </w:t>
      </w:r>
      <w:r w:rsidR="00692028" w:rsidRPr="00650F05">
        <w:rPr>
          <w:rFonts w:ascii="Tahoma" w:hAnsi="Tahoma"/>
        </w:rPr>
        <w:t xml:space="preserve">consider </w:t>
      </w:r>
      <w:r w:rsidR="00B658F9" w:rsidRPr="00650F05">
        <w:rPr>
          <w:rFonts w:ascii="Tahoma" w:hAnsi="Tahoma"/>
        </w:rPr>
        <w:t xml:space="preserve">how </w:t>
      </w:r>
      <w:r w:rsidR="006A302C" w:rsidRPr="00650F05">
        <w:rPr>
          <w:rFonts w:ascii="Tahoma" w:hAnsi="Tahoma"/>
        </w:rPr>
        <w:t xml:space="preserve">effectively </w:t>
      </w:r>
      <w:r w:rsidR="00963352" w:rsidRPr="00650F05">
        <w:rPr>
          <w:rFonts w:ascii="Tahoma" w:hAnsi="Tahoma"/>
        </w:rPr>
        <w:t xml:space="preserve">HE is preparing </w:t>
      </w:r>
      <w:r w:rsidR="005204BB" w:rsidRPr="00650F05">
        <w:rPr>
          <w:rFonts w:ascii="Tahoma" w:hAnsi="Tahoma"/>
        </w:rPr>
        <w:t xml:space="preserve">students </w:t>
      </w:r>
      <w:r w:rsidR="006D2576" w:rsidRPr="00650F05">
        <w:rPr>
          <w:rFonts w:ascii="Tahoma" w:hAnsi="Tahoma"/>
        </w:rPr>
        <w:t xml:space="preserve">from diverse </w:t>
      </w:r>
      <w:r w:rsidR="00963352" w:rsidRPr="00650F05">
        <w:rPr>
          <w:rFonts w:ascii="Tahoma" w:hAnsi="Tahoma"/>
        </w:rPr>
        <w:t xml:space="preserve">non-traditional </w:t>
      </w:r>
      <w:r w:rsidR="006D2576" w:rsidRPr="00650F05">
        <w:rPr>
          <w:rFonts w:ascii="Tahoma" w:hAnsi="Tahoma"/>
        </w:rPr>
        <w:t xml:space="preserve">backgrounds </w:t>
      </w:r>
      <w:r w:rsidR="000D2D09" w:rsidRPr="00650F05">
        <w:rPr>
          <w:rFonts w:ascii="Tahoma" w:hAnsi="Tahoma"/>
        </w:rPr>
        <w:t>for work</w:t>
      </w:r>
      <w:r w:rsidR="00A23C0F" w:rsidRPr="00650F05">
        <w:rPr>
          <w:rFonts w:ascii="Tahoma" w:hAnsi="Tahoma"/>
        </w:rPr>
        <w:t xml:space="preserve">, </w:t>
      </w:r>
      <w:r w:rsidR="00D8220F" w:rsidRPr="00650F05">
        <w:rPr>
          <w:rFonts w:ascii="Tahoma" w:hAnsi="Tahoma"/>
        </w:rPr>
        <w:t xml:space="preserve">exploring and </w:t>
      </w:r>
      <w:r w:rsidR="00A23C0F" w:rsidRPr="00650F05">
        <w:rPr>
          <w:rFonts w:ascii="Tahoma" w:hAnsi="Tahoma"/>
        </w:rPr>
        <w:t>addressing the lack of economic progression</w:t>
      </w:r>
      <w:r w:rsidR="002C0CB5" w:rsidRPr="00650F05">
        <w:rPr>
          <w:rFonts w:ascii="Tahoma" w:hAnsi="Tahoma"/>
        </w:rPr>
        <w:t>.</w:t>
      </w:r>
    </w:p>
    <w:p w14:paraId="0BC5F41B" w14:textId="1D9E6CF3" w:rsidR="001753A6" w:rsidRPr="00AA45ED" w:rsidRDefault="001F5172" w:rsidP="00244B00">
      <w:pPr>
        <w:spacing w:line="480" w:lineRule="auto"/>
        <w:jc w:val="both"/>
        <w:rPr>
          <w:rFonts w:ascii="Tahoma" w:hAnsi="Tahoma"/>
          <w:highlight w:val="yellow"/>
        </w:rPr>
      </w:pPr>
      <w:r w:rsidRPr="00650F05">
        <w:rPr>
          <w:rFonts w:ascii="Tahoma" w:hAnsi="Tahoma"/>
        </w:rPr>
        <w:t xml:space="preserve">Gill (2021) and </w:t>
      </w:r>
      <w:r w:rsidR="00577C09" w:rsidRPr="00650F05">
        <w:rPr>
          <w:rFonts w:ascii="Tahoma" w:hAnsi="Tahoma"/>
        </w:rPr>
        <w:t xml:space="preserve">Gale and Parker (2014) believe that the views of students from non-traditional backgrounds are underrepresented in research and </w:t>
      </w:r>
      <w:r w:rsidR="004B23E3">
        <w:rPr>
          <w:rFonts w:ascii="Tahoma" w:hAnsi="Tahoma"/>
        </w:rPr>
        <w:t>further</w:t>
      </w:r>
      <w:r w:rsidR="00577C09" w:rsidRPr="00650F05">
        <w:rPr>
          <w:rFonts w:ascii="Tahoma" w:hAnsi="Tahoma"/>
        </w:rPr>
        <w:t xml:space="preserve"> research is required to add to the corpus of inquiry on transitions.</w:t>
      </w:r>
      <w:r w:rsidR="00AE7763" w:rsidRPr="00650F05">
        <w:rPr>
          <w:rFonts w:ascii="Tahoma" w:hAnsi="Tahoma"/>
        </w:rPr>
        <w:t xml:space="preserve"> </w:t>
      </w:r>
      <w:r w:rsidRPr="00650F05">
        <w:rPr>
          <w:rFonts w:ascii="Tahoma" w:hAnsi="Tahoma"/>
        </w:rPr>
        <w:t>Gale and Parker (2014)</w:t>
      </w:r>
      <w:r w:rsidR="00132D73">
        <w:rPr>
          <w:rFonts w:ascii="Tahoma" w:hAnsi="Tahoma"/>
        </w:rPr>
        <w:t xml:space="preserve"> </w:t>
      </w:r>
      <w:r w:rsidR="00DF0355">
        <w:rPr>
          <w:rFonts w:ascii="Tahoma" w:hAnsi="Tahoma"/>
        </w:rPr>
        <w:t xml:space="preserve">believe that </w:t>
      </w:r>
      <w:r w:rsidR="00867BF7" w:rsidRPr="00650F05">
        <w:rPr>
          <w:rFonts w:ascii="Tahoma" w:hAnsi="Tahoma"/>
        </w:rPr>
        <w:t>conceptualising</w:t>
      </w:r>
      <w:r w:rsidRPr="00650F05">
        <w:rPr>
          <w:rFonts w:ascii="Tahoma" w:hAnsi="Tahoma"/>
        </w:rPr>
        <w:t xml:space="preserve"> transition as ‘becoming’ </w:t>
      </w:r>
      <w:r w:rsidR="00241E95" w:rsidRPr="00650F05">
        <w:rPr>
          <w:rFonts w:ascii="Tahoma" w:hAnsi="Tahoma"/>
        </w:rPr>
        <w:t xml:space="preserve">enables researchers to </w:t>
      </w:r>
      <w:r w:rsidR="009C38D0" w:rsidRPr="00650F05">
        <w:rPr>
          <w:rFonts w:ascii="Tahoma" w:hAnsi="Tahoma"/>
        </w:rPr>
        <w:t>comprehend</w:t>
      </w:r>
      <w:r w:rsidR="003E09B4" w:rsidRPr="00650F05">
        <w:rPr>
          <w:rFonts w:ascii="Tahoma" w:hAnsi="Tahoma"/>
        </w:rPr>
        <w:t xml:space="preserve"> transitions</w:t>
      </w:r>
      <w:r w:rsidR="00241E95" w:rsidRPr="00650F05">
        <w:rPr>
          <w:rFonts w:ascii="Tahoma" w:hAnsi="Tahoma"/>
        </w:rPr>
        <w:t xml:space="preserve"> </w:t>
      </w:r>
      <w:r w:rsidR="00D372FC" w:rsidRPr="00650F05">
        <w:rPr>
          <w:rFonts w:ascii="Tahoma" w:hAnsi="Tahoma"/>
        </w:rPr>
        <w:t>as non-</w:t>
      </w:r>
      <w:r w:rsidR="00241E95" w:rsidRPr="00650F05">
        <w:rPr>
          <w:rFonts w:ascii="Tahoma" w:hAnsi="Tahoma"/>
        </w:rPr>
        <w:t>linear</w:t>
      </w:r>
      <w:r w:rsidR="009A2164" w:rsidRPr="00650F05">
        <w:rPr>
          <w:rFonts w:ascii="Tahoma" w:hAnsi="Tahoma"/>
        </w:rPr>
        <w:t xml:space="preserve">, </w:t>
      </w:r>
      <w:r w:rsidR="00241E95" w:rsidRPr="00650F05">
        <w:rPr>
          <w:rFonts w:ascii="Tahoma" w:hAnsi="Tahoma"/>
        </w:rPr>
        <w:t>develop</w:t>
      </w:r>
      <w:r w:rsidR="006478AC">
        <w:rPr>
          <w:rFonts w:ascii="Tahoma" w:hAnsi="Tahoma"/>
        </w:rPr>
        <w:t>ing</w:t>
      </w:r>
      <w:r w:rsidR="00241E95" w:rsidRPr="00650F05">
        <w:rPr>
          <w:rFonts w:ascii="Tahoma" w:hAnsi="Tahoma"/>
        </w:rPr>
        <w:t xml:space="preserve"> a more dynamic account of student transition</w:t>
      </w:r>
      <w:r w:rsidR="005B579B" w:rsidRPr="00650F05">
        <w:rPr>
          <w:rFonts w:ascii="Tahoma" w:hAnsi="Tahoma"/>
        </w:rPr>
        <w:t xml:space="preserve"> across </w:t>
      </w:r>
      <w:r w:rsidR="004A6322" w:rsidRPr="00650F05">
        <w:rPr>
          <w:rFonts w:ascii="Tahoma" w:hAnsi="Tahoma"/>
        </w:rPr>
        <w:t xml:space="preserve">a student’s </w:t>
      </w:r>
      <w:r w:rsidR="00C35DF6" w:rsidRPr="00650F05">
        <w:rPr>
          <w:rFonts w:ascii="Tahoma" w:hAnsi="Tahoma"/>
        </w:rPr>
        <w:t>broader life journey</w:t>
      </w:r>
      <w:r w:rsidR="00A92272" w:rsidRPr="00650F05">
        <w:rPr>
          <w:rFonts w:ascii="Tahoma" w:hAnsi="Tahoma"/>
        </w:rPr>
        <w:t xml:space="preserve"> (Worth, 2009)</w:t>
      </w:r>
      <w:r w:rsidR="005B579B" w:rsidRPr="00650F05">
        <w:rPr>
          <w:rFonts w:ascii="Tahoma" w:hAnsi="Tahoma"/>
        </w:rPr>
        <w:t>.</w:t>
      </w:r>
      <w:r w:rsidR="000E2A4F" w:rsidRPr="00650F05">
        <w:rPr>
          <w:rFonts w:ascii="Tahoma" w:hAnsi="Tahoma"/>
        </w:rPr>
        <w:t xml:space="preserve"> </w:t>
      </w:r>
      <w:r w:rsidR="00AB0EC4">
        <w:rPr>
          <w:rFonts w:ascii="Tahoma" w:hAnsi="Tahoma"/>
        </w:rPr>
        <w:t>T</w:t>
      </w:r>
      <w:r w:rsidR="0038264D" w:rsidRPr="00650F05">
        <w:rPr>
          <w:rFonts w:ascii="Tahoma" w:hAnsi="Tahoma"/>
        </w:rPr>
        <w:t>here</w:t>
      </w:r>
      <w:r w:rsidR="00AA5AB3" w:rsidRPr="00650F05">
        <w:rPr>
          <w:rFonts w:ascii="Tahoma" w:hAnsi="Tahoma"/>
        </w:rPr>
        <w:t xml:space="preserve"> needs </w:t>
      </w:r>
      <w:r w:rsidR="00DE6665" w:rsidRPr="00650F05">
        <w:rPr>
          <w:rFonts w:ascii="Tahoma" w:hAnsi="Tahoma"/>
        </w:rPr>
        <w:t xml:space="preserve">to be </w:t>
      </w:r>
      <w:r w:rsidR="00AA5AB3" w:rsidRPr="00650F05">
        <w:rPr>
          <w:rFonts w:ascii="Tahoma" w:hAnsi="Tahoma"/>
        </w:rPr>
        <w:t>greater openness and flexibility</w:t>
      </w:r>
      <w:r w:rsidR="000E53E9" w:rsidRPr="00650F05">
        <w:rPr>
          <w:rFonts w:ascii="Tahoma" w:hAnsi="Tahoma"/>
        </w:rPr>
        <w:t xml:space="preserve"> about student transition</w:t>
      </w:r>
      <w:r w:rsidR="00162C6F" w:rsidRPr="00650F05">
        <w:rPr>
          <w:rFonts w:ascii="Tahoma" w:hAnsi="Tahoma"/>
        </w:rPr>
        <w:t>, rather than rigidity</w:t>
      </w:r>
      <w:r w:rsidR="001F454C" w:rsidRPr="00650F05">
        <w:rPr>
          <w:rFonts w:ascii="Tahoma" w:hAnsi="Tahoma"/>
        </w:rPr>
        <w:t>,</w:t>
      </w:r>
      <w:r w:rsidR="0084298F" w:rsidRPr="00650F05">
        <w:rPr>
          <w:rFonts w:ascii="Tahoma" w:hAnsi="Tahoma"/>
        </w:rPr>
        <w:t xml:space="preserve"> </w:t>
      </w:r>
      <w:r w:rsidR="00DD6282" w:rsidRPr="00650F05">
        <w:rPr>
          <w:rFonts w:ascii="Tahoma" w:hAnsi="Tahoma"/>
        </w:rPr>
        <w:t xml:space="preserve">and </w:t>
      </w:r>
      <w:r w:rsidR="001F454C" w:rsidRPr="00650F05">
        <w:rPr>
          <w:rFonts w:ascii="Tahoma" w:hAnsi="Tahoma"/>
        </w:rPr>
        <w:t>utilising</w:t>
      </w:r>
      <w:r w:rsidR="00DD6282" w:rsidRPr="00650F05">
        <w:rPr>
          <w:rFonts w:ascii="Tahoma" w:hAnsi="Tahoma"/>
        </w:rPr>
        <w:t xml:space="preserve"> </w:t>
      </w:r>
      <w:r w:rsidR="006478AC">
        <w:rPr>
          <w:rFonts w:ascii="Tahoma" w:hAnsi="Tahoma"/>
        </w:rPr>
        <w:t xml:space="preserve">a paradigm from </w:t>
      </w:r>
      <w:r w:rsidR="003E7DF9" w:rsidRPr="00650F05">
        <w:rPr>
          <w:rFonts w:ascii="Tahoma" w:hAnsi="Tahoma"/>
        </w:rPr>
        <w:t>Gale and Parker’s (2014)</w:t>
      </w:r>
      <w:r w:rsidR="00DD6282" w:rsidRPr="00650F05">
        <w:rPr>
          <w:rFonts w:ascii="Tahoma" w:hAnsi="Tahoma"/>
        </w:rPr>
        <w:t xml:space="preserve"> </w:t>
      </w:r>
      <w:r w:rsidR="001F454C" w:rsidRPr="00650F05">
        <w:rPr>
          <w:rFonts w:ascii="Tahoma" w:hAnsi="Tahoma"/>
        </w:rPr>
        <w:t xml:space="preserve">typology </w:t>
      </w:r>
      <w:r w:rsidR="00C71467">
        <w:rPr>
          <w:rFonts w:ascii="Tahoma" w:hAnsi="Tahoma"/>
        </w:rPr>
        <w:t xml:space="preserve">may </w:t>
      </w:r>
      <w:r w:rsidR="00BE1C92">
        <w:rPr>
          <w:rFonts w:ascii="Tahoma" w:hAnsi="Tahoma"/>
        </w:rPr>
        <w:t>work towards this</w:t>
      </w:r>
      <w:r w:rsidR="00AB0EC4">
        <w:rPr>
          <w:rFonts w:ascii="Tahoma" w:hAnsi="Tahoma"/>
        </w:rPr>
        <w:t xml:space="preserve"> (</w:t>
      </w:r>
      <w:r w:rsidR="00AB0EC4" w:rsidRPr="00650F05">
        <w:rPr>
          <w:rFonts w:ascii="Tahoma" w:hAnsi="Tahoma"/>
        </w:rPr>
        <w:t>Quinn</w:t>
      </w:r>
      <w:r w:rsidR="00AB0EC4">
        <w:rPr>
          <w:rFonts w:ascii="Tahoma" w:hAnsi="Tahoma"/>
        </w:rPr>
        <w:t xml:space="preserve">, </w:t>
      </w:r>
      <w:r w:rsidR="00AB0EC4" w:rsidRPr="00650F05">
        <w:rPr>
          <w:rFonts w:ascii="Tahoma" w:hAnsi="Tahoma"/>
        </w:rPr>
        <w:t>2010)</w:t>
      </w:r>
      <w:r w:rsidR="00B15330" w:rsidRPr="00650F05">
        <w:rPr>
          <w:rFonts w:ascii="Tahoma" w:hAnsi="Tahoma"/>
        </w:rPr>
        <w:t>.</w:t>
      </w:r>
      <w:r w:rsidR="00C71467">
        <w:rPr>
          <w:rFonts w:ascii="Tahoma" w:hAnsi="Tahoma"/>
        </w:rPr>
        <w:t xml:space="preserve"> Therefore, </w:t>
      </w:r>
      <w:r w:rsidR="00C71467" w:rsidRPr="00901893">
        <w:rPr>
          <w:rFonts w:ascii="Tahoma" w:hAnsi="Tahoma"/>
        </w:rPr>
        <w:t xml:space="preserve">this </w:t>
      </w:r>
      <w:r w:rsidR="00EC7223" w:rsidRPr="00901893">
        <w:rPr>
          <w:rFonts w:ascii="Tahoma" w:hAnsi="Tahoma"/>
        </w:rPr>
        <w:t>project</w:t>
      </w:r>
      <w:r w:rsidR="0038264D" w:rsidRPr="00901893">
        <w:rPr>
          <w:rFonts w:ascii="Tahoma" w:hAnsi="Tahoma"/>
        </w:rPr>
        <w:t xml:space="preserve"> will</w:t>
      </w:r>
      <w:r w:rsidR="00301341" w:rsidRPr="00901893">
        <w:rPr>
          <w:rFonts w:ascii="Tahoma" w:hAnsi="Tahoma"/>
        </w:rPr>
        <w:t xml:space="preserve"> </w:t>
      </w:r>
      <w:r w:rsidR="00EC7223" w:rsidRPr="00901893">
        <w:rPr>
          <w:rFonts w:ascii="Tahoma" w:hAnsi="Tahoma"/>
        </w:rPr>
        <w:t xml:space="preserve">add to the body of </w:t>
      </w:r>
      <w:r w:rsidR="0089139A" w:rsidRPr="00901893">
        <w:rPr>
          <w:rFonts w:ascii="Tahoma" w:hAnsi="Tahoma"/>
        </w:rPr>
        <w:t>knowledge</w:t>
      </w:r>
      <w:r w:rsidR="00EC7223" w:rsidRPr="00901893">
        <w:rPr>
          <w:rFonts w:ascii="Tahoma" w:hAnsi="Tahoma"/>
        </w:rPr>
        <w:t xml:space="preserve"> </w:t>
      </w:r>
      <w:r w:rsidR="00656C4C" w:rsidRPr="00901893">
        <w:rPr>
          <w:rFonts w:ascii="Tahoma" w:hAnsi="Tahoma"/>
        </w:rPr>
        <w:t xml:space="preserve">surrounding </w:t>
      </w:r>
      <w:r w:rsidR="00161630" w:rsidRPr="00901893">
        <w:rPr>
          <w:rFonts w:ascii="Tahoma" w:hAnsi="Tahoma"/>
        </w:rPr>
        <w:t xml:space="preserve">HE </w:t>
      </w:r>
      <w:r w:rsidR="00266B76" w:rsidRPr="00901893">
        <w:rPr>
          <w:rFonts w:ascii="Tahoma" w:hAnsi="Tahoma"/>
        </w:rPr>
        <w:t xml:space="preserve">students from </w:t>
      </w:r>
      <w:r w:rsidR="00161630" w:rsidRPr="00901893">
        <w:rPr>
          <w:rFonts w:ascii="Tahoma" w:hAnsi="Tahoma"/>
        </w:rPr>
        <w:t xml:space="preserve">what </w:t>
      </w:r>
      <w:r w:rsidR="00007C5B" w:rsidRPr="00901893">
        <w:rPr>
          <w:rFonts w:ascii="Tahoma" w:hAnsi="Tahoma"/>
        </w:rPr>
        <w:t>Rogers (2005)</w:t>
      </w:r>
      <w:r w:rsidR="00161630" w:rsidRPr="00901893">
        <w:rPr>
          <w:rFonts w:ascii="Tahoma" w:hAnsi="Tahoma"/>
        </w:rPr>
        <w:t xml:space="preserve"> </w:t>
      </w:r>
      <w:r w:rsidR="00656C4C" w:rsidRPr="00901893">
        <w:rPr>
          <w:rFonts w:ascii="Tahoma" w:hAnsi="Tahoma"/>
        </w:rPr>
        <w:t>define</w:t>
      </w:r>
      <w:r w:rsidR="00BF2CF2" w:rsidRPr="00901893">
        <w:rPr>
          <w:rFonts w:ascii="Tahoma" w:hAnsi="Tahoma"/>
        </w:rPr>
        <w:t>s</w:t>
      </w:r>
      <w:r w:rsidR="00007C5B" w:rsidRPr="00901893">
        <w:rPr>
          <w:rFonts w:ascii="Tahoma" w:hAnsi="Tahoma"/>
        </w:rPr>
        <w:t xml:space="preserve"> as </w:t>
      </w:r>
      <w:r w:rsidR="00266B76" w:rsidRPr="00901893">
        <w:rPr>
          <w:rFonts w:ascii="Tahoma" w:hAnsi="Tahoma"/>
        </w:rPr>
        <w:t>non-traditional backgrounds</w:t>
      </w:r>
      <w:r w:rsidR="00FF34A0" w:rsidRPr="00901893">
        <w:rPr>
          <w:rFonts w:ascii="Tahoma" w:hAnsi="Tahoma"/>
        </w:rPr>
        <w:t xml:space="preserve">, </w:t>
      </w:r>
      <w:r w:rsidR="0043088B" w:rsidRPr="00901893">
        <w:rPr>
          <w:rFonts w:ascii="Tahoma" w:hAnsi="Tahoma"/>
        </w:rPr>
        <w:t xml:space="preserve">whilst </w:t>
      </w:r>
      <w:r w:rsidR="004D34F6" w:rsidRPr="00901893">
        <w:rPr>
          <w:rFonts w:ascii="Tahoma" w:hAnsi="Tahoma"/>
        </w:rPr>
        <w:t xml:space="preserve">adding </w:t>
      </w:r>
      <w:r w:rsidR="0043088B" w:rsidRPr="00901893">
        <w:rPr>
          <w:rFonts w:ascii="Tahoma" w:hAnsi="Tahoma"/>
        </w:rPr>
        <w:t xml:space="preserve">to the body of </w:t>
      </w:r>
      <w:r w:rsidR="00156504" w:rsidRPr="00901893">
        <w:rPr>
          <w:rFonts w:ascii="Tahoma" w:hAnsi="Tahoma"/>
        </w:rPr>
        <w:t xml:space="preserve">research </w:t>
      </w:r>
      <w:r w:rsidR="0043088B" w:rsidRPr="00901893">
        <w:rPr>
          <w:rFonts w:ascii="Tahoma" w:hAnsi="Tahoma"/>
        </w:rPr>
        <w:t>that</w:t>
      </w:r>
      <w:r w:rsidR="00812E47" w:rsidRPr="00901893">
        <w:rPr>
          <w:rFonts w:ascii="Tahoma" w:hAnsi="Tahoma"/>
        </w:rPr>
        <w:t xml:space="preserve"> </w:t>
      </w:r>
      <w:r w:rsidR="000C1CA8" w:rsidRPr="00901893">
        <w:rPr>
          <w:rFonts w:ascii="Tahoma" w:hAnsi="Tahoma"/>
        </w:rPr>
        <w:t xml:space="preserve">Gale and Parker (2014) </w:t>
      </w:r>
      <w:r w:rsidR="00812E47" w:rsidRPr="00901893">
        <w:rPr>
          <w:rFonts w:ascii="Tahoma" w:hAnsi="Tahoma"/>
        </w:rPr>
        <w:t>label as</w:t>
      </w:r>
      <w:r w:rsidR="000C1CA8" w:rsidRPr="00901893">
        <w:rPr>
          <w:rFonts w:ascii="Tahoma" w:hAnsi="Tahoma"/>
        </w:rPr>
        <w:t xml:space="preserve"> ‘becoming’</w:t>
      </w:r>
      <w:r w:rsidR="000C3A15" w:rsidRPr="00901893">
        <w:rPr>
          <w:rFonts w:ascii="Tahoma" w:hAnsi="Tahoma"/>
        </w:rPr>
        <w:t>,</w:t>
      </w:r>
      <w:r w:rsidR="000C1CA8" w:rsidRPr="00901893">
        <w:rPr>
          <w:rFonts w:ascii="Tahoma" w:hAnsi="Tahoma"/>
        </w:rPr>
        <w:t xml:space="preserve"> </w:t>
      </w:r>
      <w:r w:rsidR="009359D8" w:rsidRPr="00901893">
        <w:rPr>
          <w:rFonts w:ascii="Tahoma" w:hAnsi="Tahoma"/>
        </w:rPr>
        <w:t xml:space="preserve">by exploring and </w:t>
      </w:r>
      <w:r w:rsidR="002E1EB7" w:rsidRPr="00901893">
        <w:rPr>
          <w:rFonts w:ascii="Tahoma" w:hAnsi="Tahoma"/>
        </w:rPr>
        <w:t>contextualis</w:t>
      </w:r>
      <w:r w:rsidR="009359D8" w:rsidRPr="00901893">
        <w:rPr>
          <w:rFonts w:ascii="Tahoma" w:hAnsi="Tahoma"/>
        </w:rPr>
        <w:t>ing</w:t>
      </w:r>
      <w:r w:rsidR="002E1EB7" w:rsidRPr="00901893">
        <w:rPr>
          <w:rFonts w:ascii="Tahoma" w:hAnsi="Tahoma"/>
        </w:rPr>
        <w:t xml:space="preserve"> </w:t>
      </w:r>
      <w:r w:rsidR="00983949" w:rsidRPr="00901893">
        <w:rPr>
          <w:rFonts w:ascii="Tahoma" w:hAnsi="Tahoma"/>
        </w:rPr>
        <w:t xml:space="preserve">how </w:t>
      </w:r>
      <w:r w:rsidR="00924706" w:rsidRPr="00901893">
        <w:rPr>
          <w:rFonts w:ascii="Tahoma" w:hAnsi="Tahoma"/>
        </w:rPr>
        <w:t>non-traditional students</w:t>
      </w:r>
      <w:r w:rsidR="00983949" w:rsidRPr="00901893">
        <w:rPr>
          <w:rFonts w:ascii="Tahoma" w:hAnsi="Tahoma"/>
        </w:rPr>
        <w:t xml:space="preserve"> perceive</w:t>
      </w:r>
      <w:r w:rsidR="00C2165A" w:rsidRPr="00901893">
        <w:rPr>
          <w:rFonts w:ascii="Tahoma" w:hAnsi="Tahoma"/>
        </w:rPr>
        <w:t xml:space="preserve"> </w:t>
      </w:r>
      <w:r w:rsidR="008F711D" w:rsidRPr="00901893">
        <w:rPr>
          <w:rFonts w:ascii="Tahoma" w:hAnsi="Tahoma"/>
        </w:rPr>
        <w:t xml:space="preserve">their readiness and preparedness for </w:t>
      </w:r>
      <w:r w:rsidR="00235675" w:rsidRPr="00901893">
        <w:rPr>
          <w:rFonts w:ascii="Tahoma" w:hAnsi="Tahoma"/>
        </w:rPr>
        <w:t>a new</w:t>
      </w:r>
      <w:r w:rsidR="00571780" w:rsidRPr="00901893">
        <w:rPr>
          <w:rFonts w:ascii="Tahoma" w:hAnsi="Tahoma"/>
        </w:rPr>
        <w:t xml:space="preserve"> stage of their life </w:t>
      </w:r>
      <w:r w:rsidR="00D14AF6" w:rsidRPr="00901893">
        <w:rPr>
          <w:rFonts w:ascii="Tahoma" w:hAnsi="Tahoma"/>
        </w:rPr>
        <w:t>transition</w:t>
      </w:r>
      <w:r w:rsidR="00094A7B" w:rsidRPr="00901893">
        <w:rPr>
          <w:rFonts w:ascii="Tahoma" w:hAnsi="Tahoma"/>
        </w:rPr>
        <w:t>- progressing</w:t>
      </w:r>
      <w:r w:rsidR="00D14AF6" w:rsidRPr="00901893">
        <w:rPr>
          <w:rFonts w:ascii="Tahoma" w:hAnsi="Tahoma"/>
        </w:rPr>
        <w:t xml:space="preserve"> </w:t>
      </w:r>
      <w:r w:rsidR="00B51BA5" w:rsidRPr="00901893">
        <w:rPr>
          <w:rFonts w:ascii="Tahoma" w:hAnsi="Tahoma"/>
        </w:rPr>
        <w:t>into work</w:t>
      </w:r>
      <w:r w:rsidR="00C61C5E" w:rsidRPr="00901893">
        <w:rPr>
          <w:rFonts w:ascii="Tahoma" w:hAnsi="Tahoma"/>
        </w:rPr>
        <w:t xml:space="preserve"> </w:t>
      </w:r>
      <w:r w:rsidR="00B51BA5" w:rsidRPr="00901893">
        <w:rPr>
          <w:rFonts w:ascii="Tahoma" w:hAnsi="Tahoma"/>
        </w:rPr>
        <w:t>after graduation</w:t>
      </w:r>
      <w:r w:rsidR="00C61C5E" w:rsidRPr="00901893">
        <w:rPr>
          <w:rFonts w:ascii="Tahoma" w:hAnsi="Tahoma"/>
        </w:rPr>
        <w:t>.</w:t>
      </w:r>
    </w:p>
    <w:p w14:paraId="364F85CC" w14:textId="77777777" w:rsidR="003466E2" w:rsidRPr="00650F05" w:rsidRDefault="003466E2" w:rsidP="00244B00">
      <w:pPr>
        <w:spacing w:line="480" w:lineRule="auto"/>
        <w:jc w:val="both"/>
        <w:rPr>
          <w:rFonts w:ascii="Tahoma" w:hAnsi="Tahoma"/>
        </w:rPr>
      </w:pPr>
    </w:p>
    <w:p w14:paraId="01C33733" w14:textId="0A0E64D7" w:rsidR="00392C3C" w:rsidRPr="00650F05" w:rsidRDefault="001B5468" w:rsidP="008F2A23">
      <w:pPr>
        <w:spacing w:line="480" w:lineRule="auto"/>
        <w:jc w:val="both"/>
        <w:rPr>
          <w:rFonts w:ascii="Tahoma" w:hAnsi="Tahoma"/>
          <w:b/>
          <w:bCs/>
        </w:rPr>
      </w:pPr>
      <w:r w:rsidRPr="00650F05">
        <w:rPr>
          <w:rFonts w:ascii="Tahoma" w:hAnsi="Tahoma"/>
          <w:b/>
          <w:bCs/>
        </w:rPr>
        <w:t>Further Context</w:t>
      </w:r>
    </w:p>
    <w:p w14:paraId="79AC7DE8" w14:textId="590F7E85" w:rsidR="00BA43A2" w:rsidRPr="00D51729" w:rsidRDefault="00BE2CE8" w:rsidP="008F2A23">
      <w:pPr>
        <w:spacing w:line="480" w:lineRule="auto"/>
        <w:jc w:val="both"/>
        <w:rPr>
          <w:rFonts w:ascii="Tahoma" w:hAnsi="Tahoma"/>
          <w:i/>
          <w:iCs/>
        </w:rPr>
      </w:pPr>
      <w:r w:rsidRPr="00D51729">
        <w:rPr>
          <w:rFonts w:ascii="Tahoma" w:hAnsi="Tahoma"/>
          <w:i/>
          <w:iCs/>
        </w:rPr>
        <w:t xml:space="preserve">Career </w:t>
      </w:r>
      <w:r w:rsidR="00D72636" w:rsidRPr="00D51729">
        <w:rPr>
          <w:rFonts w:ascii="Tahoma" w:hAnsi="Tahoma"/>
          <w:i/>
          <w:iCs/>
        </w:rPr>
        <w:t>R</w:t>
      </w:r>
      <w:r w:rsidR="00BA43A2" w:rsidRPr="00D51729">
        <w:rPr>
          <w:rFonts w:ascii="Tahoma" w:hAnsi="Tahoma"/>
          <w:i/>
          <w:iCs/>
        </w:rPr>
        <w:t>eadiness</w:t>
      </w:r>
    </w:p>
    <w:p w14:paraId="1D1BA94C" w14:textId="658E4F89" w:rsidR="00BB5F9C" w:rsidRPr="00650F05" w:rsidRDefault="0045536D" w:rsidP="00A73D7B">
      <w:pPr>
        <w:spacing w:line="480" w:lineRule="auto"/>
        <w:jc w:val="both"/>
        <w:rPr>
          <w:rFonts w:ascii="Tahoma" w:hAnsi="Tahoma"/>
        </w:rPr>
      </w:pPr>
      <w:r w:rsidRPr="00650F05">
        <w:rPr>
          <w:rFonts w:ascii="Tahoma" w:hAnsi="Tahoma"/>
        </w:rPr>
        <w:t xml:space="preserve">Universities </w:t>
      </w:r>
      <w:r w:rsidR="00674886" w:rsidRPr="00650F05">
        <w:rPr>
          <w:rFonts w:ascii="Tahoma" w:hAnsi="Tahoma"/>
        </w:rPr>
        <w:t xml:space="preserve">are </w:t>
      </w:r>
      <w:r w:rsidR="007A52BE" w:rsidRPr="00650F05">
        <w:rPr>
          <w:rFonts w:ascii="Tahoma" w:hAnsi="Tahoma"/>
        </w:rPr>
        <w:t xml:space="preserve">widely </w:t>
      </w:r>
      <w:r w:rsidR="00BE2CE8" w:rsidRPr="00650F05">
        <w:rPr>
          <w:rFonts w:ascii="Tahoma" w:hAnsi="Tahoma"/>
        </w:rPr>
        <w:t>viewed</w:t>
      </w:r>
      <w:r w:rsidR="00A055DC" w:rsidRPr="00650F05">
        <w:rPr>
          <w:rFonts w:ascii="Tahoma" w:hAnsi="Tahoma"/>
        </w:rPr>
        <w:t xml:space="preserve"> as </w:t>
      </w:r>
      <w:r w:rsidR="00596663" w:rsidRPr="00650F05">
        <w:rPr>
          <w:rFonts w:ascii="Tahoma" w:hAnsi="Tahoma"/>
        </w:rPr>
        <w:t>educational provider</w:t>
      </w:r>
      <w:r w:rsidR="00BE2CE8" w:rsidRPr="00650F05">
        <w:rPr>
          <w:rFonts w:ascii="Tahoma" w:hAnsi="Tahoma"/>
        </w:rPr>
        <w:t>s</w:t>
      </w:r>
      <w:r w:rsidR="00596663" w:rsidRPr="00650F05">
        <w:rPr>
          <w:rFonts w:ascii="Tahoma" w:hAnsi="Tahoma"/>
        </w:rPr>
        <w:t xml:space="preserve"> </w:t>
      </w:r>
      <w:r w:rsidR="00BE2CE8" w:rsidRPr="00650F05">
        <w:rPr>
          <w:rFonts w:ascii="Tahoma" w:hAnsi="Tahoma"/>
        </w:rPr>
        <w:t xml:space="preserve">which </w:t>
      </w:r>
      <w:r w:rsidR="00860E9B" w:rsidRPr="00650F05">
        <w:rPr>
          <w:rFonts w:ascii="Tahoma" w:hAnsi="Tahoma"/>
        </w:rPr>
        <w:t xml:space="preserve">are </w:t>
      </w:r>
      <w:r w:rsidR="00674886" w:rsidRPr="00650F05">
        <w:rPr>
          <w:rFonts w:ascii="Tahoma" w:hAnsi="Tahoma"/>
        </w:rPr>
        <w:t>unique</w:t>
      </w:r>
      <w:r w:rsidR="00596663" w:rsidRPr="00650F05">
        <w:rPr>
          <w:rFonts w:ascii="Tahoma" w:hAnsi="Tahoma"/>
        </w:rPr>
        <w:t>ly</w:t>
      </w:r>
      <w:r w:rsidR="00674886" w:rsidRPr="00650F05">
        <w:rPr>
          <w:rFonts w:ascii="Tahoma" w:hAnsi="Tahoma"/>
        </w:rPr>
        <w:t xml:space="preserve"> </w:t>
      </w:r>
      <w:r w:rsidR="00860E9B" w:rsidRPr="00650F05">
        <w:rPr>
          <w:rFonts w:ascii="Tahoma" w:hAnsi="Tahoma"/>
        </w:rPr>
        <w:t xml:space="preserve">able </w:t>
      </w:r>
      <w:r w:rsidR="00674886" w:rsidRPr="00650F05">
        <w:rPr>
          <w:rFonts w:ascii="Tahoma" w:hAnsi="Tahoma"/>
        </w:rPr>
        <w:t>to provide</w:t>
      </w:r>
      <w:r w:rsidR="000777FD" w:rsidRPr="00650F05">
        <w:rPr>
          <w:rFonts w:ascii="Tahoma" w:hAnsi="Tahoma"/>
        </w:rPr>
        <w:t xml:space="preserve"> both knowledge and experiences </w:t>
      </w:r>
      <w:r w:rsidR="003918AA" w:rsidRPr="00650F05">
        <w:rPr>
          <w:rFonts w:ascii="Tahoma" w:hAnsi="Tahoma"/>
        </w:rPr>
        <w:t>to prepare</w:t>
      </w:r>
      <w:r w:rsidR="000777FD" w:rsidRPr="00650F05">
        <w:rPr>
          <w:rFonts w:ascii="Tahoma" w:hAnsi="Tahoma"/>
        </w:rPr>
        <w:t xml:space="preserve"> </w:t>
      </w:r>
      <w:r w:rsidR="00495F87" w:rsidRPr="00650F05">
        <w:rPr>
          <w:rFonts w:ascii="Tahoma" w:hAnsi="Tahoma"/>
        </w:rPr>
        <w:t xml:space="preserve">students </w:t>
      </w:r>
      <w:r w:rsidR="000777FD" w:rsidRPr="00650F05">
        <w:rPr>
          <w:rFonts w:ascii="Tahoma" w:hAnsi="Tahoma"/>
        </w:rPr>
        <w:t>for future careers</w:t>
      </w:r>
      <w:r w:rsidR="003A73A1" w:rsidRPr="00650F05">
        <w:rPr>
          <w:rFonts w:ascii="Tahoma" w:hAnsi="Tahoma"/>
        </w:rPr>
        <w:t xml:space="preserve"> (</w:t>
      </w:r>
      <w:r w:rsidR="00677BEF" w:rsidRPr="00650F05">
        <w:rPr>
          <w:rFonts w:ascii="Tahoma" w:hAnsi="Tahoma"/>
        </w:rPr>
        <w:t>Muñiz and Eimerbrink, 2018</w:t>
      </w:r>
      <w:r w:rsidR="003A73A1" w:rsidRPr="00650F05">
        <w:rPr>
          <w:rFonts w:ascii="Tahoma" w:hAnsi="Tahoma"/>
        </w:rPr>
        <w:t>)</w:t>
      </w:r>
      <w:r w:rsidR="009F7596" w:rsidRPr="00650F05">
        <w:rPr>
          <w:rFonts w:ascii="Tahoma" w:hAnsi="Tahoma"/>
        </w:rPr>
        <w:t>;</w:t>
      </w:r>
      <w:r w:rsidR="00860E9B" w:rsidRPr="00650F05">
        <w:rPr>
          <w:rFonts w:ascii="Tahoma" w:hAnsi="Tahoma"/>
        </w:rPr>
        <w:t xml:space="preserve"> </w:t>
      </w:r>
      <w:r w:rsidR="000B1A37" w:rsidRPr="00650F05">
        <w:rPr>
          <w:rFonts w:ascii="Tahoma" w:hAnsi="Tahoma"/>
        </w:rPr>
        <w:t xml:space="preserve">emphasising the crucial role that </w:t>
      </w:r>
      <w:r w:rsidR="00DC08E3" w:rsidRPr="00650F05">
        <w:rPr>
          <w:rFonts w:ascii="Tahoma" w:hAnsi="Tahoma"/>
        </w:rPr>
        <w:t>HEI</w:t>
      </w:r>
      <w:r w:rsidR="00BC0D0F" w:rsidRPr="00650F05">
        <w:rPr>
          <w:rFonts w:ascii="Tahoma" w:hAnsi="Tahoma"/>
        </w:rPr>
        <w:t xml:space="preserve">’s play in </w:t>
      </w:r>
      <w:r w:rsidR="00214575" w:rsidRPr="00650F05">
        <w:rPr>
          <w:rFonts w:ascii="Tahoma" w:hAnsi="Tahoma"/>
        </w:rPr>
        <w:t>‘</w:t>
      </w:r>
      <w:r w:rsidR="00BC0D0F" w:rsidRPr="00650F05">
        <w:rPr>
          <w:rFonts w:ascii="Tahoma" w:hAnsi="Tahoma"/>
        </w:rPr>
        <w:t>career readiness</w:t>
      </w:r>
      <w:r w:rsidR="00214575" w:rsidRPr="00650F05">
        <w:rPr>
          <w:rFonts w:ascii="Tahoma" w:hAnsi="Tahoma"/>
        </w:rPr>
        <w:t>’</w:t>
      </w:r>
      <w:r w:rsidR="003A73A1" w:rsidRPr="00650F05">
        <w:rPr>
          <w:rFonts w:ascii="Tahoma" w:hAnsi="Tahoma"/>
        </w:rPr>
        <w:t xml:space="preserve">. </w:t>
      </w:r>
      <w:r w:rsidR="008178E6" w:rsidRPr="00650F05">
        <w:rPr>
          <w:rFonts w:ascii="Tahoma" w:hAnsi="Tahoma"/>
        </w:rPr>
        <w:t>Whilst</w:t>
      </w:r>
      <w:r w:rsidR="004B18F8" w:rsidRPr="00650F05">
        <w:rPr>
          <w:rFonts w:ascii="Tahoma" w:hAnsi="Tahoma"/>
        </w:rPr>
        <w:t xml:space="preserve"> </w:t>
      </w:r>
      <w:r w:rsidR="00171FE2" w:rsidRPr="00650F05">
        <w:rPr>
          <w:rFonts w:ascii="Tahoma" w:hAnsi="Tahoma"/>
        </w:rPr>
        <w:t>McSweeney and Williams (201</w:t>
      </w:r>
      <w:r w:rsidR="00DF5056" w:rsidRPr="00650F05">
        <w:rPr>
          <w:rFonts w:ascii="Tahoma" w:hAnsi="Tahoma"/>
        </w:rPr>
        <w:t>9</w:t>
      </w:r>
      <w:r w:rsidR="00171FE2" w:rsidRPr="00650F05">
        <w:rPr>
          <w:rFonts w:ascii="Tahoma" w:hAnsi="Tahoma"/>
        </w:rPr>
        <w:t xml:space="preserve">, p.359) </w:t>
      </w:r>
      <w:r w:rsidR="002C1712" w:rsidRPr="00650F05">
        <w:rPr>
          <w:rFonts w:ascii="Tahoma" w:hAnsi="Tahoma"/>
        </w:rPr>
        <w:t>defined</w:t>
      </w:r>
      <w:r w:rsidR="004B281B" w:rsidRPr="00650F05">
        <w:rPr>
          <w:rFonts w:ascii="Tahoma" w:hAnsi="Tahoma"/>
        </w:rPr>
        <w:t xml:space="preserve"> readiness</w:t>
      </w:r>
      <w:r w:rsidR="00EC2B87" w:rsidRPr="00650F05">
        <w:rPr>
          <w:rFonts w:ascii="Tahoma" w:hAnsi="Tahoma"/>
        </w:rPr>
        <w:t xml:space="preserve"> </w:t>
      </w:r>
      <w:r w:rsidR="002C1712" w:rsidRPr="00650F05">
        <w:rPr>
          <w:rFonts w:ascii="Tahoma" w:hAnsi="Tahoma"/>
        </w:rPr>
        <w:t>as</w:t>
      </w:r>
      <w:r w:rsidR="00171FE2" w:rsidRPr="00650F05">
        <w:rPr>
          <w:rFonts w:ascii="Tahoma" w:hAnsi="Tahoma"/>
        </w:rPr>
        <w:t xml:space="preserve"> “the students’ perceptions of whether they feel capable</w:t>
      </w:r>
      <w:r w:rsidR="007030EE" w:rsidRPr="00650F05">
        <w:rPr>
          <w:rFonts w:ascii="Tahoma" w:hAnsi="Tahoma"/>
        </w:rPr>
        <w:t>…</w:t>
      </w:r>
      <w:r w:rsidR="00171FE2" w:rsidRPr="00650F05">
        <w:rPr>
          <w:rFonts w:ascii="Tahoma" w:hAnsi="Tahoma"/>
        </w:rPr>
        <w:t>”</w:t>
      </w:r>
      <w:r w:rsidR="00EC2B87" w:rsidRPr="00650F05">
        <w:rPr>
          <w:rFonts w:ascii="Tahoma" w:hAnsi="Tahoma"/>
        </w:rPr>
        <w:t xml:space="preserve">, it is important </w:t>
      </w:r>
      <w:r w:rsidR="000752D3" w:rsidRPr="00650F05">
        <w:rPr>
          <w:rFonts w:ascii="Tahoma" w:hAnsi="Tahoma"/>
        </w:rPr>
        <w:t xml:space="preserve">for context </w:t>
      </w:r>
      <w:r w:rsidR="000E3201" w:rsidRPr="00650F05">
        <w:rPr>
          <w:rFonts w:ascii="Tahoma" w:hAnsi="Tahoma"/>
        </w:rPr>
        <w:t>to</w:t>
      </w:r>
      <w:r w:rsidR="00EC2B87" w:rsidRPr="00650F05">
        <w:rPr>
          <w:rFonts w:ascii="Tahoma" w:hAnsi="Tahoma"/>
        </w:rPr>
        <w:t xml:space="preserve"> differentiate between that of readiness and career readiness</w:t>
      </w:r>
      <w:r w:rsidR="00FE488E" w:rsidRPr="00650F05">
        <w:rPr>
          <w:rFonts w:ascii="Tahoma" w:hAnsi="Tahoma"/>
        </w:rPr>
        <w:t>.</w:t>
      </w:r>
      <w:r w:rsidR="003153C2" w:rsidRPr="00650F05">
        <w:rPr>
          <w:rFonts w:ascii="Tahoma" w:hAnsi="Tahoma"/>
        </w:rPr>
        <w:t xml:space="preserve"> </w:t>
      </w:r>
      <w:r w:rsidR="000752D3" w:rsidRPr="00650F05">
        <w:rPr>
          <w:rFonts w:ascii="Tahoma" w:hAnsi="Tahoma"/>
        </w:rPr>
        <w:t>T</w:t>
      </w:r>
      <w:r w:rsidR="003153C2" w:rsidRPr="00650F05">
        <w:rPr>
          <w:rFonts w:ascii="Tahoma" w:hAnsi="Tahoma"/>
        </w:rPr>
        <w:t xml:space="preserve">herefore, </w:t>
      </w:r>
      <w:r w:rsidR="00352515" w:rsidRPr="00650F05">
        <w:rPr>
          <w:rFonts w:ascii="Tahoma" w:hAnsi="Tahoma"/>
        </w:rPr>
        <w:t xml:space="preserve">the </w:t>
      </w:r>
      <w:r w:rsidR="004657F0" w:rsidRPr="00650F05">
        <w:rPr>
          <w:rFonts w:ascii="Tahoma" w:hAnsi="Tahoma"/>
        </w:rPr>
        <w:t xml:space="preserve">term </w:t>
      </w:r>
      <w:r w:rsidR="00681AA7" w:rsidRPr="00650F05">
        <w:rPr>
          <w:rFonts w:ascii="Tahoma" w:hAnsi="Tahoma"/>
        </w:rPr>
        <w:t xml:space="preserve">career </w:t>
      </w:r>
      <w:r w:rsidR="004657F0" w:rsidRPr="00650F05">
        <w:rPr>
          <w:rFonts w:ascii="Tahoma" w:hAnsi="Tahoma"/>
        </w:rPr>
        <w:t>readiness</w:t>
      </w:r>
      <w:r w:rsidR="003C022A" w:rsidRPr="00650F05">
        <w:rPr>
          <w:rFonts w:ascii="Tahoma" w:hAnsi="Tahoma"/>
        </w:rPr>
        <w:t xml:space="preserve"> </w:t>
      </w:r>
      <w:r w:rsidR="00E83B30" w:rsidRPr="00650F05">
        <w:rPr>
          <w:rFonts w:ascii="Tahoma" w:hAnsi="Tahoma"/>
        </w:rPr>
        <w:t xml:space="preserve">will be defined as </w:t>
      </w:r>
      <w:r w:rsidR="005C56B1" w:rsidRPr="00650F05">
        <w:rPr>
          <w:rFonts w:ascii="Tahoma" w:hAnsi="Tahoma"/>
        </w:rPr>
        <w:lastRenderedPageBreak/>
        <w:t>“</w:t>
      </w:r>
      <w:r w:rsidR="00E83B30" w:rsidRPr="00650F05">
        <w:rPr>
          <w:rFonts w:ascii="Tahoma" w:hAnsi="Tahoma"/>
        </w:rPr>
        <w:t xml:space="preserve">possessing </w:t>
      </w:r>
      <w:r w:rsidR="0038010C" w:rsidRPr="00650F05">
        <w:rPr>
          <w:rFonts w:ascii="Tahoma" w:hAnsi="Tahoma"/>
        </w:rPr>
        <w:t>skills presumed necessary for workforce success</w:t>
      </w:r>
      <w:r w:rsidR="005C56B1" w:rsidRPr="00650F05">
        <w:rPr>
          <w:rFonts w:ascii="Tahoma" w:hAnsi="Tahoma"/>
        </w:rPr>
        <w:t>” (Mattern</w:t>
      </w:r>
      <w:r w:rsidR="005F14C6" w:rsidRPr="00650F05">
        <w:rPr>
          <w:rFonts w:ascii="Tahoma" w:hAnsi="Tahoma"/>
        </w:rPr>
        <w:t xml:space="preserve"> </w:t>
      </w:r>
      <w:r w:rsidR="005F14C6" w:rsidRPr="00D51729">
        <w:rPr>
          <w:rFonts w:ascii="Tahoma" w:hAnsi="Tahoma"/>
          <w:i/>
          <w:iCs/>
        </w:rPr>
        <w:t>et al</w:t>
      </w:r>
      <w:r w:rsidR="005F14C6" w:rsidRPr="00650F05">
        <w:rPr>
          <w:rFonts w:ascii="Tahoma" w:hAnsi="Tahoma"/>
        </w:rPr>
        <w:t>., 2014)</w:t>
      </w:r>
      <w:r w:rsidR="002F15A7" w:rsidRPr="00650F05">
        <w:rPr>
          <w:rFonts w:ascii="Tahoma" w:hAnsi="Tahoma"/>
        </w:rPr>
        <w:t>.</w:t>
      </w:r>
      <w:r w:rsidR="00656C27" w:rsidRPr="00650F05">
        <w:rPr>
          <w:rFonts w:ascii="Tahoma" w:hAnsi="Tahoma"/>
        </w:rPr>
        <w:t xml:space="preserve"> </w:t>
      </w:r>
      <w:r w:rsidR="002F15A7" w:rsidRPr="00650F05">
        <w:rPr>
          <w:rFonts w:ascii="Tahoma" w:hAnsi="Tahoma"/>
        </w:rPr>
        <w:t xml:space="preserve">This definition </w:t>
      </w:r>
      <w:r w:rsidR="007D74C8" w:rsidRPr="00650F05">
        <w:rPr>
          <w:rFonts w:ascii="Tahoma" w:hAnsi="Tahoma"/>
        </w:rPr>
        <w:t>encapsulates</w:t>
      </w:r>
      <w:r w:rsidR="006526A8" w:rsidRPr="00650F05">
        <w:rPr>
          <w:rFonts w:ascii="Tahoma" w:hAnsi="Tahoma"/>
        </w:rPr>
        <w:t xml:space="preserve"> the multifaceted professional requirements</w:t>
      </w:r>
      <w:r w:rsidR="00602816" w:rsidRPr="00650F05">
        <w:rPr>
          <w:rFonts w:ascii="Tahoma" w:hAnsi="Tahoma"/>
        </w:rPr>
        <w:t xml:space="preserve">, relevant </w:t>
      </w:r>
      <w:r w:rsidR="004B1D66" w:rsidRPr="00650F05">
        <w:rPr>
          <w:rFonts w:ascii="Tahoma" w:hAnsi="Tahoma"/>
        </w:rPr>
        <w:t>knowledge,</w:t>
      </w:r>
      <w:r w:rsidR="00602816" w:rsidRPr="00650F05">
        <w:rPr>
          <w:rFonts w:ascii="Tahoma" w:hAnsi="Tahoma"/>
        </w:rPr>
        <w:t xml:space="preserve"> and technical skills</w:t>
      </w:r>
      <w:r w:rsidR="006B7887" w:rsidRPr="00650F05">
        <w:rPr>
          <w:rFonts w:ascii="Tahoma" w:hAnsi="Tahoma"/>
        </w:rPr>
        <w:t xml:space="preserve"> </w:t>
      </w:r>
      <w:r w:rsidR="00B11EC0" w:rsidRPr="00650F05">
        <w:rPr>
          <w:rFonts w:ascii="Tahoma" w:hAnsi="Tahoma"/>
        </w:rPr>
        <w:t xml:space="preserve">that students </w:t>
      </w:r>
      <w:r w:rsidR="00991080" w:rsidRPr="00650F05">
        <w:rPr>
          <w:rFonts w:ascii="Tahoma" w:hAnsi="Tahoma"/>
        </w:rPr>
        <w:t>require for</w:t>
      </w:r>
      <w:r w:rsidR="006B7887" w:rsidRPr="00650F05">
        <w:rPr>
          <w:rFonts w:ascii="Tahoma" w:hAnsi="Tahoma"/>
        </w:rPr>
        <w:t xml:space="preserve"> specific </w:t>
      </w:r>
      <w:r w:rsidR="00F533DB" w:rsidRPr="00650F05">
        <w:rPr>
          <w:rFonts w:ascii="Tahoma" w:hAnsi="Tahoma"/>
        </w:rPr>
        <w:t>job role</w:t>
      </w:r>
      <w:r w:rsidR="00991080" w:rsidRPr="00650F05">
        <w:rPr>
          <w:rFonts w:ascii="Tahoma" w:hAnsi="Tahoma"/>
        </w:rPr>
        <w:t>s</w:t>
      </w:r>
      <w:r w:rsidR="00F533DB" w:rsidRPr="00650F05">
        <w:rPr>
          <w:rFonts w:ascii="Tahoma" w:hAnsi="Tahoma"/>
        </w:rPr>
        <w:t xml:space="preserve"> in industry</w:t>
      </w:r>
      <w:r w:rsidR="00857AAE" w:rsidRPr="00650F05">
        <w:rPr>
          <w:rFonts w:ascii="Tahoma" w:hAnsi="Tahoma"/>
        </w:rPr>
        <w:t xml:space="preserve"> (Muñiz and Eimerbrink, 2018)</w:t>
      </w:r>
      <w:r w:rsidR="006B7887" w:rsidRPr="00650F05">
        <w:rPr>
          <w:rFonts w:ascii="Tahoma" w:hAnsi="Tahoma"/>
        </w:rPr>
        <w:t>.</w:t>
      </w:r>
    </w:p>
    <w:p w14:paraId="24B958E1" w14:textId="77DE8877" w:rsidR="008C6D05" w:rsidRPr="00650F05" w:rsidRDefault="00077C59" w:rsidP="008F2A23">
      <w:pPr>
        <w:spacing w:line="480" w:lineRule="auto"/>
        <w:jc w:val="both"/>
        <w:rPr>
          <w:rFonts w:ascii="Tahoma" w:hAnsi="Tahoma"/>
        </w:rPr>
      </w:pPr>
      <w:r>
        <w:rPr>
          <w:rFonts w:ascii="Tahoma" w:hAnsi="Tahoma"/>
        </w:rPr>
        <w:t>T</w:t>
      </w:r>
      <w:r w:rsidR="00845063" w:rsidRPr="00650F05">
        <w:rPr>
          <w:rFonts w:ascii="Tahoma" w:hAnsi="Tahoma"/>
        </w:rPr>
        <w:t xml:space="preserve">he labour market </w:t>
      </w:r>
      <w:r w:rsidR="008B63B0" w:rsidRPr="00650F05">
        <w:rPr>
          <w:rFonts w:ascii="Tahoma" w:hAnsi="Tahoma"/>
        </w:rPr>
        <w:t>mandates for</w:t>
      </w:r>
      <w:r w:rsidR="00845063" w:rsidRPr="00650F05">
        <w:rPr>
          <w:rFonts w:ascii="Tahoma" w:hAnsi="Tahoma"/>
        </w:rPr>
        <w:t xml:space="preserve"> a more highly educated and trained workforce</w:t>
      </w:r>
      <w:r w:rsidR="00F2367F" w:rsidRPr="00650F05">
        <w:rPr>
          <w:rFonts w:ascii="Tahoma" w:hAnsi="Tahoma"/>
        </w:rPr>
        <w:t>,</w:t>
      </w:r>
      <w:r w:rsidR="00067C9B" w:rsidRPr="00650F05">
        <w:rPr>
          <w:rFonts w:ascii="Tahoma" w:hAnsi="Tahoma"/>
        </w:rPr>
        <w:t xml:space="preserve"> </w:t>
      </w:r>
      <w:r w:rsidR="00DF2598" w:rsidRPr="00650F05">
        <w:rPr>
          <w:rFonts w:ascii="Tahoma" w:hAnsi="Tahoma"/>
        </w:rPr>
        <w:t xml:space="preserve">with a </w:t>
      </w:r>
      <w:r w:rsidR="00172991" w:rsidRPr="00650F05">
        <w:rPr>
          <w:rFonts w:ascii="Tahoma" w:hAnsi="Tahoma"/>
        </w:rPr>
        <w:t>nation’s</w:t>
      </w:r>
      <w:r w:rsidR="00DF2598" w:rsidRPr="00650F05">
        <w:rPr>
          <w:rFonts w:ascii="Tahoma" w:hAnsi="Tahoma"/>
        </w:rPr>
        <w:t xml:space="preserve"> economy increasingly relying upon </w:t>
      </w:r>
      <w:r w:rsidR="00A57307" w:rsidRPr="00650F05">
        <w:rPr>
          <w:rFonts w:ascii="Tahoma" w:hAnsi="Tahoma"/>
        </w:rPr>
        <w:t xml:space="preserve">the quality and </w:t>
      </w:r>
      <w:r w:rsidR="001A4AC4" w:rsidRPr="00650F05">
        <w:rPr>
          <w:rFonts w:ascii="Tahoma" w:hAnsi="Tahoma"/>
        </w:rPr>
        <w:t>adaptability</w:t>
      </w:r>
      <w:r w:rsidR="00A57307" w:rsidRPr="00650F05">
        <w:rPr>
          <w:rFonts w:ascii="Tahoma" w:hAnsi="Tahoma"/>
        </w:rPr>
        <w:t xml:space="preserve"> of its human capital to maintain its international strength</w:t>
      </w:r>
      <w:r w:rsidRPr="00077C59">
        <w:rPr>
          <w:rFonts w:ascii="Tahoma" w:hAnsi="Tahoma"/>
        </w:rPr>
        <w:t xml:space="preserve"> </w:t>
      </w:r>
      <w:r>
        <w:rPr>
          <w:rFonts w:ascii="Tahoma" w:hAnsi="Tahoma"/>
        </w:rPr>
        <w:t>(</w:t>
      </w:r>
      <w:r w:rsidRPr="00650F05">
        <w:rPr>
          <w:rFonts w:ascii="Tahoma" w:hAnsi="Tahoma"/>
        </w:rPr>
        <w:t xml:space="preserve">Malin </w:t>
      </w:r>
      <w:r w:rsidRPr="00077C59">
        <w:rPr>
          <w:rFonts w:ascii="Tahoma" w:hAnsi="Tahoma"/>
          <w:i/>
          <w:iCs/>
        </w:rPr>
        <w:t>et al</w:t>
      </w:r>
      <w:r w:rsidRPr="00650F05">
        <w:rPr>
          <w:rFonts w:ascii="Tahoma" w:hAnsi="Tahoma"/>
        </w:rPr>
        <w:t>.</w:t>
      </w:r>
      <w:r>
        <w:rPr>
          <w:rFonts w:ascii="Tahoma" w:hAnsi="Tahoma"/>
        </w:rPr>
        <w:t xml:space="preserve">, </w:t>
      </w:r>
      <w:r w:rsidRPr="00650F05">
        <w:rPr>
          <w:rFonts w:ascii="Tahoma" w:hAnsi="Tahoma"/>
        </w:rPr>
        <w:t>2017)</w:t>
      </w:r>
      <w:r w:rsidR="008C6D05" w:rsidRPr="00650F05">
        <w:rPr>
          <w:rFonts w:ascii="Tahoma" w:hAnsi="Tahoma"/>
        </w:rPr>
        <w:t>. Th</w:t>
      </w:r>
      <w:r w:rsidR="00325F69" w:rsidRPr="00650F05">
        <w:rPr>
          <w:rFonts w:ascii="Tahoma" w:hAnsi="Tahoma"/>
        </w:rPr>
        <w:t>e</w:t>
      </w:r>
      <w:r w:rsidR="008C6D05" w:rsidRPr="00650F05">
        <w:rPr>
          <w:rFonts w:ascii="Tahoma" w:hAnsi="Tahoma"/>
        </w:rPr>
        <w:t xml:space="preserve"> increasing dependence of the labour market on skilled graduates </w:t>
      </w:r>
      <w:r w:rsidR="00A54FC2" w:rsidRPr="00650F05">
        <w:rPr>
          <w:rFonts w:ascii="Tahoma" w:hAnsi="Tahoma"/>
        </w:rPr>
        <w:t>was</w:t>
      </w:r>
      <w:r w:rsidR="00216787" w:rsidRPr="00650F05">
        <w:rPr>
          <w:rFonts w:ascii="Tahoma" w:hAnsi="Tahoma"/>
        </w:rPr>
        <w:t xml:space="preserve"> </w:t>
      </w:r>
      <w:r w:rsidR="004E2757" w:rsidRPr="00650F05">
        <w:rPr>
          <w:rFonts w:ascii="Tahoma" w:hAnsi="Tahoma"/>
        </w:rPr>
        <w:t xml:space="preserve">an antecedent </w:t>
      </w:r>
      <w:r w:rsidR="002806CA" w:rsidRPr="00650F05">
        <w:rPr>
          <w:rFonts w:ascii="Tahoma" w:hAnsi="Tahoma"/>
        </w:rPr>
        <w:t xml:space="preserve">to </w:t>
      </w:r>
      <w:r w:rsidR="00216787" w:rsidRPr="00650F05">
        <w:rPr>
          <w:rFonts w:ascii="Tahoma" w:hAnsi="Tahoma"/>
        </w:rPr>
        <w:t xml:space="preserve">HE </w:t>
      </w:r>
      <w:r w:rsidR="002806CA" w:rsidRPr="00650F05">
        <w:rPr>
          <w:rFonts w:ascii="Tahoma" w:hAnsi="Tahoma"/>
        </w:rPr>
        <w:t xml:space="preserve">undergoing </w:t>
      </w:r>
      <w:r w:rsidR="008C6D05" w:rsidRPr="00650F05">
        <w:rPr>
          <w:rFonts w:ascii="Tahoma" w:hAnsi="Tahoma"/>
        </w:rPr>
        <w:t xml:space="preserve">a </w:t>
      </w:r>
      <w:r w:rsidR="00AD24FF" w:rsidRPr="00650F05">
        <w:rPr>
          <w:rFonts w:ascii="Tahoma" w:hAnsi="Tahoma"/>
        </w:rPr>
        <w:t>‘</w:t>
      </w:r>
      <w:r w:rsidR="008C6D05" w:rsidRPr="00650F05">
        <w:rPr>
          <w:rFonts w:ascii="Tahoma" w:hAnsi="Tahoma"/>
        </w:rPr>
        <w:t>vocationalisation</w:t>
      </w:r>
      <w:r w:rsidR="00AD24FF" w:rsidRPr="00650F05">
        <w:rPr>
          <w:rFonts w:ascii="Tahoma" w:hAnsi="Tahoma"/>
        </w:rPr>
        <w:t>’</w:t>
      </w:r>
      <w:r w:rsidR="008C6D05" w:rsidRPr="00650F05">
        <w:rPr>
          <w:rFonts w:ascii="Tahoma" w:hAnsi="Tahoma"/>
        </w:rPr>
        <w:t xml:space="preserve"> process, whereby institutions shifted away from educating an elite few on intellectual, moral, and civic values and moved to expand offerings of </w:t>
      </w:r>
      <w:r w:rsidR="00673088" w:rsidRPr="00650F05">
        <w:rPr>
          <w:rFonts w:ascii="Tahoma" w:hAnsi="Tahoma"/>
        </w:rPr>
        <w:t>‘</w:t>
      </w:r>
      <w:r w:rsidR="008C6D05" w:rsidRPr="00650F05">
        <w:rPr>
          <w:rFonts w:ascii="Tahoma" w:hAnsi="Tahoma"/>
        </w:rPr>
        <w:t>professional education</w:t>
      </w:r>
      <w:r w:rsidR="00673088" w:rsidRPr="00650F05">
        <w:rPr>
          <w:rFonts w:ascii="Tahoma" w:hAnsi="Tahoma"/>
        </w:rPr>
        <w:t>’</w:t>
      </w:r>
      <w:r w:rsidR="008C6D05" w:rsidRPr="00650F05">
        <w:rPr>
          <w:rFonts w:ascii="Tahoma" w:hAnsi="Tahoma"/>
        </w:rPr>
        <w:t xml:space="preserve"> for the </w:t>
      </w:r>
      <w:r w:rsidR="00441022" w:rsidRPr="00650F05">
        <w:rPr>
          <w:rFonts w:ascii="Tahoma" w:hAnsi="Tahoma"/>
        </w:rPr>
        <w:t>many</w:t>
      </w:r>
      <w:r w:rsidR="008C6D05" w:rsidRPr="00650F05">
        <w:rPr>
          <w:rFonts w:ascii="Tahoma" w:hAnsi="Tahoma"/>
        </w:rPr>
        <w:t xml:space="preserve"> (Grubb </w:t>
      </w:r>
      <w:r w:rsidR="00471B43" w:rsidRPr="00650F05">
        <w:rPr>
          <w:rFonts w:ascii="Tahoma" w:hAnsi="Tahoma"/>
        </w:rPr>
        <w:t>and</w:t>
      </w:r>
      <w:r w:rsidR="008C6D05" w:rsidRPr="00650F05">
        <w:rPr>
          <w:rFonts w:ascii="Tahoma" w:hAnsi="Tahoma"/>
        </w:rPr>
        <w:t xml:space="preserve"> Lazerson, 2005).</w:t>
      </w:r>
      <w:r w:rsidR="00E838C2" w:rsidRPr="00650F05">
        <w:rPr>
          <w:rFonts w:ascii="Tahoma" w:hAnsi="Tahoma"/>
        </w:rPr>
        <w:t xml:space="preserve"> </w:t>
      </w:r>
      <w:r w:rsidR="0062269A" w:rsidRPr="00650F05">
        <w:rPr>
          <w:rFonts w:ascii="Tahoma" w:hAnsi="Tahoma"/>
        </w:rPr>
        <w:t xml:space="preserve">In particular, post-1992 HEI’s </w:t>
      </w:r>
      <w:r w:rsidR="00563977" w:rsidRPr="00650F05">
        <w:rPr>
          <w:rFonts w:ascii="Tahoma" w:hAnsi="Tahoma"/>
        </w:rPr>
        <w:t>recruit a large</w:t>
      </w:r>
      <w:r w:rsidR="00942234" w:rsidRPr="00650F05">
        <w:rPr>
          <w:rFonts w:ascii="Tahoma" w:hAnsi="Tahoma"/>
        </w:rPr>
        <w:t xml:space="preserve"> percentage of</w:t>
      </w:r>
      <w:r w:rsidR="000E7C76" w:rsidRPr="00650F05">
        <w:rPr>
          <w:rFonts w:ascii="Tahoma" w:hAnsi="Tahoma"/>
        </w:rPr>
        <w:t xml:space="preserve"> students </w:t>
      </w:r>
      <w:r w:rsidR="00942234" w:rsidRPr="00650F05">
        <w:rPr>
          <w:rFonts w:ascii="Tahoma" w:hAnsi="Tahoma"/>
        </w:rPr>
        <w:t>to</w:t>
      </w:r>
      <w:r w:rsidR="000E7C76" w:rsidRPr="00650F05">
        <w:rPr>
          <w:rFonts w:ascii="Tahoma" w:hAnsi="Tahoma"/>
        </w:rPr>
        <w:t xml:space="preserve"> vocational </w:t>
      </w:r>
      <w:r w:rsidR="00942234" w:rsidRPr="00650F05">
        <w:rPr>
          <w:rFonts w:ascii="Tahoma" w:hAnsi="Tahoma"/>
        </w:rPr>
        <w:t xml:space="preserve">based </w:t>
      </w:r>
      <w:r w:rsidR="000E7C76" w:rsidRPr="00650F05">
        <w:rPr>
          <w:rFonts w:ascii="Tahoma" w:hAnsi="Tahoma"/>
        </w:rPr>
        <w:t>courses,</w:t>
      </w:r>
      <w:r w:rsidR="006135A4" w:rsidRPr="00650F05">
        <w:rPr>
          <w:rFonts w:ascii="Tahoma" w:hAnsi="Tahoma"/>
        </w:rPr>
        <w:t xml:space="preserve"> </w:t>
      </w:r>
      <w:r w:rsidR="00D61DE3" w:rsidRPr="00650F05">
        <w:rPr>
          <w:rFonts w:ascii="Tahoma" w:hAnsi="Tahoma"/>
        </w:rPr>
        <w:t xml:space="preserve">often providing </w:t>
      </w:r>
      <w:r w:rsidR="006135A4" w:rsidRPr="00650F05">
        <w:rPr>
          <w:rFonts w:ascii="Tahoma" w:hAnsi="Tahoma"/>
        </w:rPr>
        <w:t xml:space="preserve">contemporary </w:t>
      </w:r>
      <w:r w:rsidR="00563977" w:rsidRPr="00650F05">
        <w:rPr>
          <w:rFonts w:ascii="Tahoma" w:hAnsi="Tahoma"/>
        </w:rPr>
        <w:t xml:space="preserve">undergraduate degree </w:t>
      </w:r>
      <w:r w:rsidR="002C7314" w:rsidRPr="00650F05">
        <w:rPr>
          <w:rFonts w:ascii="Tahoma" w:hAnsi="Tahoma"/>
        </w:rPr>
        <w:t>titles</w:t>
      </w:r>
      <w:r w:rsidR="00DB71B0" w:rsidRPr="00650F05">
        <w:rPr>
          <w:rFonts w:ascii="Tahoma" w:hAnsi="Tahoma"/>
        </w:rPr>
        <w:t>,</w:t>
      </w:r>
      <w:r w:rsidR="00D61DE3" w:rsidRPr="00650F05">
        <w:rPr>
          <w:rFonts w:ascii="Tahoma" w:hAnsi="Tahoma"/>
        </w:rPr>
        <w:t xml:space="preserve"> as opposed to Russel Group </w:t>
      </w:r>
      <w:r w:rsidR="005C16B5" w:rsidRPr="00650F05">
        <w:rPr>
          <w:rFonts w:ascii="Tahoma" w:hAnsi="Tahoma"/>
        </w:rPr>
        <w:t xml:space="preserve">and Plate Glass </w:t>
      </w:r>
      <w:r w:rsidR="002C7314" w:rsidRPr="00650F05">
        <w:rPr>
          <w:rFonts w:ascii="Tahoma" w:hAnsi="Tahoma"/>
        </w:rPr>
        <w:t>universities</w:t>
      </w:r>
      <w:r w:rsidR="000B38DD" w:rsidRPr="00650F05">
        <w:rPr>
          <w:rFonts w:ascii="Tahoma" w:hAnsi="Tahoma"/>
        </w:rPr>
        <w:t xml:space="preserve"> (Gill, 2020)</w:t>
      </w:r>
      <w:r w:rsidR="00F76968" w:rsidRPr="00650F05">
        <w:rPr>
          <w:rFonts w:ascii="Tahoma" w:hAnsi="Tahoma"/>
        </w:rPr>
        <w:t>.</w:t>
      </w:r>
      <w:r w:rsidR="00563977" w:rsidRPr="00650F05">
        <w:rPr>
          <w:rFonts w:ascii="Tahoma" w:hAnsi="Tahoma"/>
        </w:rPr>
        <w:t xml:space="preserve"> </w:t>
      </w:r>
      <w:r w:rsidR="00F76968" w:rsidRPr="00650F05">
        <w:rPr>
          <w:rFonts w:ascii="Tahoma" w:hAnsi="Tahoma"/>
        </w:rPr>
        <w:t xml:space="preserve">For example, </w:t>
      </w:r>
      <w:r w:rsidR="00563977" w:rsidRPr="00650F05">
        <w:rPr>
          <w:rFonts w:ascii="Tahoma" w:hAnsi="Tahoma"/>
        </w:rPr>
        <w:t>sport and exercise related degrees</w:t>
      </w:r>
      <w:r w:rsidR="00F76968" w:rsidRPr="00650F05">
        <w:rPr>
          <w:rFonts w:ascii="Tahoma" w:hAnsi="Tahoma"/>
        </w:rPr>
        <w:t xml:space="preserve"> </w:t>
      </w:r>
      <w:r w:rsidR="004E2C70" w:rsidRPr="00650F05">
        <w:rPr>
          <w:rFonts w:ascii="Tahoma" w:hAnsi="Tahoma"/>
        </w:rPr>
        <w:t xml:space="preserve">are among the 10 most studied </w:t>
      </w:r>
      <w:r w:rsidR="00BB1B5E" w:rsidRPr="00650F05">
        <w:rPr>
          <w:rFonts w:ascii="Tahoma" w:hAnsi="Tahoma"/>
        </w:rPr>
        <w:t xml:space="preserve">courses </w:t>
      </w:r>
      <w:r w:rsidR="004E2C70" w:rsidRPr="00650F05">
        <w:rPr>
          <w:rFonts w:ascii="Tahoma" w:hAnsi="Tahoma"/>
        </w:rPr>
        <w:t>at university, with the number of students graduating with sport degrees far exceeding 10,000 annually</w:t>
      </w:r>
      <w:r w:rsidR="000B38DD" w:rsidRPr="00650F05">
        <w:rPr>
          <w:rFonts w:ascii="Tahoma" w:hAnsi="Tahoma"/>
        </w:rPr>
        <w:t xml:space="preserve"> (Winsley and Tong</w:t>
      </w:r>
      <w:r w:rsidR="00D51729">
        <w:rPr>
          <w:rFonts w:ascii="Tahoma" w:hAnsi="Tahoma"/>
        </w:rPr>
        <w:t>,</w:t>
      </w:r>
      <w:r w:rsidR="000B38DD" w:rsidRPr="00650F05">
        <w:rPr>
          <w:rFonts w:ascii="Tahoma" w:hAnsi="Tahoma"/>
        </w:rPr>
        <w:t xml:space="preserve"> 2014).</w:t>
      </w:r>
      <w:r w:rsidR="004E2C70" w:rsidRPr="00650F05">
        <w:rPr>
          <w:rFonts w:ascii="Tahoma" w:hAnsi="Tahoma"/>
        </w:rPr>
        <w:t xml:space="preserve"> </w:t>
      </w:r>
      <w:r w:rsidR="00BD563C" w:rsidRPr="00650F05">
        <w:rPr>
          <w:rFonts w:ascii="Tahoma" w:hAnsi="Tahoma"/>
        </w:rPr>
        <w:t>M</w:t>
      </w:r>
      <w:r w:rsidR="00D21D8C" w:rsidRPr="00650F05">
        <w:rPr>
          <w:rFonts w:ascii="Tahoma" w:hAnsi="Tahoma"/>
        </w:rPr>
        <w:t xml:space="preserve">any of the students studying on these </w:t>
      </w:r>
      <w:r w:rsidR="00937505" w:rsidRPr="00650F05">
        <w:rPr>
          <w:rFonts w:ascii="Tahoma" w:hAnsi="Tahoma"/>
        </w:rPr>
        <w:t>vocationally</w:t>
      </w:r>
      <w:r w:rsidR="00D21D8C" w:rsidRPr="00650F05">
        <w:rPr>
          <w:rFonts w:ascii="Tahoma" w:hAnsi="Tahoma"/>
        </w:rPr>
        <w:t xml:space="preserve"> oriented </w:t>
      </w:r>
      <w:r w:rsidR="00937505" w:rsidRPr="00650F05">
        <w:rPr>
          <w:rFonts w:ascii="Tahoma" w:hAnsi="Tahoma"/>
        </w:rPr>
        <w:t xml:space="preserve">sport </w:t>
      </w:r>
      <w:r w:rsidR="001F7005">
        <w:rPr>
          <w:rFonts w:ascii="Tahoma" w:hAnsi="Tahoma"/>
        </w:rPr>
        <w:t xml:space="preserve">related </w:t>
      </w:r>
      <w:r w:rsidR="00DB71B0" w:rsidRPr="00650F05">
        <w:rPr>
          <w:rFonts w:ascii="Tahoma" w:hAnsi="Tahoma"/>
        </w:rPr>
        <w:t>courses</w:t>
      </w:r>
      <w:r w:rsidR="00937505" w:rsidRPr="00650F05">
        <w:rPr>
          <w:rFonts w:ascii="Tahoma" w:hAnsi="Tahoma"/>
        </w:rPr>
        <w:t xml:space="preserve"> </w:t>
      </w:r>
      <w:r w:rsidR="00324186" w:rsidRPr="00650F05">
        <w:rPr>
          <w:rFonts w:ascii="Tahoma" w:hAnsi="Tahoma"/>
        </w:rPr>
        <w:t>fit Roger</w:t>
      </w:r>
      <w:r w:rsidR="00411FFD" w:rsidRPr="00650F05">
        <w:rPr>
          <w:rFonts w:ascii="Tahoma" w:hAnsi="Tahoma"/>
        </w:rPr>
        <w:t>s</w:t>
      </w:r>
      <w:r w:rsidR="00AA1D10" w:rsidRPr="00650F05">
        <w:rPr>
          <w:rFonts w:ascii="Tahoma" w:hAnsi="Tahoma"/>
        </w:rPr>
        <w:t>’</w:t>
      </w:r>
      <w:r w:rsidR="00324186" w:rsidRPr="00650F05">
        <w:rPr>
          <w:rFonts w:ascii="Tahoma" w:hAnsi="Tahoma"/>
        </w:rPr>
        <w:t xml:space="preserve"> (2005) definition of students from</w:t>
      </w:r>
      <w:r w:rsidR="000E7C76" w:rsidRPr="00650F05">
        <w:rPr>
          <w:rFonts w:ascii="Tahoma" w:hAnsi="Tahoma"/>
        </w:rPr>
        <w:t xml:space="preserve"> non-traditional </w:t>
      </w:r>
      <w:r w:rsidR="0005773D" w:rsidRPr="00650F05">
        <w:rPr>
          <w:rFonts w:ascii="Tahoma" w:hAnsi="Tahoma"/>
        </w:rPr>
        <w:t>backgrounds and</w:t>
      </w:r>
      <w:r w:rsidR="005E5218" w:rsidRPr="00650F05">
        <w:rPr>
          <w:rFonts w:ascii="Tahoma" w:hAnsi="Tahoma"/>
        </w:rPr>
        <w:t xml:space="preserve"> </w:t>
      </w:r>
      <w:r w:rsidR="00705CCF" w:rsidRPr="00650F05">
        <w:rPr>
          <w:rFonts w:ascii="Tahoma" w:hAnsi="Tahoma"/>
        </w:rPr>
        <w:t>have benefitted from the widening participation agenda (Gill, 2020</w:t>
      </w:r>
      <w:r w:rsidR="00EA2417">
        <w:rPr>
          <w:rFonts w:ascii="Tahoma" w:hAnsi="Tahoma"/>
        </w:rPr>
        <w:t>,</w:t>
      </w:r>
      <w:r w:rsidR="00705CCF" w:rsidRPr="00650F05">
        <w:rPr>
          <w:rFonts w:ascii="Tahoma" w:hAnsi="Tahoma"/>
        </w:rPr>
        <w:t xml:space="preserve"> 2021).</w:t>
      </w:r>
      <w:r w:rsidR="000B6C03" w:rsidRPr="00650F05">
        <w:t xml:space="preserve"> </w:t>
      </w:r>
      <w:r w:rsidR="000B6C03" w:rsidRPr="00650F05">
        <w:rPr>
          <w:rFonts w:ascii="Tahoma" w:hAnsi="Tahoma"/>
        </w:rPr>
        <w:t xml:space="preserve">Koivisto et al. (2010) posit that </w:t>
      </w:r>
      <w:r w:rsidR="006C5765" w:rsidRPr="00650F05">
        <w:rPr>
          <w:rFonts w:ascii="Tahoma" w:hAnsi="Tahoma"/>
        </w:rPr>
        <w:t xml:space="preserve">it is increasingly important to </w:t>
      </w:r>
      <w:r w:rsidR="00FF22D2">
        <w:rPr>
          <w:rFonts w:ascii="Tahoma" w:hAnsi="Tahoma"/>
        </w:rPr>
        <w:t xml:space="preserve">understand </w:t>
      </w:r>
      <w:r w:rsidR="006C5765" w:rsidRPr="00650F05">
        <w:rPr>
          <w:rFonts w:ascii="Tahoma" w:hAnsi="Tahoma"/>
        </w:rPr>
        <w:t>student demographics and their transition to work</w:t>
      </w:r>
      <w:r w:rsidR="00490FBD" w:rsidRPr="00650F05">
        <w:rPr>
          <w:rFonts w:ascii="Tahoma" w:hAnsi="Tahoma"/>
        </w:rPr>
        <w:t>, especially</w:t>
      </w:r>
      <w:r w:rsidR="006C5765" w:rsidRPr="00650F05">
        <w:rPr>
          <w:rFonts w:ascii="Tahoma" w:hAnsi="Tahoma"/>
        </w:rPr>
        <w:t xml:space="preserve"> when the </w:t>
      </w:r>
      <w:r w:rsidR="000B6C03" w:rsidRPr="00650F05">
        <w:rPr>
          <w:rFonts w:ascii="Tahoma" w:hAnsi="Tahoma"/>
        </w:rPr>
        <w:t>labour market is</w:t>
      </w:r>
      <w:r w:rsidR="006C5765" w:rsidRPr="00650F05">
        <w:rPr>
          <w:rFonts w:ascii="Tahoma" w:hAnsi="Tahoma"/>
        </w:rPr>
        <w:t xml:space="preserve"> evolving</w:t>
      </w:r>
      <w:r w:rsidR="00FF22D2">
        <w:rPr>
          <w:rFonts w:ascii="Tahoma" w:hAnsi="Tahoma"/>
        </w:rPr>
        <w:t xml:space="preserve"> rapidly</w:t>
      </w:r>
      <w:r w:rsidR="000B6C03" w:rsidRPr="00650F05">
        <w:rPr>
          <w:rFonts w:ascii="Tahoma" w:hAnsi="Tahoma"/>
        </w:rPr>
        <w:t>.</w:t>
      </w:r>
    </w:p>
    <w:p w14:paraId="6373EE12" w14:textId="56628074" w:rsidR="006B2ED5" w:rsidRDefault="003570A2" w:rsidP="008F2A23">
      <w:pPr>
        <w:spacing w:line="480" w:lineRule="auto"/>
        <w:jc w:val="both"/>
        <w:rPr>
          <w:rFonts w:ascii="Tahoma" w:hAnsi="Tahoma"/>
        </w:rPr>
      </w:pPr>
      <w:r w:rsidRPr="00650F05">
        <w:rPr>
          <w:rFonts w:ascii="Tahoma" w:hAnsi="Tahoma"/>
        </w:rPr>
        <w:t xml:space="preserve">The concept of </w:t>
      </w:r>
      <w:r w:rsidR="00B628CE" w:rsidRPr="00650F05">
        <w:rPr>
          <w:rFonts w:ascii="Tahoma" w:hAnsi="Tahoma"/>
        </w:rPr>
        <w:t>career</w:t>
      </w:r>
      <w:r w:rsidR="00DE511C" w:rsidRPr="00650F05">
        <w:rPr>
          <w:rFonts w:ascii="Tahoma" w:hAnsi="Tahoma"/>
        </w:rPr>
        <w:t xml:space="preserve"> </w:t>
      </w:r>
      <w:r w:rsidRPr="00650F05">
        <w:rPr>
          <w:rFonts w:ascii="Tahoma" w:hAnsi="Tahoma"/>
        </w:rPr>
        <w:t>readiness has been explored extensively</w:t>
      </w:r>
      <w:r w:rsidR="00ED494C" w:rsidRPr="00650F05">
        <w:rPr>
          <w:rFonts w:ascii="Tahoma" w:hAnsi="Tahoma"/>
        </w:rPr>
        <w:t xml:space="preserve"> in </w:t>
      </w:r>
      <w:r w:rsidR="00C2300F" w:rsidRPr="00650F05">
        <w:rPr>
          <w:rFonts w:ascii="Tahoma" w:hAnsi="Tahoma"/>
        </w:rPr>
        <w:t xml:space="preserve">HE </w:t>
      </w:r>
      <w:r w:rsidR="00812DB6" w:rsidRPr="00650F05">
        <w:rPr>
          <w:rFonts w:ascii="Tahoma" w:hAnsi="Tahoma"/>
        </w:rPr>
        <w:t>research</w:t>
      </w:r>
      <w:r w:rsidR="00E65448" w:rsidRPr="00650F05">
        <w:rPr>
          <w:rFonts w:ascii="Tahoma" w:hAnsi="Tahoma"/>
        </w:rPr>
        <w:t xml:space="preserve">, </w:t>
      </w:r>
      <w:r w:rsidR="00812DB6" w:rsidRPr="00650F05">
        <w:rPr>
          <w:rFonts w:ascii="Tahoma" w:hAnsi="Tahoma"/>
        </w:rPr>
        <w:t>albeit with limited scope</w:t>
      </w:r>
      <w:r w:rsidR="008C6D05" w:rsidRPr="00650F05">
        <w:rPr>
          <w:rFonts w:ascii="Tahoma" w:hAnsi="Tahoma"/>
        </w:rPr>
        <w:t xml:space="preserve"> on specific demographics</w:t>
      </w:r>
      <w:r w:rsidR="00812DB6" w:rsidRPr="00650F05">
        <w:rPr>
          <w:rFonts w:ascii="Tahoma" w:hAnsi="Tahoma"/>
        </w:rPr>
        <w:t xml:space="preserve">. </w:t>
      </w:r>
      <w:r w:rsidR="000C32DF" w:rsidRPr="00650F05">
        <w:rPr>
          <w:rFonts w:ascii="Tahoma" w:hAnsi="Tahoma"/>
        </w:rPr>
        <w:t>O</w:t>
      </w:r>
      <w:r w:rsidR="00812DB6" w:rsidRPr="00650F05">
        <w:rPr>
          <w:rFonts w:ascii="Tahoma" w:hAnsi="Tahoma"/>
        </w:rPr>
        <w:t>ften the research has a ver</w:t>
      </w:r>
      <w:r w:rsidR="00607CB5" w:rsidRPr="00650F05">
        <w:rPr>
          <w:rFonts w:ascii="Tahoma" w:hAnsi="Tahoma"/>
        </w:rPr>
        <w:t xml:space="preserve">y specific disciplinary </w:t>
      </w:r>
      <w:r w:rsidR="008C6D05" w:rsidRPr="00650F05">
        <w:rPr>
          <w:rFonts w:ascii="Tahoma" w:hAnsi="Tahoma"/>
        </w:rPr>
        <w:t>focus</w:t>
      </w:r>
      <w:r w:rsidR="00607CB5" w:rsidRPr="00650F05">
        <w:rPr>
          <w:rFonts w:ascii="Tahoma" w:hAnsi="Tahoma"/>
        </w:rPr>
        <w:t xml:space="preserve">, </w:t>
      </w:r>
      <w:r w:rsidR="00E65448" w:rsidRPr="00650F05">
        <w:rPr>
          <w:rFonts w:ascii="Tahoma" w:hAnsi="Tahoma"/>
        </w:rPr>
        <w:t xml:space="preserve">with </w:t>
      </w:r>
      <w:r w:rsidR="00292916" w:rsidRPr="00650F05">
        <w:rPr>
          <w:rFonts w:ascii="Tahoma" w:hAnsi="Tahoma"/>
        </w:rPr>
        <w:t xml:space="preserve">the majority of literature </w:t>
      </w:r>
      <w:r w:rsidR="00EE1F26" w:rsidRPr="00650F05">
        <w:rPr>
          <w:rFonts w:ascii="Tahoma" w:hAnsi="Tahoma"/>
        </w:rPr>
        <w:t>focusing up</w:t>
      </w:r>
      <w:r w:rsidR="00E65448" w:rsidRPr="00650F05">
        <w:rPr>
          <w:rFonts w:ascii="Tahoma" w:hAnsi="Tahoma"/>
        </w:rPr>
        <w:t xml:space="preserve">on </w:t>
      </w:r>
      <w:r w:rsidR="00C54EE3" w:rsidRPr="00650F05">
        <w:rPr>
          <w:rFonts w:ascii="Tahoma" w:hAnsi="Tahoma"/>
        </w:rPr>
        <w:t xml:space="preserve">courses that are </w:t>
      </w:r>
      <w:r w:rsidR="00607CB5" w:rsidRPr="00650F05">
        <w:rPr>
          <w:rFonts w:ascii="Tahoma" w:hAnsi="Tahoma"/>
        </w:rPr>
        <w:t>deemed ‘professional’</w:t>
      </w:r>
      <w:r w:rsidR="00EE1F26" w:rsidRPr="00650F05">
        <w:rPr>
          <w:rFonts w:ascii="Tahoma" w:hAnsi="Tahoma"/>
        </w:rPr>
        <w:t xml:space="preserve"> and</w:t>
      </w:r>
      <w:r w:rsidR="00607CB5" w:rsidRPr="00650F05">
        <w:rPr>
          <w:rFonts w:ascii="Tahoma" w:hAnsi="Tahoma"/>
        </w:rPr>
        <w:t xml:space="preserve"> </w:t>
      </w:r>
      <w:r w:rsidR="00EE1F26" w:rsidRPr="00650F05">
        <w:rPr>
          <w:rFonts w:ascii="Tahoma" w:hAnsi="Tahoma"/>
        </w:rPr>
        <w:t xml:space="preserve">provide </w:t>
      </w:r>
      <w:r w:rsidR="00C54EE3" w:rsidRPr="00650F05">
        <w:rPr>
          <w:rFonts w:ascii="Tahoma" w:hAnsi="Tahoma"/>
        </w:rPr>
        <w:t>a licence to work upon graduation, such as social work</w:t>
      </w:r>
      <w:r w:rsidR="00EE0CD3" w:rsidRPr="00650F05">
        <w:rPr>
          <w:rFonts w:ascii="Tahoma" w:hAnsi="Tahoma"/>
        </w:rPr>
        <w:t xml:space="preserve"> </w:t>
      </w:r>
      <w:r w:rsidR="00B10845" w:rsidRPr="00650F05">
        <w:rPr>
          <w:rFonts w:ascii="Tahoma" w:hAnsi="Tahoma"/>
        </w:rPr>
        <w:t>(</w:t>
      </w:r>
      <w:r w:rsidR="008C6D05" w:rsidRPr="00650F05">
        <w:rPr>
          <w:rFonts w:ascii="Tahoma" w:hAnsi="Tahoma"/>
        </w:rPr>
        <w:t xml:space="preserve">McSweeney and </w:t>
      </w:r>
      <w:r w:rsidR="00A7166E" w:rsidRPr="00650F05">
        <w:rPr>
          <w:rFonts w:ascii="Tahoma" w:hAnsi="Tahoma"/>
        </w:rPr>
        <w:t>W</w:t>
      </w:r>
      <w:r w:rsidR="008C6D05" w:rsidRPr="00650F05">
        <w:rPr>
          <w:rFonts w:ascii="Tahoma" w:hAnsi="Tahoma"/>
        </w:rPr>
        <w:t>illiams, 201</w:t>
      </w:r>
      <w:r w:rsidR="00DF5056" w:rsidRPr="00650F05">
        <w:rPr>
          <w:rFonts w:ascii="Tahoma" w:hAnsi="Tahoma"/>
        </w:rPr>
        <w:t>9</w:t>
      </w:r>
      <w:r w:rsidR="008C6D05" w:rsidRPr="00650F05">
        <w:rPr>
          <w:rFonts w:ascii="Tahoma" w:hAnsi="Tahoma"/>
        </w:rPr>
        <w:t xml:space="preserve">; </w:t>
      </w:r>
      <w:r w:rsidR="00D06F3E" w:rsidRPr="00650F05">
        <w:rPr>
          <w:rFonts w:ascii="Tahoma" w:hAnsi="Tahoma"/>
        </w:rPr>
        <w:t xml:space="preserve">Sharpe </w:t>
      </w:r>
      <w:r w:rsidR="00D06F3E" w:rsidRPr="00D51729">
        <w:rPr>
          <w:rFonts w:ascii="Tahoma" w:hAnsi="Tahoma"/>
          <w:i/>
          <w:iCs/>
        </w:rPr>
        <w:t>et al.,</w:t>
      </w:r>
      <w:r w:rsidR="00D06F3E" w:rsidRPr="00650F05">
        <w:rPr>
          <w:rFonts w:ascii="Tahoma" w:hAnsi="Tahoma"/>
        </w:rPr>
        <w:t xml:space="preserve"> 2011; </w:t>
      </w:r>
      <w:r w:rsidR="008C6D05" w:rsidRPr="00650F05">
        <w:rPr>
          <w:rFonts w:ascii="Tahoma" w:hAnsi="Tahoma"/>
        </w:rPr>
        <w:t>Tham and Lynch, 2014</w:t>
      </w:r>
      <w:r w:rsidR="00B10845" w:rsidRPr="00650F05">
        <w:rPr>
          <w:rFonts w:ascii="Tahoma" w:hAnsi="Tahoma"/>
        </w:rPr>
        <w:t>)</w:t>
      </w:r>
      <w:r w:rsidR="008A0D42" w:rsidRPr="00650F05">
        <w:rPr>
          <w:rFonts w:ascii="Tahoma" w:hAnsi="Tahoma"/>
        </w:rPr>
        <w:t>, nursing</w:t>
      </w:r>
      <w:r w:rsidR="00EE1F26" w:rsidRPr="00650F05">
        <w:rPr>
          <w:rFonts w:ascii="Tahoma" w:hAnsi="Tahoma"/>
        </w:rPr>
        <w:t xml:space="preserve"> (</w:t>
      </w:r>
      <w:r w:rsidR="00CB1C12" w:rsidRPr="00650F05">
        <w:rPr>
          <w:rFonts w:ascii="Tahoma" w:hAnsi="Tahoma"/>
        </w:rPr>
        <w:t xml:space="preserve">Jamieson </w:t>
      </w:r>
      <w:r w:rsidR="00CB1C12" w:rsidRPr="00D51729">
        <w:rPr>
          <w:rFonts w:ascii="Tahoma" w:hAnsi="Tahoma"/>
          <w:i/>
          <w:iCs/>
        </w:rPr>
        <w:t>et al</w:t>
      </w:r>
      <w:r w:rsidR="00CB1C12" w:rsidRPr="00650F05">
        <w:rPr>
          <w:rFonts w:ascii="Tahoma" w:hAnsi="Tahoma"/>
        </w:rPr>
        <w:t xml:space="preserve">., 2019; </w:t>
      </w:r>
      <w:r w:rsidR="00DA2BEB" w:rsidRPr="00650F05">
        <w:rPr>
          <w:rFonts w:ascii="Tahoma" w:hAnsi="Tahoma"/>
        </w:rPr>
        <w:t xml:space="preserve">Mirza </w:t>
      </w:r>
      <w:r w:rsidR="00DA2BEB" w:rsidRPr="00D51729">
        <w:rPr>
          <w:rFonts w:ascii="Tahoma" w:hAnsi="Tahoma"/>
          <w:i/>
          <w:iCs/>
        </w:rPr>
        <w:t>et al</w:t>
      </w:r>
      <w:r w:rsidR="00DA2BEB" w:rsidRPr="00650F05">
        <w:rPr>
          <w:rFonts w:ascii="Tahoma" w:hAnsi="Tahoma"/>
        </w:rPr>
        <w:t xml:space="preserve">., 2019; </w:t>
      </w:r>
      <w:r w:rsidR="00CB1C12" w:rsidRPr="00650F05">
        <w:rPr>
          <w:rFonts w:ascii="Tahoma" w:hAnsi="Tahoma"/>
        </w:rPr>
        <w:t xml:space="preserve">Rusch, </w:t>
      </w:r>
      <w:r w:rsidR="00CB1C12" w:rsidRPr="00D51729">
        <w:rPr>
          <w:rFonts w:ascii="Tahoma" w:hAnsi="Tahoma"/>
          <w:i/>
          <w:iCs/>
        </w:rPr>
        <w:t>et al</w:t>
      </w:r>
      <w:r w:rsidR="00CB1C12" w:rsidRPr="00650F05">
        <w:rPr>
          <w:rFonts w:ascii="Tahoma" w:hAnsi="Tahoma"/>
        </w:rPr>
        <w:t>., 2019; Schmitt and Lancaster, 2019</w:t>
      </w:r>
      <w:r w:rsidR="00EE1F26" w:rsidRPr="00650F05">
        <w:rPr>
          <w:rFonts w:ascii="Tahoma" w:hAnsi="Tahoma"/>
        </w:rPr>
        <w:t>)</w:t>
      </w:r>
      <w:r w:rsidR="008A0D42" w:rsidRPr="00650F05">
        <w:rPr>
          <w:rFonts w:ascii="Tahoma" w:hAnsi="Tahoma"/>
        </w:rPr>
        <w:t xml:space="preserve"> and medicine (</w:t>
      </w:r>
      <w:r w:rsidR="004C00ED" w:rsidRPr="00650F05">
        <w:rPr>
          <w:rFonts w:ascii="Tahoma" w:hAnsi="Tahoma"/>
        </w:rPr>
        <w:t xml:space="preserve">Al-Ziftawi </w:t>
      </w:r>
      <w:r w:rsidR="004C00ED" w:rsidRPr="00D51729">
        <w:rPr>
          <w:rFonts w:ascii="Tahoma" w:hAnsi="Tahoma"/>
          <w:i/>
          <w:iCs/>
        </w:rPr>
        <w:t>et al</w:t>
      </w:r>
      <w:r w:rsidR="004C00ED" w:rsidRPr="00650F05">
        <w:rPr>
          <w:rFonts w:ascii="Tahoma" w:hAnsi="Tahoma"/>
        </w:rPr>
        <w:t xml:space="preserve">., </w:t>
      </w:r>
      <w:r w:rsidR="004C00ED" w:rsidRPr="00650F05">
        <w:rPr>
          <w:rFonts w:ascii="Tahoma" w:hAnsi="Tahoma"/>
        </w:rPr>
        <w:lastRenderedPageBreak/>
        <w:t xml:space="preserve">2020; </w:t>
      </w:r>
      <w:r w:rsidR="008578E3" w:rsidRPr="00650F05">
        <w:rPr>
          <w:rFonts w:ascii="Tahoma" w:hAnsi="Tahoma"/>
        </w:rPr>
        <w:t xml:space="preserve">Bleakley and Brennan, 2011; </w:t>
      </w:r>
      <w:r w:rsidR="00094FDB" w:rsidRPr="00650F05">
        <w:rPr>
          <w:rFonts w:ascii="Tahoma" w:hAnsi="Tahoma"/>
        </w:rPr>
        <w:t>Lagali-Jirge and Umarani</w:t>
      </w:r>
      <w:r w:rsidR="00764A12" w:rsidRPr="00650F05">
        <w:rPr>
          <w:rFonts w:ascii="Tahoma" w:hAnsi="Tahoma"/>
        </w:rPr>
        <w:t>, 2014</w:t>
      </w:r>
      <w:r w:rsidR="008A0D42" w:rsidRPr="00650F05">
        <w:rPr>
          <w:rFonts w:ascii="Tahoma" w:hAnsi="Tahoma"/>
        </w:rPr>
        <w:t>).</w:t>
      </w:r>
      <w:r w:rsidR="00FA1BE3" w:rsidRPr="00650F05">
        <w:rPr>
          <w:rFonts w:ascii="Tahoma" w:hAnsi="Tahoma"/>
        </w:rPr>
        <w:t xml:space="preserve"> </w:t>
      </w:r>
      <w:r w:rsidR="00B210E0" w:rsidRPr="00650F05">
        <w:rPr>
          <w:rFonts w:ascii="Tahoma" w:hAnsi="Tahoma"/>
        </w:rPr>
        <w:t>However,</w:t>
      </w:r>
      <w:r w:rsidR="00FA1BE3" w:rsidRPr="00650F05">
        <w:rPr>
          <w:rFonts w:ascii="Tahoma" w:hAnsi="Tahoma"/>
        </w:rPr>
        <w:t xml:space="preserve"> there </w:t>
      </w:r>
      <w:r w:rsidR="001D1A58">
        <w:rPr>
          <w:rFonts w:ascii="Tahoma" w:hAnsi="Tahoma"/>
        </w:rPr>
        <w:t>is a dearth</w:t>
      </w:r>
      <w:r w:rsidR="00FA1BE3" w:rsidRPr="00650F05">
        <w:rPr>
          <w:rFonts w:ascii="Tahoma" w:hAnsi="Tahoma"/>
        </w:rPr>
        <w:t xml:space="preserve"> of literature published from broad</w:t>
      </w:r>
      <w:r w:rsidR="00E92E73" w:rsidRPr="00650F05">
        <w:rPr>
          <w:rFonts w:ascii="Tahoma" w:hAnsi="Tahoma"/>
        </w:rPr>
        <w:t>er</w:t>
      </w:r>
      <w:r w:rsidR="00FA1BE3" w:rsidRPr="00650F05">
        <w:rPr>
          <w:rFonts w:ascii="Tahoma" w:hAnsi="Tahoma"/>
        </w:rPr>
        <w:t xml:space="preserve"> disciplinary perspective</w:t>
      </w:r>
      <w:r w:rsidR="00EB3FB3" w:rsidRPr="00650F05">
        <w:rPr>
          <w:rFonts w:ascii="Tahoma" w:hAnsi="Tahoma"/>
        </w:rPr>
        <w:t>s</w:t>
      </w:r>
      <w:r w:rsidR="00736764" w:rsidRPr="00650F05">
        <w:rPr>
          <w:rFonts w:ascii="Tahoma" w:hAnsi="Tahoma"/>
        </w:rPr>
        <w:t xml:space="preserve"> </w:t>
      </w:r>
      <w:r w:rsidR="000C62D2" w:rsidRPr="00650F05">
        <w:rPr>
          <w:rFonts w:ascii="Tahoma" w:hAnsi="Tahoma"/>
        </w:rPr>
        <w:t xml:space="preserve">outside of </w:t>
      </w:r>
      <w:r w:rsidR="0094370B" w:rsidRPr="00650F05">
        <w:rPr>
          <w:rFonts w:ascii="Tahoma" w:hAnsi="Tahoma"/>
        </w:rPr>
        <w:t xml:space="preserve">health and allied health professional training. </w:t>
      </w:r>
      <w:r w:rsidR="00FF22D2">
        <w:rPr>
          <w:rFonts w:ascii="Tahoma" w:hAnsi="Tahoma"/>
        </w:rPr>
        <w:t>T</w:t>
      </w:r>
      <w:r w:rsidR="00DF2322" w:rsidRPr="00650F05">
        <w:rPr>
          <w:rFonts w:ascii="Tahoma" w:hAnsi="Tahoma"/>
        </w:rPr>
        <w:t xml:space="preserve">his </w:t>
      </w:r>
      <w:r w:rsidR="001432C0" w:rsidRPr="00650F05">
        <w:rPr>
          <w:rFonts w:ascii="Tahoma" w:hAnsi="Tahoma"/>
        </w:rPr>
        <w:t xml:space="preserve">research </w:t>
      </w:r>
      <w:r w:rsidR="00CF5184" w:rsidRPr="00650F05">
        <w:rPr>
          <w:rFonts w:ascii="Tahoma" w:hAnsi="Tahoma"/>
        </w:rPr>
        <w:t xml:space="preserve">aims to </w:t>
      </w:r>
      <w:r w:rsidR="00DF2322" w:rsidRPr="00650F05">
        <w:rPr>
          <w:rFonts w:ascii="Tahoma" w:hAnsi="Tahoma"/>
        </w:rPr>
        <w:t xml:space="preserve">explore </w:t>
      </w:r>
      <w:r w:rsidR="003142FD" w:rsidRPr="00650F05">
        <w:rPr>
          <w:rFonts w:ascii="Tahoma" w:hAnsi="Tahoma"/>
        </w:rPr>
        <w:t xml:space="preserve">non-traditional students </w:t>
      </w:r>
      <w:r w:rsidR="00CF5184" w:rsidRPr="00650F05">
        <w:rPr>
          <w:rFonts w:ascii="Tahoma" w:hAnsi="Tahoma"/>
        </w:rPr>
        <w:t xml:space="preserve">transition </w:t>
      </w:r>
      <w:r w:rsidR="003142FD" w:rsidRPr="00650F05">
        <w:rPr>
          <w:rFonts w:ascii="Tahoma" w:hAnsi="Tahoma"/>
        </w:rPr>
        <w:t xml:space="preserve">from sport </w:t>
      </w:r>
      <w:r w:rsidR="00FF22D2">
        <w:rPr>
          <w:rFonts w:ascii="Tahoma" w:hAnsi="Tahoma"/>
        </w:rPr>
        <w:t xml:space="preserve">related </w:t>
      </w:r>
      <w:r w:rsidR="003142FD" w:rsidRPr="00650F05">
        <w:rPr>
          <w:rFonts w:ascii="Tahoma" w:hAnsi="Tahoma"/>
        </w:rPr>
        <w:t xml:space="preserve">courses into </w:t>
      </w:r>
      <w:r w:rsidR="00CF5184" w:rsidRPr="00650F05">
        <w:rPr>
          <w:rFonts w:ascii="Tahoma" w:hAnsi="Tahoma"/>
        </w:rPr>
        <w:t xml:space="preserve">the world of </w:t>
      </w:r>
      <w:r w:rsidR="003142FD" w:rsidRPr="00650F05">
        <w:rPr>
          <w:rFonts w:ascii="Tahoma" w:hAnsi="Tahoma"/>
        </w:rPr>
        <w:t>work</w:t>
      </w:r>
      <w:r w:rsidR="001432C0" w:rsidRPr="00650F05">
        <w:rPr>
          <w:rFonts w:ascii="Tahoma" w:hAnsi="Tahoma"/>
        </w:rPr>
        <w:t xml:space="preserve">. Whilst </w:t>
      </w:r>
      <w:r w:rsidR="006B2ED5">
        <w:rPr>
          <w:rFonts w:ascii="Tahoma" w:hAnsi="Tahoma"/>
        </w:rPr>
        <w:t xml:space="preserve">there </w:t>
      </w:r>
      <w:r w:rsidR="005842B0">
        <w:rPr>
          <w:rFonts w:ascii="Tahoma" w:hAnsi="Tahoma"/>
        </w:rPr>
        <w:t>isn’t</w:t>
      </w:r>
      <w:r w:rsidR="006B2ED5">
        <w:rPr>
          <w:rFonts w:ascii="Tahoma" w:hAnsi="Tahoma"/>
        </w:rPr>
        <w:t xml:space="preserve"> </w:t>
      </w:r>
      <w:r w:rsidR="005842B0">
        <w:rPr>
          <w:rFonts w:ascii="Tahoma" w:hAnsi="Tahoma"/>
        </w:rPr>
        <w:t>contextualised</w:t>
      </w:r>
      <w:r w:rsidR="00A1142D">
        <w:rPr>
          <w:rFonts w:ascii="Tahoma" w:hAnsi="Tahoma"/>
        </w:rPr>
        <w:t xml:space="preserve"> </w:t>
      </w:r>
      <w:r w:rsidR="006B2ED5">
        <w:rPr>
          <w:rFonts w:ascii="Tahoma" w:hAnsi="Tahoma"/>
        </w:rPr>
        <w:t>literature</w:t>
      </w:r>
      <w:r w:rsidR="00A1142D">
        <w:rPr>
          <w:rFonts w:ascii="Tahoma" w:hAnsi="Tahoma"/>
        </w:rPr>
        <w:t xml:space="preserve"> </w:t>
      </w:r>
      <w:r w:rsidR="005842B0">
        <w:rPr>
          <w:rFonts w:ascii="Tahoma" w:hAnsi="Tahoma"/>
        </w:rPr>
        <w:t xml:space="preserve">for </w:t>
      </w:r>
      <w:r w:rsidR="006B2ED5">
        <w:rPr>
          <w:rFonts w:ascii="Tahoma" w:hAnsi="Tahoma"/>
        </w:rPr>
        <w:t>sport related courses</w:t>
      </w:r>
      <w:r w:rsidR="005842B0">
        <w:rPr>
          <w:rFonts w:ascii="Tahoma" w:hAnsi="Tahoma"/>
        </w:rPr>
        <w:t xml:space="preserve"> and people form non-traditional backgrounds,</w:t>
      </w:r>
      <w:r w:rsidR="005842B0" w:rsidRPr="005842B0">
        <w:rPr>
          <w:rFonts w:ascii="Tahoma" w:hAnsi="Tahoma"/>
        </w:rPr>
        <w:t xml:space="preserve"> </w:t>
      </w:r>
      <w:r w:rsidR="005842B0" w:rsidRPr="00650F05">
        <w:rPr>
          <w:rFonts w:ascii="Tahoma" w:hAnsi="Tahoma"/>
        </w:rPr>
        <w:t>there may be commonalities that exist broadly between disciplinary areas that are largely vocational.</w:t>
      </w:r>
    </w:p>
    <w:p w14:paraId="7FE5B6A5" w14:textId="77777777" w:rsidR="006B2ED5" w:rsidRDefault="006B2ED5" w:rsidP="008F2A23">
      <w:pPr>
        <w:spacing w:line="480" w:lineRule="auto"/>
        <w:jc w:val="both"/>
        <w:rPr>
          <w:rFonts w:ascii="Tahoma" w:hAnsi="Tahoma"/>
        </w:rPr>
      </w:pPr>
    </w:p>
    <w:p w14:paraId="0999663A" w14:textId="75BDE7E5" w:rsidR="00D72636" w:rsidRPr="00D51729" w:rsidRDefault="00BA43A2" w:rsidP="008F2A23">
      <w:pPr>
        <w:spacing w:line="480" w:lineRule="auto"/>
        <w:jc w:val="both"/>
        <w:rPr>
          <w:rFonts w:ascii="Tahoma" w:hAnsi="Tahoma"/>
          <w:i/>
          <w:iCs/>
        </w:rPr>
      </w:pPr>
      <w:r w:rsidRPr="00D51729">
        <w:rPr>
          <w:rFonts w:ascii="Tahoma" w:hAnsi="Tahoma"/>
          <w:i/>
          <w:iCs/>
        </w:rPr>
        <w:t>Preparedness</w:t>
      </w:r>
    </w:p>
    <w:p w14:paraId="43E432BC" w14:textId="7AD2487D" w:rsidR="00494232" w:rsidRPr="00650F05" w:rsidRDefault="00C73E3C" w:rsidP="00494232">
      <w:pPr>
        <w:spacing w:line="480" w:lineRule="auto"/>
        <w:jc w:val="both"/>
        <w:rPr>
          <w:rFonts w:ascii="Tahoma" w:hAnsi="Tahoma"/>
        </w:rPr>
      </w:pPr>
      <w:r w:rsidRPr="00650F05">
        <w:rPr>
          <w:rFonts w:ascii="Tahoma" w:hAnsi="Tahoma"/>
        </w:rPr>
        <w:t>Muñiz and Eimerbrink</w:t>
      </w:r>
      <w:r w:rsidR="002A28E6" w:rsidRPr="00650F05">
        <w:rPr>
          <w:rFonts w:ascii="Tahoma" w:hAnsi="Tahoma"/>
        </w:rPr>
        <w:t xml:space="preserve"> (</w:t>
      </w:r>
      <w:r w:rsidRPr="00650F05">
        <w:rPr>
          <w:rFonts w:ascii="Tahoma" w:hAnsi="Tahoma"/>
        </w:rPr>
        <w:t>2018</w:t>
      </w:r>
      <w:r w:rsidR="002A28E6" w:rsidRPr="00650F05">
        <w:rPr>
          <w:rFonts w:ascii="Tahoma" w:hAnsi="Tahoma"/>
        </w:rPr>
        <w:t>) s</w:t>
      </w:r>
      <w:r w:rsidR="00E83716" w:rsidRPr="00650F05">
        <w:rPr>
          <w:rFonts w:ascii="Tahoma" w:hAnsi="Tahoma"/>
        </w:rPr>
        <w:t>ug</w:t>
      </w:r>
      <w:r w:rsidR="002A28E6" w:rsidRPr="00650F05">
        <w:rPr>
          <w:rFonts w:ascii="Tahoma" w:hAnsi="Tahoma"/>
        </w:rPr>
        <w:t xml:space="preserve">gest that </w:t>
      </w:r>
      <w:r w:rsidR="00012357">
        <w:rPr>
          <w:rFonts w:ascii="Tahoma" w:hAnsi="Tahoma"/>
        </w:rPr>
        <w:t>‘</w:t>
      </w:r>
      <w:r w:rsidR="002A28E6" w:rsidRPr="00650F05">
        <w:rPr>
          <w:rFonts w:ascii="Tahoma" w:hAnsi="Tahoma"/>
        </w:rPr>
        <w:t>preparedness</w:t>
      </w:r>
      <w:r w:rsidR="00012357">
        <w:rPr>
          <w:rFonts w:ascii="Tahoma" w:hAnsi="Tahoma"/>
        </w:rPr>
        <w:t>’</w:t>
      </w:r>
      <w:r w:rsidR="008E5C7D" w:rsidRPr="00650F05">
        <w:rPr>
          <w:rFonts w:ascii="Tahoma" w:hAnsi="Tahoma"/>
        </w:rPr>
        <w:t xml:space="preserve"> is a synonym of readiness in most disciplines</w:t>
      </w:r>
      <w:r w:rsidR="0087352D" w:rsidRPr="00650F05">
        <w:rPr>
          <w:rFonts w:ascii="Tahoma" w:hAnsi="Tahoma"/>
        </w:rPr>
        <w:t>,</w:t>
      </w:r>
      <w:r w:rsidR="00EB49EB" w:rsidRPr="00650F05">
        <w:rPr>
          <w:rFonts w:ascii="Tahoma" w:hAnsi="Tahoma"/>
        </w:rPr>
        <w:t xml:space="preserve"> and whilst </w:t>
      </w:r>
      <w:r w:rsidR="007162D2" w:rsidRPr="00650F05">
        <w:rPr>
          <w:rFonts w:ascii="Tahoma" w:hAnsi="Tahoma"/>
        </w:rPr>
        <w:t>the</w:t>
      </w:r>
      <w:r w:rsidR="0087352D" w:rsidRPr="00650F05">
        <w:rPr>
          <w:rFonts w:ascii="Tahoma" w:hAnsi="Tahoma"/>
        </w:rPr>
        <w:t xml:space="preserve"> terms</w:t>
      </w:r>
      <w:r w:rsidR="007162D2" w:rsidRPr="00650F05">
        <w:rPr>
          <w:rFonts w:ascii="Tahoma" w:hAnsi="Tahoma"/>
        </w:rPr>
        <w:t xml:space="preserve"> are somewhat interdependent</w:t>
      </w:r>
      <w:r w:rsidR="0087352D" w:rsidRPr="00650F05">
        <w:rPr>
          <w:rFonts w:ascii="Tahoma" w:hAnsi="Tahoma"/>
        </w:rPr>
        <w:t>,</w:t>
      </w:r>
      <w:r w:rsidR="00945F7F" w:rsidRPr="00650F05">
        <w:rPr>
          <w:rFonts w:ascii="Tahoma" w:hAnsi="Tahoma"/>
        </w:rPr>
        <w:t xml:space="preserve"> McSweeney and Williams (201</w:t>
      </w:r>
      <w:r w:rsidR="00DF5056" w:rsidRPr="00650F05">
        <w:rPr>
          <w:rFonts w:ascii="Tahoma" w:hAnsi="Tahoma"/>
        </w:rPr>
        <w:t>9</w:t>
      </w:r>
      <w:r w:rsidR="00945F7F" w:rsidRPr="00650F05">
        <w:rPr>
          <w:rFonts w:ascii="Tahoma" w:hAnsi="Tahoma"/>
        </w:rPr>
        <w:t xml:space="preserve">) contest that preparedness has a broader </w:t>
      </w:r>
      <w:r w:rsidR="0059091D" w:rsidRPr="00650F05">
        <w:rPr>
          <w:rFonts w:ascii="Tahoma" w:hAnsi="Tahoma"/>
        </w:rPr>
        <w:t xml:space="preserve">purpose facilitating </w:t>
      </w:r>
      <w:r w:rsidR="00567E39" w:rsidRPr="00650F05">
        <w:rPr>
          <w:rFonts w:ascii="Tahoma" w:hAnsi="Tahoma"/>
        </w:rPr>
        <w:t xml:space="preserve">perceptions of </w:t>
      </w:r>
      <w:r w:rsidR="0059091D" w:rsidRPr="00650F05">
        <w:rPr>
          <w:rFonts w:ascii="Tahoma" w:hAnsi="Tahoma"/>
        </w:rPr>
        <w:t>readiness.</w:t>
      </w:r>
      <w:r w:rsidR="007D523E" w:rsidRPr="00650F05">
        <w:rPr>
          <w:rFonts w:ascii="Tahoma" w:hAnsi="Tahoma"/>
        </w:rPr>
        <w:t xml:space="preserve"> </w:t>
      </w:r>
      <w:r w:rsidR="00B36C80" w:rsidRPr="00650F05">
        <w:rPr>
          <w:rFonts w:ascii="Tahoma" w:hAnsi="Tahoma"/>
        </w:rPr>
        <w:t xml:space="preserve">However, </w:t>
      </w:r>
      <w:r w:rsidR="00494232" w:rsidRPr="00650F05">
        <w:rPr>
          <w:rFonts w:ascii="Tahoma" w:hAnsi="Tahoma"/>
        </w:rPr>
        <w:t>it would be remiss to</w:t>
      </w:r>
      <w:r w:rsidR="00340226" w:rsidRPr="00650F05">
        <w:rPr>
          <w:rFonts w:ascii="Tahoma" w:hAnsi="Tahoma"/>
        </w:rPr>
        <w:t xml:space="preserve"> not acknowledge that </w:t>
      </w:r>
      <w:r w:rsidR="00E711BD" w:rsidRPr="00650F05">
        <w:rPr>
          <w:rFonts w:ascii="Tahoma" w:hAnsi="Tahoma"/>
        </w:rPr>
        <w:t>“</w:t>
      </w:r>
      <w:r w:rsidR="00494232" w:rsidRPr="00650F05">
        <w:rPr>
          <w:rFonts w:ascii="Tahoma" w:hAnsi="Tahoma"/>
        </w:rPr>
        <w:t>preparedness is a contested concept</w:t>
      </w:r>
      <w:r w:rsidR="00E711BD" w:rsidRPr="00650F05">
        <w:rPr>
          <w:rFonts w:ascii="Tahoma" w:hAnsi="Tahoma"/>
        </w:rPr>
        <w:t>”</w:t>
      </w:r>
      <w:r w:rsidR="00340226" w:rsidRPr="00650F05">
        <w:rPr>
          <w:rFonts w:ascii="Tahoma" w:hAnsi="Tahoma"/>
        </w:rPr>
        <w:t xml:space="preserve"> </w:t>
      </w:r>
      <w:r w:rsidR="00494232" w:rsidRPr="00650F05">
        <w:rPr>
          <w:rFonts w:ascii="Tahoma" w:hAnsi="Tahoma"/>
        </w:rPr>
        <w:t xml:space="preserve">(Tham </w:t>
      </w:r>
      <w:r w:rsidR="00340226" w:rsidRPr="00650F05">
        <w:rPr>
          <w:rFonts w:ascii="Tahoma" w:hAnsi="Tahoma"/>
        </w:rPr>
        <w:t xml:space="preserve">and </w:t>
      </w:r>
      <w:r w:rsidR="00494232" w:rsidRPr="00650F05">
        <w:rPr>
          <w:rFonts w:ascii="Tahoma" w:hAnsi="Tahoma"/>
        </w:rPr>
        <w:t>Lynch, 2014, p.706)</w:t>
      </w:r>
      <w:r w:rsidR="00783FBA" w:rsidRPr="00650F05">
        <w:rPr>
          <w:rFonts w:ascii="Tahoma" w:hAnsi="Tahoma"/>
        </w:rPr>
        <w:t xml:space="preserve">, with McSweeney and Williams </w:t>
      </w:r>
      <w:r w:rsidR="00DC5A96" w:rsidRPr="00650F05">
        <w:rPr>
          <w:rFonts w:ascii="Tahoma" w:hAnsi="Tahoma"/>
        </w:rPr>
        <w:t>(201</w:t>
      </w:r>
      <w:r w:rsidR="00DF5056" w:rsidRPr="00650F05">
        <w:rPr>
          <w:rFonts w:ascii="Tahoma" w:hAnsi="Tahoma"/>
        </w:rPr>
        <w:t>9</w:t>
      </w:r>
      <w:r w:rsidR="00DC5A96" w:rsidRPr="00650F05">
        <w:rPr>
          <w:rFonts w:ascii="Tahoma" w:hAnsi="Tahoma"/>
        </w:rPr>
        <w:t xml:space="preserve">) </w:t>
      </w:r>
      <w:r w:rsidR="00783FBA" w:rsidRPr="00650F05">
        <w:rPr>
          <w:rFonts w:ascii="Tahoma" w:hAnsi="Tahoma"/>
        </w:rPr>
        <w:t xml:space="preserve">critiquing that </w:t>
      </w:r>
      <w:r w:rsidR="00494232" w:rsidRPr="00650F05">
        <w:rPr>
          <w:rFonts w:ascii="Tahoma" w:hAnsi="Tahoma"/>
        </w:rPr>
        <w:t xml:space="preserve">self-rated preparedness could be a </w:t>
      </w:r>
      <w:r w:rsidR="00E711BD" w:rsidRPr="00650F05">
        <w:rPr>
          <w:rFonts w:ascii="Tahoma" w:hAnsi="Tahoma"/>
        </w:rPr>
        <w:t>“</w:t>
      </w:r>
      <w:r w:rsidR="00494232" w:rsidRPr="00650F05">
        <w:rPr>
          <w:rFonts w:ascii="Tahoma" w:hAnsi="Tahoma"/>
        </w:rPr>
        <w:t>measure of confidence</w:t>
      </w:r>
      <w:r w:rsidR="00DC5A96" w:rsidRPr="00650F05">
        <w:rPr>
          <w:rFonts w:ascii="Tahoma" w:hAnsi="Tahoma"/>
        </w:rPr>
        <w:t xml:space="preserve"> </w:t>
      </w:r>
      <w:r w:rsidR="00494232" w:rsidRPr="00650F05">
        <w:rPr>
          <w:rFonts w:ascii="Tahoma" w:hAnsi="Tahoma"/>
        </w:rPr>
        <w:t>rather than actual ability</w:t>
      </w:r>
      <w:r w:rsidR="00E711BD" w:rsidRPr="00650F05">
        <w:rPr>
          <w:rFonts w:ascii="Tahoma" w:hAnsi="Tahoma"/>
        </w:rPr>
        <w:t>”</w:t>
      </w:r>
      <w:r w:rsidR="00494232" w:rsidRPr="00650F05">
        <w:rPr>
          <w:rFonts w:ascii="Tahoma" w:hAnsi="Tahoma"/>
        </w:rPr>
        <w:t xml:space="preserve"> (Galvani </w:t>
      </w:r>
      <w:r w:rsidR="00DC5A96" w:rsidRPr="00650F05">
        <w:rPr>
          <w:rFonts w:ascii="Tahoma" w:hAnsi="Tahoma"/>
        </w:rPr>
        <w:t>and</w:t>
      </w:r>
      <w:r w:rsidR="00494232" w:rsidRPr="00650F05">
        <w:rPr>
          <w:rFonts w:ascii="Tahoma" w:hAnsi="Tahoma"/>
        </w:rPr>
        <w:t xml:space="preserve"> Forrester, 2011, </w:t>
      </w:r>
      <w:r w:rsidR="00087634" w:rsidRPr="00650F05">
        <w:rPr>
          <w:rFonts w:ascii="Tahoma" w:hAnsi="Tahoma"/>
        </w:rPr>
        <w:t>p</w:t>
      </w:r>
      <w:r w:rsidR="00494232" w:rsidRPr="00650F05">
        <w:rPr>
          <w:rFonts w:ascii="Tahoma" w:hAnsi="Tahoma"/>
        </w:rPr>
        <w:t>.434)</w:t>
      </w:r>
      <w:r w:rsidR="00DC5A96" w:rsidRPr="00650F05">
        <w:rPr>
          <w:rFonts w:ascii="Tahoma" w:hAnsi="Tahoma"/>
        </w:rPr>
        <w:t>.</w:t>
      </w:r>
    </w:p>
    <w:p w14:paraId="141F3613" w14:textId="5D3E917D" w:rsidR="00B85900" w:rsidRPr="00650F05" w:rsidRDefault="00630A82" w:rsidP="008F2A23">
      <w:pPr>
        <w:spacing w:line="480" w:lineRule="auto"/>
        <w:jc w:val="both"/>
        <w:rPr>
          <w:rFonts w:ascii="Tahoma" w:hAnsi="Tahoma"/>
        </w:rPr>
      </w:pPr>
      <w:r w:rsidRPr="00650F05">
        <w:rPr>
          <w:rFonts w:ascii="Tahoma" w:hAnsi="Tahoma"/>
        </w:rPr>
        <w:t>In the specific context of employment</w:t>
      </w:r>
      <w:r w:rsidR="00AC692F" w:rsidRPr="00650F05">
        <w:rPr>
          <w:rFonts w:ascii="Tahoma" w:hAnsi="Tahoma"/>
        </w:rPr>
        <w:t>,</w:t>
      </w:r>
      <w:r w:rsidRPr="00650F05">
        <w:rPr>
          <w:rFonts w:ascii="Tahoma" w:hAnsi="Tahoma"/>
        </w:rPr>
        <w:t xml:space="preserve"> </w:t>
      </w:r>
      <w:r w:rsidR="00AC692F" w:rsidRPr="00650F05">
        <w:rPr>
          <w:rFonts w:ascii="Tahoma" w:hAnsi="Tahoma"/>
        </w:rPr>
        <w:t>Ko</w:t>
      </w:r>
      <w:r w:rsidR="00D6683A" w:rsidRPr="00650F05">
        <w:rPr>
          <w:rFonts w:ascii="Tahoma" w:hAnsi="Tahoma"/>
        </w:rPr>
        <w:t>i</w:t>
      </w:r>
      <w:r w:rsidR="00AC692F" w:rsidRPr="00650F05">
        <w:rPr>
          <w:rFonts w:ascii="Tahoma" w:hAnsi="Tahoma"/>
        </w:rPr>
        <w:t>visto et al. (2010</w:t>
      </w:r>
      <w:r w:rsidR="00344962" w:rsidRPr="00650F05">
        <w:rPr>
          <w:rFonts w:ascii="Tahoma" w:hAnsi="Tahoma"/>
        </w:rPr>
        <w:t>, p.872</w:t>
      </w:r>
      <w:r w:rsidR="00AC692F" w:rsidRPr="00650F05">
        <w:rPr>
          <w:rFonts w:ascii="Tahoma" w:hAnsi="Tahoma"/>
        </w:rPr>
        <w:t>)</w:t>
      </w:r>
      <w:r w:rsidR="009D3F66" w:rsidRPr="00650F05">
        <w:rPr>
          <w:rFonts w:ascii="Tahoma" w:hAnsi="Tahoma"/>
        </w:rPr>
        <w:t xml:space="preserve"> use the term ‘</w:t>
      </w:r>
      <w:r w:rsidRPr="00650F05">
        <w:rPr>
          <w:rFonts w:ascii="Tahoma" w:hAnsi="Tahoma"/>
        </w:rPr>
        <w:t>e</w:t>
      </w:r>
      <w:r w:rsidR="00C36680" w:rsidRPr="00650F05">
        <w:rPr>
          <w:rFonts w:ascii="Tahoma" w:hAnsi="Tahoma"/>
        </w:rPr>
        <w:t>mployment preparedness</w:t>
      </w:r>
      <w:r w:rsidR="009D3F66" w:rsidRPr="00650F05">
        <w:rPr>
          <w:rFonts w:ascii="Tahoma" w:hAnsi="Tahoma"/>
        </w:rPr>
        <w:t>’</w:t>
      </w:r>
      <w:r w:rsidR="00C36680" w:rsidRPr="00650F05">
        <w:rPr>
          <w:rFonts w:ascii="Tahoma" w:hAnsi="Tahoma"/>
        </w:rPr>
        <w:t xml:space="preserve"> </w:t>
      </w:r>
      <w:r w:rsidR="009D3F66" w:rsidRPr="00650F05">
        <w:rPr>
          <w:rFonts w:ascii="Tahoma" w:hAnsi="Tahoma"/>
        </w:rPr>
        <w:t xml:space="preserve">which indicates </w:t>
      </w:r>
      <w:r w:rsidR="0016643B" w:rsidRPr="00650F05">
        <w:rPr>
          <w:rFonts w:ascii="Tahoma" w:hAnsi="Tahoma"/>
        </w:rPr>
        <w:t>“</w:t>
      </w:r>
      <w:r w:rsidR="00C36680" w:rsidRPr="00650F05">
        <w:rPr>
          <w:rFonts w:ascii="Tahoma" w:hAnsi="Tahoma"/>
        </w:rPr>
        <w:t>a goal state of readiness to respond to uncertain outcomes in the domains of job search and the subsequent organi</w:t>
      </w:r>
      <w:r w:rsidR="00F06174" w:rsidRPr="00650F05">
        <w:rPr>
          <w:rFonts w:ascii="Tahoma" w:hAnsi="Tahoma"/>
        </w:rPr>
        <w:t>s</w:t>
      </w:r>
      <w:r w:rsidR="00C36680" w:rsidRPr="00650F05">
        <w:rPr>
          <w:rFonts w:ascii="Tahoma" w:hAnsi="Tahoma"/>
        </w:rPr>
        <w:t>ational entry process</w:t>
      </w:r>
      <w:r w:rsidR="0016643B" w:rsidRPr="00650F05">
        <w:rPr>
          <w:rFonts w:ascii="Tahoma" w:hAnsi="Tahoma"/>
        </w:rPr>
        <w:t>”</w:t>
      </w:r>
      <w:r w:rsidR="00287FD8" w:rsidRPr="00650F05">
        <w:rPr>
          <w:rFonts w:ascii="Tahoma" w:hAnsi="Tahoma"/>
        </w:rPr>
        <w:t>.</w:t>
      </w:r>
      <w:r w:rsidR="00C36680" w:rsidRPr="00650F05">
        <w:rPr>
          <w:rFonts w:ascii="Tahoma" w:hAnsi="Tahoma"/>
        </w:rPr>
        <w:t xml:space="preserve"> </w:t>
      </w:r>
      <w:r w:rsidR="00D70A01" w:rsidRPr="00650F05">
        <w:rPr>
          <w:rFonts w:ascii="Tahoma" w:hAnsi="Tahoma"/>
        </w:rPr>
        <w:t>Sweeny et al. (2006)</w:t>
      </w:r>
      <w:r w:rsidR="005649BE" w:rsidRPr="00650F05">
        <w:rPr>
          <w:rFonts w:ascii="Tahoma" w:hAnsi="Tahoma"/>
        </w:rPr>
        <w:t xml:space="preserve"> posit that employment preparedness</w:t>
      </w:r>
      <w:r w:rsidR="00B427C6" w:rsidRPr="00650F05">
        <w:rPr>
          <w:rFonts w:ascii="Tahoma" w:hAnsi="Tahoma"/>
        </w:rPr>
        <w:t xml:space="preserve"> is a multifaceted term which</w:t>
      </w:r>
      <w:r w:rsidR="005649BE" w:rsidRPr="00650F05">
        <w:rPr>
          <w:rFonts w:ascii="Tahoma" w:hAnsi="Tahoma"/>
        </w:rPr>
        <w:t xml:space="preserve"> </w:t>
      </w:r>
      <w:r w:rsidR="00C36680" w:rsidRPr="00650F05">
        <w:rPr>
          <w:rFonts w:ascii="Tahoma" w:hAnsi="Tahoma"/>
        </w:rPr>
        <w:t>includes the readiness</w:t>
      </w:r>
      <w:r w:rsidR="00B01755" w:rsidRPr="00650F05">
        <w:rPr>
          <w:rFonts w:ascii="Tahoma" w:hAnsi="Tahoma"/>
        </w:rPr>
        <w:t xml:space="preserve"> of individuals</w:t>
      </w:r>
      <w:r w:rsidR="00C36680" w:rsidRPr="00650F05">
        <w:rPr>
          <w:rFonts w:ascii="Tahoma" w:hAnsi="Tahoma"/>
        </w:rPr>
        <w:t xml:space="preserve"> to act on opportunities</w:t>
      </w:r>
      <w:r w:rsidR="00B01755" w:rsidRPr="00650F05">
        <w:rPr>
          <w:rFonts w:ascii="Tahoma" w:hAnsi="Tahoma"/>
        </w:rPr>
        <w:t>,</w:t>
      </w:r>
      <w:r w:rsidR="00C36680" w:rsidRPr="00650F05">
        <w:rPr>
          <w:rFonts w:ascii="Tahoma" w:hAnsi="Tahoma"/>
        </w:rPr>
        <w:t xml:space="preserve"> as well as the readiness and </w:t>
      </w:r>
      <w:r w:rsidR="00C92587" w:rsidRPr="00650F05">
        <w:rPr>
          <w:rFonts w:ascii="Tahoma" w:hAnsi="Tahoma"/>
        </w:rPr>
        <w:t>capability</w:t>
      </w:r>
      <w:r w:rsidR="00C36680" w:rsidRPr="00650F05">
        <w:rPr>
          <w:rFonts w:ascii="Tahoma" w:hAnsi="Tahoma"/>
        </w:rPr>
        <w:t xml:space="preserve"> to </w:t>
      </w:r>
      <w:r w:rsidR="00F4461F" w:rsidRPr="00650F05">
        <w:rPr>
          <w:rFonts w:ascii="Tahoma" w:hAnsi="Tahoma"/>
        </w:rPr>
        <w:t>cope</w:t>
      </w:r>
      <w:r w:rsidR="00C36680" w:rsidRPr="00650F05">
        <w:rPr>
          <w:rFonts w:ascii="Tahoma" w:hAnsi="Tahoma"/>
        </w:rPr>
        <w:t xml:space="preserve"> with barriers and setbacks </w:t>
      </w:r>
      <w:r w:rsidR="00F4461F" w:rsidRPr="00650F05">
        <w:rPr>
          <w:rFonts w:ascii="Tahoma" w:hAnsi="Tahoma"/>
        </w:rPr>
        <w:t xml:space="preserve">in pursuit of </w:t>
      </w:r>
      <w:r w:rsidR="00C36680" w:rsidRPr="00650F05">
        <w:rPr>
          <w:rFonts w:ascii="Tahoma" w:hAnsi="Tahoma"/>
        </w:rPr>
        <w:t xml:space="preserve">desired goals. </w:t>
      </w:r>
      <w:r w:rsidR="00B917AC" w:rsidRPr="00650F05">
        <w:rPr>
          <w:rFonts w:ascii="Tahoma" w:hAnsi="Tahoma"/>
        </w:rPr>
        <w:t>Therefore</w:t>
      </w:r>
      <w:r w:rsidR="00C36680" w:rsidRPr="00650F05">
        <w:rPr>
          <w:rFonts w:ascii="Tahoma" w:hAnsi="Tahoma"/>
        </w:rPr>
        <w:t xml:space="preserve">, employment preparedness </w:t>
      </w:r>
      <w:r w:rsidR="00AC6583" w:rsidRPr="00650F05">
        <w:rPr>
          <w:rFonts w:ascii="Tahoma" w:hAnsi="Tahoma"/>
        </w:rPr>
        <w:t xml:space="preserve">essentially </w:t>
      </w:r>
      <w:r w:rsidR="00C36680" w:rsidRPr="00650F05">
        <w:rPr>
          <w:rFonts w:ascii="Tahoma" w:hAnsi="Tahoma"/>
        </w:rPr>
        <w:t xml:space="preserve">consists of both self-efficacy and </w:t>
      </w:r>
      <w:r w:rsidR="00AB3CA9" w:rsidRPr="00650F05">
        <w:rPr>
          <w:rFonts w:ascii="Tahoma" w:hAnsi="Tahoma"/>
        </w:rPr>
        <w:t>resilience</w:t>
      </w:r>
      <w:r w:rsidR="00AE7917" w:rsidRPr="00650F05">
        <w:rPr>
          <w:rFonts w:ascii="Tahoma" w:hAnsi="Tahoma"/>
        </w:rPr>
        <w:t>, which are seen as individual characteristics that contribute to individuals’ adjustment to life transitions</w:t>
      </w:r>
      <w:r w:rsidR="00B5176C" w:rsidRPr="00650F05">
        <w:rPr>
          <w:rFonts w:ascii="Tahoma" w:hAnsi="Tahoma"/>
        </w:rPr>
        <w:t xml:space="preserve"> (Dietrich </w:t>
      </w:r>
      <w:r w:rsidR="00B5176C" w:rsidRPr="00D51729">
        <w:rPr>
          <w:rFonts w:ascii="Tahoma" w:hAnsi="Tahoma"/>
          <w:i/>
          <w:iCs/>
        </w:rPr>
        <w:t>et al</w:t>
      </w:r>
      <w:r w:rsidR="00B5176C" w:rsidRPr="00650F05">
        <w:rPr>
          <w:rFonts w:ascii="Tahoma" w:hAnsi="Tahoma"/>
        </w:rPr>
        <w:t xml:space="preserve">., 2012; Koivisto </w:t>
      </w:r>
      <w:r w:rsidR="00B5176C" w:rsidRPr="00D51729">
        <w:rPr>
          <w:rFonts w:ascii="Tahoma" w:hAnsi="Tahoma"/>
          <w:i/>
          <w:iCs/>
        </w:rPr>
        <w:t>et al</w:t>
      </w:r>
      <w:r w:rsidR="00B5176C" w:rsidRPr="00650F05">
        <w:rPr>
          <w:rFonts w:ascii="Tahoma" w:hAnsi="Tahoma"/>
        </w:rPr>
        <w:t>., 2010; Salmel</w:t>
      </w:r>
      <w:r w:rsidR="006333AB" w:rsidRPr="00650F05">
        <w:rPr>
          <w:rFonts w:ascii="Tahoma" w:hAnsi="Tahoma"/>
        </w:rPr>
        <w:t>a-Aro and Vuori, 2015</w:t>
      </w:r>
      <w:r w:rsidR="00B5176C" w:rsidRPr="00650F05">
        <w:rPr>
          <w:rFonts w:ascii="Tahoma" w:hAnsi="Tahoma"/>
        </w:rPr>
        <w:t>)</w:t>
      </w:r>
      <w:r w:rsidR="006333AB" w:rsidRPr="00650F05">
        <w:rPr>
          <w:rFonts w:ascii="Tahoma" w:hAnsi="Tahoma"/>
        </w:rPr>
        <w:t>.</w:t>
      </w:r>
    </w:p>
    <w:p w14:paraId="5DA8070B" w14:textId="4E0874C0" w:rsidR="007C0CDE" w:rsidRPr="00650F05" w:rsidRDefault="003D72EA" w:rsidP="008F2A23">
      <w:pPr>
        <w:spacing w:line="480" w:lineRule="auto"/>
        <w:jc w:val="both"/>
        <w:rPr>
          <w:rFonts w:ascii="Tahoma" w:hAnsi="Tahoma"/>
        </w:rPr>
      </w:pPr>
      <w:r w:rsidRPr="00650F05">
        <w:rPr>
          <w:rFonts w:ascii="Tahoma" w:hAnsi="Tahoma"/>
        </w:rPr>
        <w:lastRenderedPageBreak/>
        <w:t>Lazarides et al. (2017</w:t>
      </w:r>
      <w:r w:rsidR="007B0B55" w:rsidRPr="00650F05">
        <w:rPr>
          <w:rFonts w:ascii="Tahoma" w:hAnsi="Tahoma"/>
        </w:rPr>
        <w:t>, p.152</w:t>
      </w:r>
      <w:r w:rsidRPr="00650F05">
        <w:rPr>
          <w:rFonts w:ascii="Tahoma" w:hAnsi="Tahoma"/>
        </w:rPr>
        <w:t xml:space="preserve">) </w:t>
      </w:r>
      <w:r w:rsidR="007B0B55" w:rsidRPr="00650F05">
        <w:rPr>
          <w:rFonts w:ascii="Tahoma" w:hAnsi="Tahoma"/>
        </w:rPr>
        <w:t>states</w:t>
      </w:r>
      <w:r w:rsidRPr="00650F05">
        <w:rPr>
          <w:rFonts w:ascii="Tahoma" w:hAnsi="Tahoma"/>
        </w:rPr>
        <w:t xml:space="preserve"> that s</w:t>
      </w:r>
      <w:r w:rsidR="00780DA9" w:rsidRPr="00650F05">
        <w:rPr>
          <w:rFonts w:ascii="Tahoma" w:hAnsi="Tahoma"/>
        </w:rPr>
        <w:t xml:space="preserve">elf-efficacy beliefs are </w:t>
      </w:r>
      <w:r w:rsidR="00742E39" w:rsidRPr="00650F05">
        <w:rPr>
          <w:rFonts w:ascii="Tahoma" w:hAnsi="Tahoma"/>
        </w:rPr>
        <w:t xml:space="preserve">generally </w:t>
      </w:r>
      <w:r w:rsidR="00780DA9" w:rsidRPr="00650F05">
        <w:rPr>
          <w:rFonts w:ascii="Tahoma" w:hAnsi="Tahoma"/>
        </w:rPr>
        <w:t xml:space="preserve">defined as </w:t>
      </w:r>
      <w:r w:rsidR="00667FD4">
        <w:rPr>
          <w:rFonts w:ascii="Tahoma" w:hAnsi="Tahoma"/>
        </w:rPr>
        <w:t>“</w:t>
      </w:r>
      <w:r w:rsidR="00780DA9" w:rsidRPr="00650F05">
        <w:rPr>
          <w:rFonts w:ascii="Tahoma" w:hAnsi="Tahoma"/>
        </w:rPr>
        <w:t>individuals’ confidence in their own ability to implement the actions required to accomplish certain tasks (Bandura, 1977, Bandura, 1986)</w:t>
      </w:r>
      <w:r w:rsidR="007C22BC" w:rsidRPr="00650F05">
        <w:rPr>
          <w:rFonts w:ascii="Tahoma" w:hAnsi="Tahoma"/>
        </w:rPr>
        <w:t>”</w:t>
      </w:r>
      <w:r w:rsidR="00780DA9" w:rsidRPr="00650F05">
        <w:rPr>
          <w:rFonts w:ascii="Tahoma" w:hAnsi="Tahoma"/>
        </w:rPr>
        <w:t xml:space="preserve">. </w:t>
      </w:r>
      <w:r w:rsidR="008E1AF2" w:rsidRPr="00650F05">
        <w:rPr>
          <w:rFonts w:ascii="Tahoma" w:hAnsi="Tahoma"/>
        </w:rPr>
        <w:t>Therefore, i</w:t>
      </w:r>
      <w:r w:rsidR="00780DA9" w:rsidRPr="00650F05">
        <w:rPr>
          <w:rFonts w:ascii="Tahoma" w:hAnsi="Tahoma"/>
        </w:rPr>
        <w:t>n the context of preparedness for transitions</w:t>
      </w:r>
      <w:r w:rsidR="007C1210" w:rsidRPr="00650F05">
        <w:rPr>
          <w:rFonts w:ascii="Tahoma" w:hAnsi="Tahoma"/>
        </w:rPr>
        <w:t>,</w:t>
      </w:r>
      <w:r w:rsidR="005F024E" w:rsidRPr="00650F05">
        <w:rPr>
          <w:rFonts w:ascii="Tahoma" w:hAnsi="Tahoma"/>
        </w:rPr>
        <w:t xml:space="preserve"> </w:t>
      </w:r>
      <w:r w:rsidR="00817965" w:rsidRPr="00650F05">
        <w:rPr>
          <w:rFonts w:ascii="Tahoma" w:hAnsi="Tahoma"/>
        </w:rPr>
        <w:t>“</w:t>
      </w:r>
      <w:r w:rsidR="00780DA9" w:rsidRPr="00650F05">
        <w:rPr>
          <w:rFonts w:ascii="Tahoma" w:hAnsi="Tahoma"/>
        </w:rPr>
        <w:t>self-efficacy beliefs are conceptuali</w:t>
      </w:r>
      <w:r w:rsidR="00276C49" w:rsidRPr="00650F05">
        <w:rPr>
          <w:rFonts w:ascii="Tahoma" w:hAnsi="Tahoma"/>
        </w:rPr>
        <w:t>s</w:t>
      </w:r>
      <w:r w:rsidR="00780DA9" w:rsidRPr="00650F05">
        <w:rPr>
          <w:rFonts w:ascii="Tahoma" w:hAnsi="Tahoma"/>
        </w:rPr>
        <w:t xml:space="preserve">ed as individual characteristics that enable </w:t>
      </w:r>
      <w:r w:rsidR="007C1210" w:rsidRPr="00650F05">
        <w:rPr>
          <w:rFonts w:ascii="Tahoma" w:hAnsi="Tahoma"/>
        </w:rPr>
        <w:t>individuals</w:t>
      </w:r>
      <w:r w:rsidR="00780DA9" w:rsidRPr="00650F05">
        <w:rPr>
          <w:rFonts w:ascii="Tahoma" w:hAnsi="Tahoma"/>
        </w:rPr>
        <w:t xml:space="preserve"> to accomplish behaviours that are related to a successful life transition</w:t>
      </w:r>
      <w:r w:rsidR="00A450C3" w:rsidRPr="00650F05">
        <w:rPr>
          <w:rFonts w:ascii="Tahoma" w:hAnsi="Tahoma"/>
        </w:rPr>
        <w:t>”</w:t>
      </w:r>
      <w:r w:rsidR="00780DA9" w:rsidRPr="00650F05">
        <w:rPr>
          <w:rFonts w:ascii="Tahoma" w:hAnsi="Tahoma"/>
        </w:rPr>
        <w:t xml:space="preserve"> (</w:t>
      </w:r>
      <w:r w:rsidR="00F109FC" w:rsidRPr="00650F05">
        <w:rPr>
          <w:rFonts w:ascii="Tahoma" w:hAnsi="Tahoma"/>
        </w:rPr>
        <w:t>Lazarides</w:t>
      </w:r>
      <w:r w:rsidR="00780DA9" w:rsidRPr="00650F05">
        <w:rPr>
          <w:rFonts w:ascii="Tahoma" w:hAnsi="Tahoma"/>
        </w:rPr>
        <w:t xml:space="preserve"> </w:t>
      </w:r>
      <w:r w:rsidR="00780DA9" w:rsidRPr="00D51729">
        <w:rPr>
          <w:rFonts w:ascii="Tahoma" w:hAnsi="Tahoma"/>
          <w:i/>
          <w:iCs/>
        </w:rPr>
        <w:t>et al</w:t>
      </w:r>
      <w:r w:rsidR="00780DA9" w:rsidRPr="00650F05">
        <w:rPr>
          <w:rFonts w:ascii="Tahoma" w:hAnsi="Tahoma"/>
        </w:rPr>
        <w:t>., 201</w:t>
      </w:r>
      <w:r w:rsidR="00F109FC" w:rsidRPr="00650F05">
        <w:rPr>
          <w:rFonts w:ascii="Tahoma" w:hAnsi="Tahoma"/>
        </w:rPr>
        <w:t>7</w:t>
      </w:r>
      <w:r w:rsidR="00402788" w:rsidRPr="00650F05">
        <w:rPr>
          <w:rFonts w:ascii="Tahoma" w:hAnsi="Tahoma"/>
        </w:rPr>
        <w:t>, p.152</w:t>
      </w:r>
      <w:r w:rsidR="00780DA9" w:rsidRPr="00650F05">
        <w:rPr>
          <w:rFonts w:ascii="Tahoma" w:hAnsi="Tahoma"/>
        </w:rPr>
        <w:t>)</w:t>
      </w:r>
      <w:r w:rsidR="00742E39" w:rsidRPr="00650F05">
        <w:rPr>
          <w:rFonts w:ascii="Tahoma" w:hAnsi="Tahoma"/>
        </w:rPr>
        <w:t>.</w:t>
      </w:r>
      <w:r w:rsidR="007C0CDE" w:rsidRPr="00650F05">
        <w:rPr>
          <w:rFonts w:ascii="Tahoma" w:hAnsi="Tahoma"/>
        </w:rPr>
        <w:t xml:space="preserve"> </w:t>
      </w:r>
      <w:r w:rsidR="00963F13" w:rsidRPr="00650F05">
        <w:rPr>
          <w:rFonts w:ascii="Tahoma" w:hAnsi="Tahoma"/>
        </w:rPr>
        <w:t xml:space="preserve">Resilience </w:t>
      </w:r>
      <w:r w:rsidR="00732BFD" w:rsidRPr="00650F05">
        <w:rPr>
          <w:rFonts w:ascii="Tahoma" w:hAnsi="Tahoma"/>
        </w:rPr>
        <w:t>against setbacks</w:t>
      </w:r>
      <w:r w:rsidR="00C47F76" w:rsidRPr="00650F05">
        <w:rPr>
          <w:rFonts w:ascii="Tahoma" w:hAnsi="Tahoma"/>
        </w:rPr>
        <w:t xml:space="preserve">, otherwise known as </w:t>
      </w:r>
      <w:r w:rsidR="004D0FAD" w:rsidRPr="00650F05">
        <w:rPr>
          <w:rFonts w:ascii="Tahoma" w:hAnsi="Tahoma"/>
        </w:rPr>
        <w:t>‘</w:t>
      </w:r>
      <w:r w:rsidR="00C47F76" w:rsidRPr="00650F05">
        <w:rPr>
          <w:rFonts w:ascii="Tahoma" w:hAnsi="Tahoma"/>
        </w:rPr>
        <w:t>inoculation</w:t>
      </w:r>
      <w:r w:rsidR="004D0FAD" w:rsidRPr="00650F05">
        <w:rPr>
          <w:rFonts w:ascii="Tahoma" w:hAnsi="Tahoma"/>
        </w:rPr>
        <w:t>’</w:t>
      </w:r>
      <w:r w:rsidR="00C47F76" w:rsidRPr="00650F05">
        <w:rPr>
          <w:rFonts w:ascii="Tahoma" w:hAnsi="Tahoma"/>
        </w:rPr>
        <w:t>,</w:t>
      </w:r>
      <w:r w:rsidR="00732BFD" w:rsidRPr="00650F05">
        <w:rPr>
          <w:rFonts w:ascii="Tahoma" w:hAnsi="Tahoma"/>
        </w:rPr>
        <w:t xml:space="preserve"> refers to </w:t>
      </w:r>
      <w:r w:rsidR="00237F41" w:rsidRPr="00650F05">
        <w:rPr>
          <w:rFonts w:ascii="Tahoma" w:hAnsi="Tahoma"/>
        </w:rPr>
        <w:t xml:space="preserve">personal </w:t>
      </w:r>
      <w:r w:rsidR="00732BFD" w:rsidRPr="00650F05">
        <w:rPr>
          <w:rFonts w:ascii="Tahoma" w:hAnsi="Tahoma"/>
        </w:rPr>
        <w:t xml:space="preserve">skills that help individuals </w:t>
      </w:r>
      <w:r w:rsidR="00237F41" w:rsidRPr="00650F05">
        <w:rPr>
          <w:rFonts w:ascii="Tahoma" w:hAnsi="Tahoma"/>
        </w:rPr>
        <w:t>manage stressors</w:t>
      </w:r>
      <w:r w:rsidR="00E04A97" w:rsidRPr="00650F05">
        <w:rPr>
          <w:rFonts w:ascii="Tahoma" w:hAnsi="Tahoma"/>
        </w:rPr>
        <w:t xml:space="preserve"> and </w:t>
      </w:r>
      <w:r w:rsidR="00732BFD" w:rsidRPr="00650F05">
        <w:rPr>
          <w:rFonts w:ascii="Tahoma" w:hAnsi="Tahoma"/>
        </w:rPr>
        <w:t xml:space="preserve">maintain goal-oriented </w:t>
      </w:r>
      <w:r w:rsidR="007F7657" w:rsidRPr="00650F05">
        <w:rPr>
          <w:rFonts w:ascii="Tahoma" w:hAnsi="Tahoma"/>
        </w:rPr>
        <w:t>behaviour</w:t>
      </w:r>
      <w:r w:rsidR="00732BFD" w:rsidRPr="00650F05">
        <w:rPr>
          <w:rFonts w:ascii="Tahoma" w:hAnsi="Tahoma"/>
        </w:rPr>
        <w:t xml:space="preserve"> </w:t>
      </w:r>
      <w:r w:rsidR="00B93AD0" w:rsidRPr="00650F05">
        <w:rPr>
          <w:rFonts w:ascii="Tahoma" w:hAnsi="Tahoma"/>
        </w:rPr>
        <w:t xml:space="preserve">in times of adversity </w:t>
      </w:r>
      <w:r w:rsidR="00732BFD" w:rsidRPr="00650F05">
        <w:rPr>
          <w:rFonts w:ascii="Tahoma" w:hAnsi="Tahoma"/>
        </w:rPr>
        <w:t>(Meichenbaum, 1985</w:t>
      </w:r>
      <w:r w:rsidR="00A269EB" w:rsidRPr="00650F05">
        <w:rPr>
          <w:rFonts w:ascii="Tahoma" w:hAnsi="Tahoma"/>
        </w:rPr>
        <w:t>;</w:t>
      </w:r>
      <w:r w:rsidR="00732BFD" w:rsidRPr="00650F05">
        <w:rPr>
          <w:rFonts w:ascii="Tahoma" w:hAnsi="Tahoma"/>
        </w:rPr>
        <w:t xml:space="preserve"> Salmela-Aro </w:t>
      </w:r>
      <w:r w:rsidR="00732BFD" w:rsidRPr="00CF783E">
        <w:rPr>
          <w:rFonts w:ascii="Tahoma" w:hAnsi="Tahoma"/>
          <w:i/>
          <w:iCs/>
        </w:rPr>
        <w:t>et al.,</w:t>
      </w:r>
      <w:r w:rsidR="00732BFD" w:rsidRPr="00650F05">
        <w:rPr>
          <w:rFonts w:ascii="Tahoma" w:hAnsi="Tahoma"/>
        </w:rPr>
        <w:t xml:space="preserve"> 2010).</w:t>
      </w:r>
    </w:p>
    <w:p w14:paraId="06EBEF30" w14:textId="0E7F024B" w:rsidR="001D710F" w:rsidRPr="00650F05" w:rsidRDefault="00576721" w:rsidP="008F2A23">
      <w:pPr>
        <w:spacing w:line="480" w:lineRule="auto"/>
        <w:jc w:val="both"/>
        <w:rPr>
          <w:rFonts w:ascii="Tahoma" w:hAnsi="Tahoma"/>
        </w:rPr>
      </w:pPr>
      <w:r w:rsidRPr="00650F05">
        <w:rPr>
          <w:rFonts w:ascii="Tahoma" w:hAnsi="Tahoma"/>
        </w:rPr>
        <w:t>R</w:t>
      </w:r>
      <w:r w:rsidR="00732BFD" w:rsidRPr="00650F05">
        <w:rPr>
          <w:rFonts w:ascii="Tahoma" w:hAnsi="Tahoma"/>
        </w:rPr>
        <w:t xml:space="preserve">esearch </w:t>
      </w:r>
      <w:r w:rsidR="00B65C30" w:rsidRPr="00650F05">
        <w:rPr>
          <w:rFonts w:ascii="Tahoma" w:hAnsi="Tahoma"/>
        </w:rPr>
        <w:t xml:space="preserve">in the area </w:t>
      </w:r>
      <w:r w:rsidR="00AF75A7" w:rsidRPr="00650F05">
        <w:rPr>
          <w:rFonts w:ascii="Tahoma" w:hAnsi="Tahoma"/>
        </w:rPr>
        <w:t xml:space="preserve">predominantly </w:t>
      </w:r>
      <w:r w:rsidR="00186199" w:rsidRPr="00650F05">
        <w:rPr>
          <w:rFonts w:ascii="Tahoma" w:hAnsi="Tahoma"/>
        </w:rPr>
        <w:t>focuses</w:t>
      </w:r>
      <w:r w:rsidR="00732BFD" w:rsidRPr="00650F05">
        <w:rPr>
          <w:rFonts w:ascii="Tahoma" w:hAnsi="Tahoma"/>
        </w:rPr>
        <w:t xml:space="preserve"> </w:t>
      </w:r>
      <w:r w:rsidR="00186199" w:rsidRPr="00650F05">
        <w:rPr>
          <w:rFonts w:ascii="Tahoma" w:hAnsi="Tahoma"/>
        </w:rPr>
        <w:t xml:space="preserve">upon </w:t>
      </w:r>
      <w:r w:rsidR="00732BFD" w:rsidRPr="00650F05">
        <w:rPr>
          <w:rFonts w:ascii="Tahoma" w:hAnsi="Tahoma"/>
        </w:rPr>
        <w:t xml:space="preserve">adolescents’ </w:t>
      </w:r>
      <w:r w:rsidR="00BD12EA" w:rsidRPr="00650F05">
        <w:rPr>
          <w:rFonts w:ascii="Tahoma" w:hAnsi="Tahoma"/>
        </w:rPr>
        <w:t xml:space="preserve">preparedness </w:t>
      </w:r>
      <w:r w:rsidR="00473253">
        <w:rPr>
          <w:rFonts w:ascii="Tahoma" w:hAnsi="Tahoma"/>
        </w:rPr>
        <w:t>for</w:t>
      </w:r>
      <w:r w:rsidR="00202456" w:rsidRPr="00650F05">
        <w:rPr>
          <w:rFonts w:ascii="Tahoma" w:hAnsi="Tahoma"/>
        </w:rPr>
        <w:t xml:space="preserve"> </w:t>
      </w:r>
      <w:r w:rsidR="00BD12EA" w:rsidRPr="00650F05">
        <w:rPr>
          <w:rFonts w:ascii="Tahoma" w:hAnsi="Tahoma"/>
        </w:rPr>
        <w:t xml:space="preserve">transition to </w:t>
      </w:r>
      <w:r w:rsidR="006C474A" w:rsidRPr="00650F05">
        <w:rPr>
          <w:rFonts w:ascii="Tahoma" w:hAnsi="Tahoma"/>
        </w:rPr>
        <w:t xml:space="preserve">work after secondary education </w:t>
      </w:r>
      <w:r w:rsidR="00732BFD" w:rsidRPr="00650F05">
        <w:rPr>
          <w:rFonts w:ascii="Tahoma" w:hAnsi="Tahoma"/>
        </w:rPr>
        <w:t xml:space="preserve">(Koivisto </w:t>
      </w:r>
      <w:r w:rsidR="00732BFD" w:rsidRPr="00D51729">
        <w:rPr>
          <w:rFonts w:ascii="Tahoma" w:hAnsi="Tahoma"/>
          <w:i/>
          <w:iCs/>
        </w:rPr>
        <w:t>et al</w:t>
      </w:r>
      <w:r w:rsidR="00732BFD" w:rsidRPr="00650F05">
        <w:rPr>
          <w:rFonts w:ascii="Tahoma" w:hAnsi="Tahoma"/>
        </w:rPr>
        <w:t>., 2010</w:t>
      </w:r>
      <w:r w:rsidR="00EE455E" w:rsidRPr="00650F05">
        <w:rPr>
          <w:rFonts w:ascii="Tahoma" w:hAnsi="Tahoma"/>
        </w:rPr>
        <w:t>;</w:t>
      </w:r>
      <w:r w:rsidR="00732BFD" w:rsidRPr="00650F05">
        <w:rPr>
          <w:rFonts w:ascii="Tahoma" w:hAnsi="Tahoma"/>
        </w:rPr>
        <w:t xml:space="preserve"> Salmela-Aro and Vuori, 2015</w:t>
      </w:r>
      <w:r w:rsidR="00EE455E" w:rsidRPr="00650F05">
        <w:rPr>
          <w:rFonts w:ascii="Tahoma" w:hAnsi="Tahoma"/>
        </w:rPr>
        <w:t>;</w:t>
      </w:r>
      <w:r w:rsidR="00732BFD" w:rsidRPr="00650F05">
        <w:rPr>
          <w:rFonts w:ascii="Tahoma" w:hAnsi="Tahoma"/>
        </w:rPr>
        <w:t xml:space="preserve"> Salmela-Aro </w:t>
      </w:r>
      <w:r w:rsidR="00732BFD" w:rsidRPr="00D51729">
        <w:rPr>
          <w:rFonts w:ascii="Tahoma" w:hAnsi="Tahoma"/>
          <w:i/>
          <w:iCs/>
        </w:rPr>
        <w:t>et al</w:t>
      </w:r>
      <w:r w:rsidR="00732BFD" w:rsidRPr="00650F05">
        <w:rPr>
          <w:rFonts w:ascii="Tahoma" w:hAnsi="Tahoma"/>
        </w:rPr>
        <w:t>., 2012</w:t>
      </w:r>
      <w:r w:rsidR="00EE455E" w:rsidRPr="00650F05">
        <w:rPr>
          <w:rFonts w:ascii="Tahoma" w:hAnsi="Tahoma"/>
        </w:rPr>
        <w:t>;</w:t>
      </w:r>
      <w:r w:rsidR="00732BFD" w:rsidRPr="00650F05">
        <w:rPr>
          <w:rFonts w:ascii="Tahoma" w:hAnsi="Tahoma"/>
        </w:rPr>
        <w:t xml:space="preserve"> Vuori and Vinokur, 2005)</w:t>
      </w:r>
      <w:r w:rsidR="006C474A" w:rsidRPr="00650F05">
        <w:rPr>
          <w:rFonts w:ascii="Tahoma" w:hAnsi="Tahoma"/>
        </w:rPr>
        <w:t xml:space="preserve">. </w:t>
      </w:r>
      <w:r w:rsidR="00732BFD" w:rsidRPr="00650F05">
        <w:rPr>
          <w:rFonts w:ascii="Tahoma" w:hAnsi="Tahoma"/>
        </w:rPr>
        <w:t xml:space="preserve">However, </w:t>
      </w:r>
      <w:r w:rsidR="00BD12EA" w:rsidRPr="00650F05">
        <w:rPr>
          <w:rFonts w:ascii="Tahoma" w:hAnsi="Tahoma"/>
        </w:rPr>
        <w:t xml:space="preserve">in recent times </w:t>
      </w:r>
      <w:r w:rsidR="00563CFD" w:rsidRPr="00650F05">
        <w:rPr>
          <w:rFonts w:ascii="Tahoma" w:hAnsi="Tahoma"/>
        </w:rPr>
        <w:t xml:space="preserve">there has been </w:t>
      </w:r>
      <w:r w:rsidRPr="00650F05">
        <w:rPr>
          <w:rFonts w:ascii="Tahoma" w:hAnsi="Tahoma"/>
        </w:rPr>
        <w:t xml:space="preserve">a greater focus upon HE </w:t>
      </w:r>
      <w:r w:rsidR="0039634E" w:rsidRPr="00650F05">
        <w:rPr>
          <w:rFonts w:ascii="Tahoma" w:hAnsi="Tahoma"/>
        </w:rPr>
        <w:t>student’s</w:t>
      </w:r>
      <w:r w:rsidR="00AB5997" w:rsidRPr="00650F05">
        <w:rPr>
          <w:rFonts w:ascii="Tahoma" w:hAnsi="Tahoma"/>
        </w:rPr>
        <w:t xml:space="preserve"> </w:t>
      </w:r>
      <w:r w:rsidR="00717385" w:rsidRPr="00650F05">
        <w:rPr>
          <w:rFonts w:ascii="Tahoma" w:hAnsi="Tahoma"/>
        </w:rPr>
        <w:t xml:space="preserve">preparedness for the </w:t>
      </w:r>
      <w:r w:rsidRPr="00650F05">
        <w:rPr>
          <w:rFonts w:ascii="Tahoma" w:hAnsi="Tahoma"/>
        </w:rPr>
        <w:t xml:space="preserve">transition to work </w:t>
      </w:r>
      <w:r w:rsidR="00717385" w:rsidRPr="00650F05">
        <w:rPr>
          <w:rFonts w:ascii="Tahoma" w:hAnsi="Tahoma"/>
        </w:rPr>
        <w:t>(</w:t>
      </w:r>
      <w:r w:rsidR="0039634E" w:rsidRPr="00650F05">
        <w:rPr>
          <w:rFonts w:ascii="Tahoma" w:hAnsi="Tahoma"/>
        </w:rPr>
        <w:t xml:space="preserve">Calma </w:t>
      </w:r>
      <w:r w:rsidR="0039634E" w:rsidRPr="00D51729">
        <w:rPr>
          <w:rFonts w:ascii="Tahoma" w:hAnsi="Tahoma"/>
          <w:i/>
          <w:iCs/>
        </w:rPr>
        <w:t>et al</w:t>
      </w:r>
      <w:r w:rsidR="0039634E" w:rsidRPr="00650F05">
        <w:rPr>
          <w:rFonts w:ascii="Tahoma" w:hAnsi="Tahoma"/>
        </w:rPr>
        <w:t xml:space="preserve">., 2019; Deters </w:t>
      </w:r>
      <w:r w:rsidR="0039634E" w:rsidRPr="00D51729">
        <w:rPr>
          <w:rFonts w:ascii="Tahoma" w:hAnsi="Tahoma"/>
          <w:i/>
          <w:iCs/>
        </w:rPr>
        <w:t>et al</w:t>
      </w:r>
      <w:r w:rsidR="0039634E" w:rsidRPr="00650F05">
        <w:rPr>
          <w:rFonts w:ascii="Tahoma" w:hAnsi="Tahoma"/>
        </w:rPr>
        <w:t xml:space="preserve">., 2020; </w:t>
      </w:r>
      <w:r w:rsidR="00280CB0" w:rsidRPr="00650F05">
        <w:rPr>
          <w:rFonts w:ascii="Tahoma" w:hAnsi="Tahoma"/>
        </w:rPr>
        <w:t>Garcia-</w:t>
      </w:r>
      <w:r w:rsidR="00891B32" w:rsidRPr="00650F05">
        <w:rPr>
          <w:rFonts w:ascii="Tahoma" w:hAnsi="Tahoma"/>
        </w:rPr>
        <w:t xml:space="preserve">Aracil </w:t>
      </w:r>
      <w:r w:rsidR="00891B32" w:rsidRPr="00D51729">
        <w:rPr>
          <w:rFonts w:ascii="Tahoma" w:hAnsi="Tahoma"/>
          <w:i/>
          <w:iCs/>
        </w:rPr>
        <w:t>et al</w:t>
      </w:r>
      <w:r w:rsidR="00891B32" w:rsidRPr="00650F05">
        <w:rPr>
          <w:rFonts w:ascii="Tahoma" w:hAnsi="Tahoma"/>
        </w:rPr>
        <w:t>.</w:t>
      </w:r>
      <w:r w:rsidR="00717385" w:rsidRPr="00650F05">
        <w:rPr>
          <w:rFonts w:ascii="Tahoma" w:hAnsi="Tahoma"/>
        </w:rPr>
        <w:t xml:space="preserve">, </w:t>
      </w:r>
      <w:r w:rsidR="00891B32" w:rsidRPr="00650F05">
        <w:rPr>
          <w:rFonts w:ascii="Tahoma" w:hAnsi="Tahoma"/>
        </w:rPr>
        <w:t>2018</w:t>
      </w:r>
      <w:r w:rsidR="00717385" w:rsidRPr="00650F05">
        <w:rPr>
          <w:rFonts w:ascii="Tahoma" w:hAnsi="Tahoma"/>
        </w:rPr>
        <w:t>;</w:t>
      </w:r>
      <w:r w:rsidR="00891B32" w:rsidRPr="00650F05">
        <w:rPr>
          <w:rFonts w:ascii="Tahoma" w:hAnsi="Tahoma"/>
        </w:rPr>
        <w:t xml:space="preserve"> </w:t>
      </w:r>
      <w:r w:rsidR="008863D6" w:rsidRPr="00650F05">
        <w:rPr>
          <w:rFonts w:ascii="Tahoma" w:hAnsi="Tahoma"/>
        </w:rPr>
        <w:t xml:space="preserve">Ottrey </w:t>
      </w:r>
      <w:r w:rsidR="008863D6" w:rsidRPr="00D51729">
        <w:rPr>
          <w:rFonts w:ascii="Tahoma" w:hAnsi="Tahoma"/>
          <w:i/>
          <w:iCs/>
        </w:rPr>
        <w:t>et al</w:t>
      </w:r>
      <w:r w:rsidR="008863D6" w:rsidRPr="00650F05">
        <w:rPr>
          <w:rFonts w:ascii="Tahoma" w:hAnsi="Tahoma"/>
        </w:rPr>
        <w:t>.</w:t>
      </w:r>
      <w:r w:rsidR="00EE455E" w:rsidRPr="00650F05">
        <w:rPr>
          <w:rFonts w:ascii="Tahoma" w:hAnsi="Tahoma"/>
        </w:rPr>
        <w:t xml:space="preserve">, </w:t>
      </w:r>
      <w:r w:rsidR="008863D6" w:rsidRPr="00650F05">
        <w:rPr>
          <w:rFonts w:ascii="Tahoma" w:hAnsi="Tahoma"/>
        </w:rPr>
        <w:t>2021</w:t>
      </w:r>
      <w:r w:rsidR="0039634E" w:rsidRPr="00650F05">
        <w:rPr>
          <w:rFonts w:ascii="Tahoma" w:hAnsi="Tahoma"/>
        </w:rPr>
        <w:t>).</w:t>
      </w:r>
      <w:r w:rsidR="00DA2803" w:rsidRPr="00650F05">
        <w:rPr>
          <w:rFonts w:ascii="Tahoma" w:hAnsi="Tahoma"/>
        </w:rPr>
        <w:t xml:space="preserve"> Whilst few of these articles focus on </w:t>
      </w:r>
      <w:r w:rsidR="00D524CE" w:rsidRPr="00650F05">
        <w:rPr>
          <w:rFonts w:ascii="Tahoma" w:hAnsi="Tahoma"/>
        </w:rPr>
        <w:t>non-traditional students</w:t>
      </w:r>
      <w:r w:rsidR="00221CC4" w:rsidRPr="00650F05">
        <w:rPr>
          <w:rFonts w:ascii="Tahoma" w:hAnsi="Tahoma"/>
        </w:rPr>
        <w:t>/courses</w:t>
      </w:r>
      <w:r w:rsidR="00D524CE" w:rsidRPr="00650F05">
        <w:rPr>
          <w:rFonts w:ascii="Tahoma" w:hAnsi="Tahoma"/>
        </w:rPr>
        <w:t>,</w:t>
      </w:r>
      <w:r w:rsidR="00B0694B" w:rsidRPr="00650F05">
        <w:rPr>
          <w:rFonts w:ascii="Tahoma" w:hAnsi="Tahoma"/>
        </w:rPr>
        <w:t xml:space="preserve"> all </w:t>
      </w:r>
      <w:r w:rsidR="00221CC4" w:rsidRPr="00650F05">
        <w:rPr>
          <w:rFonts w:ascii="Tahoma" w:hAnsi="Tahoma"/>
        </w:rPr>
        <w:t xml:space="preserve">students within the </w:t>
      </w:r>
      <w:r w:rsidR="0046688D" w:rsidRPr="00650F05">
        <w:rPr>
          <w:rFonts w:ascii="Tahoma" w:hAnsi="Tahoma"/>
        </w:rPr>
        <w:t xml:space="preserve">previously cited </w:t>
      </w:r>
      <w:r w:rsidR="00221CC4" w:rsidRPr="00650F05">
        <w:rPr>
          <w:rFonts w:ascii="Tahoma" w:hAnsi="Tahoma"/>
        </w:rPr>
        <w:t xml:space="preserve">research </w:t>
      </w:r>
      <w:r w:rsidR="00B0694B" w:rsidRPr="00650F05">
        <w:rPr>
          <w:rFonts w:ascii="Tahoma" w:hAnsi="Tahoma"/>
        </w:rPr>
        <w:t xml:space="preserve">are </w:t>
      </w:r>
      <w:r w:rsidR="007C0B2D" w:rsidRPr="00650F05">
        <w:rPr>
          <w:rFonts w:ascii="Tahoma" w:hAnsi="Tahoma"/>
        </w:rPr>
        <w:t>either</w:t>
      </w:r>
      <w:r w:rsidR="00D524CE" w:rsidRPr="00650F05">
        <w:rPr>
          <w:rFonts w:ascii="Tahoma" w:hAnsi="Tahoma"/>
        </w:rPr>
        <w:t xml:space="preserve"> </w:t>
      </w:r>
      <w:r w:rsidR="00D80CDE" w:rsidRPr="00650F05">
        <w:rPr>
          <w:rFonts w:ascii="Tahoma" w:hAnsi="Tahoma"/>
        </w:rPr>
        <w:t>undertaking or</w:t>
      </w:r>
      <w:r w:rsidR="007C0B2D" w:rsidRPr="00650F05">
        <w:rPr>
          <w:rFonts w:ascii="Tahoma" w:hAnsi="Tahoma"/>
        </w:rPr>
        <w:t xml:space="preserve"> planning to undertake a significant step in their </w:t>
      </w:r>
      <w:r w:rsidR="00221CC4" w:rsidRPr="00650F05">
        <w:rPr>
          <w:rFonts w:ascii="Tahoma" w:hAnsi="Tahoma"/>
        </w:rPr>
        <w:t xml:space="preserve">life </w:t>
      </w:r>
      <w:r w:rsidR="007C0B2D" w:rsidRPr="00650F05">
        <w:rPr>
          <w:rFonts w:ascii="Tahoma" w:hAnsi="Tahoma"/>
        </w:rPr>
        <w:t xml:space="preserve">transition </w:t>
      </w:r>
      <w:r w:rsidR="00066522" w:rsidRPr="00650F05">
        <w:rPr>
          <w:rFonts w:ascii="Tahoma" w:hAnsi="Tahoma"/>
        </w:rPr>
        <w:t xml:space="preserve">by moving </w:t>
      </w:r>
      <w:r w:rsidR="0046688D" w:rsidRPr="00650F05">
        <w:rPr>
          <w:rFonts w:ascii="Tahoma" w:hAnsi="Tahoma"/>
        </w:rPr>
        <w:t xml:space="preserve">from full-time education </w:t>
      </w:r>
      <w:r w:rsidR="00066522" w:rsidRPr="00650F05">
        <w:rPr>
          <w:rFonts w:ascii="Tahoma" w:hAnsi="Tahoma"/>
        </w:rPr>
        <w:t>into employment</w:t>
      </w:r>
      <w:r w:rsidR="00221CC4" w:rsidRPr="00650F05">
        <w:rPr>
          <w:rFonts w:ascii="Tahoma" w:hAnsi="Tahoma"/>
        </w:rPr>
        <w:t xml:space="preserve">, </w:t>
      </w:r>
      <w:r w:rsidR="00066522" w:rsidRPr="00650F05">
        <w:rPr>
          <w:rFonts w:ascii="Tahoma" w:hAnsi="Tahoma"/>
        </w:rPr>
        <w:t xml:space="preserve">therefore, </w:t>
      </w:r>
      <w:r w:rsidR="00D524CE" w:rsidRPr="00650F05">
        <w:rPr>
          <w:rFonts w:ascii="Tahoma" w:hAnsi="Tahoma"/>
        </w:rPr>
        <w:t xml:space="preserve">commonalities </w:t>
      </w:r>
      <w:r w:rsidR="000224D4">
        <w:rPr>
          <w:rFonts w:ascii="Tahoma" w:hAnsi="Tahoma"/>
        </w:rPr>
        <w:t xml:space="preserve">may exist </w:t>
      </w:r>
      <w:r w:rsidR="00D524CE" w:rsidRPr="00650F05">
        <w:rPr>
          <w:rFonts w:ascii="Tahoma" w:hAnsi="Tahoma"/>
        </w:rPr>
        <w:t xml:space="preserve">between </w:t>
      </w:r>
      <w:r w:rsidR="00C80367" w:rsidRPr="00650F05">
        <w:rPr>
          <w:rFonts w:ascii="Tahoma" w:hAnsi="Tahoma"/>
        </w:rPr>
        <w:t>findings</w:t>
      </w:r>
      <w:r w:rsidR="006459FF" w:rsidRPr="00650F05">
        <w:rPr>
          <w:rFonts w:ascii="Tahoma" w:hAnsi="Tahoma"/>
        </w:rPr>
        <w:t>.</w:t>
      </w:r>
    </w:p>
    <w:p w14:paraId="0B5167FF" w14:textId="77777777" w:rsidR="00732BFD" w:rsidRPr="00650F05" w:rsidRDefault="00732BFD" w:rsidP="008F2A23">
      <w:pPr>
        <w:spacing w:line="480" w:lineRule="auto"/>
        <w:jc w:val="both"/>
        <w:rPr>
          <w:rFonts w:ascii="Tahoma" w:hAnsi="Tahoma"/>
        </w:rPr>
      </w:pPr>
    </w:p>
    <w:p w14:paraId="084E6D41" w14:textId="18B2B180" w:rsidR="00066C89" w:rsidRPr="00D51729" w:rsidRDefault="007526D2" w:rsidP="008F2A23">
      <w:pPr>
        <w:spacing w:line="480" w:lineRule="auto"/>
        <w:jc w:val="both"/>
        <w:rPr>
          <w:rFonts w:ascii="Tahoma" w:hAnsi="Tahoma"/>
          <w:i/>
          <w:iCs/>
        </w:rPr>
      </w:pPr>
      <w:r w:rsidRPr="00D51729">
        <w:rPr>
          <w:rFonts w:ascii="Tahoma" w:hAnsi="Tahoma"/>
          <w:i/>
          <w:iCs/>
        </w:rPr>
        <w:t>Transition</w:t>
      </w:r>
      <w:r w:rsidR="00B27522" w:rsidRPr="00D51729">
        <w:rPr>
          <w:rFonts w:ascii="Tahoma" w:hAnsi="Tahoma"/>
          <w:i/>
          <w:iCs/>
        </w:rPr>
        <w:t xml:space="preserve">, </w:t>
      </w:r>
      <w:r w:rsidRPr="00D51729">
        <w:rPr>
          <w:rFonts w:ascii="Tahoma" w:hAnsi="Tahoma"/>
          <w:i/>
          <w:iCs/>
        </w:rPr>
        <w:t>Work</w:t>
      </w:r>
      <w:r w:rsidR="00B27522" w:rsidRPr="00D51729">
        <w:rPr>
          <w:rFonts w:ascii="Tahoma" w:hAnsi="Tahoma"/>
          <w:i/>
          <w:iCs/>
        </w:rPr>
        <w:t xml:space="preserve"> and </w:t>
      </w:r>
      <w:r w:rsidR="00560B88" w:rsidRPr="00D51729">
        <w:rPr>
          <w:rFonts w:ascii="Tahoma" w:hAnsi="Tahoma"/>
          <w:i/>
          <w:iCs/>
        </w:rPr>
        <w:t>Non-traditional Graduates</w:t>
      </w:r>
    </w:p>
    <w:p w14:paraId="4371CBBD" w14:textId="42A2BA42" w:rsidR="00A15A85" w:rsidRDefault="002F52CC" w:rsidP="00140310">
      <w:pPr>
        <w:spacing w:line="480" w:lineRule="auto"/>
        <w:jc w:val="both"/>
        <w:rPr>
          <w:rFonts w:ascii="Tahoma" w:hAnsi="Tahoma"/>
        </w:rPr>
      </w:pPr>
      <w:r w:rsidRPr="00650F05">
        <w:rPr>
          <w:rFonts w:ascii="Tahoma" w:hAnsi="Tahoma"/>
        </w:rPr>
        <w:t>Ecclestone et al. (20</w:t>
      </w:r>
      <w:r w:rsidR="00DC5E61" w:rsidRPr="00650F05">
        <w:rPr>
          <w:rFonts w:ascii="Tahoma" w:hAnsi="Tahoma"/>
        </w:rPr>
        <w:t>10</w:t>
      </w:r>
      <w:r w:rsidRPr="00650F05">
        <w:rPr>
          <w:rFonts w:ascii="Tahoma" w:hAnsi="Tahoma"/>
        </w:rPr>
        <w:t xml:space="preserve">) state that there isn’t accord on what should be considered a </w:t>
      </w:r>
      <w:r w:rsidR="000224D4">
        <w:rPr>
          <w:rFonts w:ascii="Tahoma" w:hAnsi="Tahoma"/>
        </w:rPr>
        <w:t>‘</w:t>
      </w:r>
      <w:r w:rsidRPr="00650F05">
        <w:rPr>
          <w:rFonts w:ascii="Tahoma" w:hAnsi="Tahoma"/>
        </w:rPr>
        <w:t>transition</w:t>
      </w:r>
      <w:r w:rsidR="000224D4">
        <w:rPr>
          <w:rFonts w:ascii="Tahoma" w:hAnsi="Tahoma"/>
        </w:rPr>
        <w:t>’</w:t>
      </w:r>
      <w:r w:rsidRPr="00650F05">
        <w:rPr>
          <w:rFonts w:ascii="Tahoma" w:hAnsi="Tahoma"/>
        </w:rPr>
        <w:t xml:space="preserve"> because it is a complex and diverse process, which is very personal to an individual. </w:t>
      </w:r>
      <w:r w:rsidR="00E140F8" w:rsidRPr="00650F05">
        <w:rPr>
          <w:rFonts w:ascii="Tahoma" w:hAnsi="Tahoma"/>
        </w:rPr>
        <w:t>Anderson et al. (201</w:t>
      </w:r>
      <w:r w:rsidR="005238AD">
        <w:rPr>
          <w:rFonts w:ascii="Tahoma" w:hAnsi="Tahoma"/>
        </w:rPr>
        <w:t>1</w:t>
      </w:r>
      <w:r w:rsidR="00E140F8" w:rsidRPr="00650F05">
        <w:rPr>
          <w:rFonts w:ascii="Tahoma" w:hAnsi="Tahoma"/>
        </w:rPr>
        <w:t>)</w:t>
      </w:r>
      <w:r w:rsidR="00876F71" w:rsidRPr="00650F05">
        <w:rPr>
          <w:rFonts w:ascii="Tahoma" w:hAnsi="Tahoma"/>
        </w:rPr>
        <w:t xml:space="preserve"> </w:t>
      </w:r>
      <w:r w:rsidR="0097186F" w:rsidRPr="00650F05">
        <w:rPr>
          <w:rFonts w:ascii="Tahoma" w:hAnsi="Tahoma"/>
        </w:rPr>
        <w:t xml:space="preserve">simply </w:t>
      </w:r>
      <w:r w:rsidR="001B6CF5" w:rsidRPr="00650F05">
        <w:rPr>
          <w:rFonts w:ascii="Tahoma" w:hAnsi="Tahoma"/>
        </w:rPr>
        <w:t xml:space="preserve">identified </w:t>
      </w:r>
      <w:r w:rsidR="00191AF1" w:rsidRPr="00650F05">
        <w:rPr>
          <w:rFonts w:ascii="Tahoma" w:hAnsi="Tahoma"/>
        </w:rPr>
        <w:t xml:space="preserve">transition </w:t>
      </w:r>
      <w:r w:rsidR="001B6CF5" w:rsidRPr="00650F05">
        <w:rPr>
          <w:rFonts w:ascii="Tahoma" w:hAnsi="Tahoma"/>
        </w:rPr>
        <w:t xml:space="preserve">as </w:t>
      </w:r>
      <w:r w:rsidR="00E140F8" w:rsidRPr="00650F05">
        <w:rPr>
          <w:rFonts w:ascii="Tahoma" w:hAnsi="Tahoma"/>
        </w:rPr>
        <w:t>an event</w:t>
      </w:r>
      <w:r w:rsidR="00424FEB" w:rsidRPr="00650F05">
        <w:rPr>
          <w:rFonts w:ascii="Tahoma" w:hAnsi="Tahoma"/>
        </w:rPr>
        <w:t xml:space="preserve"> </w:t>
      </w:r>
      <w:r w:rsidR="002F2053" w:rsidRPr="00650F05">
        <w:rPr>
          <w:rFonts w:ascii="Tahoma" w:hAnsi="Tahoma"/>
        </w:rPr>
        <w:t>requiring</w:t>
      </w:r>
      <w:r w:rsidR="00424FEB" w:rsidRPr="00650F05">
        <w:rPr>
          <w:rFonts w:ascii="Tahoma" w:hAnsi="Tahoma"/>
        </w:rPr>
        <w:t xml:space="preserve"> change</w:t>
      </w:r>
      <w:r w:rsidR="00191AF1" w:rsidRPr="00650F05">
        <w:rPr>
          <w:rFonts w:ascii="Tahoma" w:hAnsi="Tahoma"/>
        </w:rPr>
        <w:t>,</w:t>
      </w:r>
      <w:r w:rsidR="00E140F8" w:rsidRPr="00650F05">
        <w:rPr>
          <w:rFonts w:ascii="Tahoma" w:hAnsi="Tahoma"/>
        </w:rPr>
        <w:t xml:space="preserve"> </w:t>
      </w:r>
      <w:r w:rsidR="00424FEB" w:rsidRPr="00650F05">
        <w:rPr>
          <w:rFonts w:ascii="Tahoma" w:hAnsi="Tahoma"/>
        </w:rPr>
        <w:t xml:space="preserve">which </w:t>
      </w:r>
      <w:r w:rsidR="00E140F8" w:rsidRPr="00650F05">
        <w:rPr>
          <w:rFonts w:ascii="Tahoma" w:hAnsi="Tahoma"/>
        </w:rPr>
        <w:t>impact</w:t>
      </w:r>
      <w:r w:rsidR="00612168">
        <w:rPr>
          <w:rFonts w:ascii="Tahoma" w:hAnsi="Tahoma"/>
        </w:rPr>
        <w:t>s</w:t>
      </w:r>
      <w:r w:rsidR="002F2053" w:rsidRPr="00650F05">
        <w:rPr>
          <w:rFonts w:ascii="Tahoma" w:hAnsi="Tahoma"/>
        </w:rPr>
        <w:t xml:space="preserve"> upon</w:t>
      </w:r>
      <w:r w:rsidR="00E140F8" w:rsidRPr="00650F05">
        <w:rPr>
          <w:rFonts w:ascii="Tahoma" w:hAnsi="Tahoma"/>
        </w:rPr>
        <w:t xml:space="preserve"> </w:t>
      </w:r>
      <w:r w:rsidR="002F2053" w:rsidRPr="00650F05">
        <w:rPr>
          <w:rFonts w:ascii="Tahoma" w:hAnsi="Tahoma"/>
        </w:rPr>
        <w:t>connections with people</w:t>
      </w:r>
      <w:r w:rsidR="00E140F8" w:rsidRPr="00650F05">
        <w:rPr>
          <w:rFonts w:ascii="Tahoma" w:hAnsi="Tahoma"/>
        </w:rPr>
        <w:t xml:space="preserve">, </w:t>
      </w:r>
      <w:r w:rsidR="0052118F" w:rsidRPr="00650F05">
        <w:rPr>
          <w:rFonts w:ascii="Tahoma" w:hAnsi="Tahoma"/>
        </w:rPr>
        <w:t xml:space="preserve">life patterns </w:t>
      </w:r>
      <w:r w:rsidR="00E140F8" w:rsidRPr="00650F05">
        <w:rPr>
          <w:rFonts w:ascii="Tahoma" w:hAnsi="Tahoma"/>
        </w:rPr>
        <w:t xml:space="preserve">and </w:t>
      </w:r>
      <w:r w:rsidR="008B7637" w:rsidRPr="00650F05">
        <w:rPr>
          <w:rFonts w:ascii="Tahoma" w:hAnsi="Tahoma"/>
        </w:rPr>
        <w:t xml:space="preserve">adopting </w:t>
      </w:r>
      <w:r w:rsidR="0052118F" w:rsidRPr="00650F05">
        <w:rPr>
          <w:rFonts w:ascii="Tahoma" w:hAnsi="Tahoma"/>
        </w:rPr>
        <w:t xml:space="preserve">specific </w:t>
      </w:r>
      <w:r w:rsidR="00E140F8" w:rsidRPr="00650F05">
        <w:rPr>
          <w:rFonts w:ascii="Tahoma" w:hAnsi="Tahoma"/>
        </w:rPr>
        <w:t>roles</w:t>
      </w:r>
      <w:r w:rsidR="00BE1ACD" w:rsidRPr="00650F05">
        <w:rPr>
          <w:rFonts w:ascii="Tahoma" w:hAnsi="Tahoma"/>
        </w:rPr>
        <w:t>.</w:t>
      </w:r>
      <w:r w:rsidR="00E140F8" w:rsidRPr="00650F05">
        <w:rPr>
          <w:rFonts w:ascii="Tahoma" w:hAnsi="Tahoma"/>
        </w:rPr>
        <w:t xml:space="preserve"> </w:t>
      </w:r>
      <w:r w:rsidR="00450D4C" w:rsidRPr="00650F05">
        <w:rPr>
          <w:rFonts w:ascii="Tahoma" w:hAnsi="Tahoma"/>
        </w:rPr>
        <w:t>This involves</w:t>
      </w:r>
      <w:r w:rsidR="002B5766" w:rsidRPr="00650F05">
        <w:rPr>
          <w:rFonts w:ascii="Tahoma" w:hAnsi="Tahoma"/>
        </w:rPr>
        <w:t xml:space="preserve"> </w:t>
      </w:r>
      <w:r w:rsidR="001535CD" w:rsidRPr="00650F05">
        <w:rPr>
          <w:rFonts w:ascii="Tahoma" w:hAnsi="Tahoma"/>
        </w:rPr>
        <w:t xml:space="preserve">new learning </w:t>
      </w:r>
      <w:r w:rsidR="007741CC" w:rsidRPr="00650F05">
        <w:rPr>
          <w:rFonts w:ascii="Tahoma" w:hAnsi="Tahoma"/>
        </w:rPr>
        <w:t xml:space="preserve">in a new </w:t>
      </w:r>
      <w:r w:rsidR="00396B4E" w:rsidRPr="00650F05">
        <w:rPr>
          <w:rFonts w:ascii="Tahoma" w:hAnsi="Tahoma"/>
        </w:rPr>
        <w:t>environment;</w:t>
      </w:r>
      <w:r w:rsidR="001535CD" w:rsidRPr="00650F05">
        <w:rPr>
          <w:rFonts w:ascii="Tahoma" w:hAnsi="Tahoma"/>
        </w:rPr>
        <w:t xml:space="preserve"> therefore, transition </w:t>
      </w:r>
      <w:r w:rsidR="00B57233" w:rsidRPr="00650F05">
        <w:rPr>
          <w:rFonts w:ascii="Tahoma" w:hAnsi="Tahoma"/>
        </w:rPr>
        <w:t>is</w:t>
      </w:r>
      <w:r w:rsidR="001535CD" w:rsidRPr="00650F05">
        <w:rPr>
          <w:rFonts w:ascii="Tahoma" w:hAnsi="Tahoma"/>
        </w:rPr>
        <w:t xml:space="preserve"> </w:t>
      </w:r>
      <w:r w:rsidR="007741CC" w:rsidRPr="00650F05">
        <w:rPr>
          <w:rFonts w:ascii="Tahoma" w:hAnsi="Tahoma"/>
        </w:rPr>
        <w:t xml:space="preserve">often </w:t>
      </w:r>
      <w:r w:rsidR="001535CD" w:rsidRPr="00650F05">
        <w:rPr>
          <w:rFonts w:ascii="Tahoma" w:hAnsi="Tahoma"/>
        </w:rPr>
        <w:t xml:space="preserve">seen as an opportunity to </w:t>
      </w:r>
      <w:r w:rsidR="001E6B9C" w:rsidRPr="00650F05">
        <w:rPr>
          <w:rFonts w:ascii="Tahoma" w:hAnsi="Tahoma"/>
        </w:rPr>
        <w:t>grow and develop</w:t>
      </w:r>
      <w:r w:rsidR="00A31B2F" w:rsidRPr="00650F05">
        <w:rPr>
          <w:rFonts w:ascii="Tahoma" w:hAnsi="Tahoma"/>
        </w:rPr>
        <w:t xml:space="preserve"> personally and/or professionally</w:t>
      </w:r>
      <w:r w:rsidR="00396B4E" w:rsidRPr="00650F05">
        <w:rPr>
          <w:rFonts w:ascii="Tahoma" w:hAnsi="Tahoma"/>
        </w:rPr>
        <w:t>.</w:t>
      </w:r>
      <w:r w:rsidR="003A28AB" w:rsidRPr="00650F05">
        <w:rPr>
          <w:rFonts w:ascii="Tahoma" w:hAnsi="Tahoma"/>
        </w:rPr>
        <w:t xml:space="preserve"> </w:t>
      </w:r>
      <w:r w:rsidR="006F2D2D" w:rsidRPr="00650F05">
        <w:rPr>
          <w:rFonts w:ascii="Tahoma" w:hAnsi="Tahoma"/>
        </w:rPr>
        <w:t xml:space="preserve">Reflecting upon </w:t>
      </w:r>
      <w:r w:rsidR="00A60554" w:rsidRPr="00650F05">
        <w:rPr>
          <w:rFonts w:ascii="Tahoma" w:hAnsi="Tahoma"/>
        </w:rPr>
        <w:t xml:space="preserve">these views in literature, </w:t>
      </w:r>
      <w:r w:rsidR="003A28AB" w:rsidRPr="00650F05">
        <w:rPr>
          <w:rFonts w:ascii="Tahoma" w:hAnsi="Tahoma"/>
        </w:rPr>
        <w:t xml:space="preserve">Gale and Parker (2014, </w:t>
      </w:r>
      <w:r w:rsidR="00157AC6" w:rsidRPr="00650F05">
        <w:rPr>
          <w:rFonts w:ascii="Tahoma" w:hAnsi="Tahoma"/>
        </w:rPr>
        <w:t>p</w:t>
      </w:r>
      <w:r w:rsidR="003A28AB" w:rsidRPr="00650F05">
        <w:rPr>
          <w:rFonts w:ascii="Tahoma" w:hAnsi="Tahoma"/>
        </w:rPr>
        <w:t>.</w:t>
      </w:r>
      <w:r w:rsidR="00157AC6" w:rsidRPr="00650F05">
        <w:rPr>
          <w:rFonts w:ascii="Tahoma" w:hAnsi="Tahoma"/>
        </w:rPr>
        <w:t>737</w:t>
      </w:r>
      <w:r w:rsidR="003A28AB" w:rsidRPr="00650F05">
        <w:rPr>
          <w:rFonts w:ascii="Tahoma" w:hAnsi="Tahoma"/>
        </w:rPr>
        <w:t xml:space="preserve">) </w:t>
      </w:r>
      <w:r w:rsidR="00A60554" w:rsidRPr="00650F05">
        <w:rPr>
          <w:rFonts w:ascii="Tahoma" w:hAnsi="Tahoma"/>
        </w:rPr>
        <w:t xml:space="preserve">constructed </w:t>
      </w:r>
      <w:r w:rsidR="008932AC" w:rsidRPr="00650F05">
        <w:rPr>
          <w:rFonts w:ascii="Tahoma" w:hAnsi="Tahoma"/>
        </w:rPr>
        <w:t xml:space="preserve">a </w:t>
      </w:r>
      <w:r w:rsidR="00702A33" w:rsidRPr="00650F05">
        <w:rPr>
          <w:rFonts w:ascii="Tahoma" w:hAnsi="Tahoma"/>
        </w:rPr>
        <w:t xml:space="preserve">succinct </w:t>
      </w:r>
      <w:r w:rsidR="00A60554" w:rsidRPr="00650F05">
        <w:rPr>
          <w:rFonts w:ascii="Tahoma" w:hAnsi="Tahoma"/>
        </w:rPr>
        <w:t xml:space="preserve">but </w:t>
      </w:r>
      <w:r w:rsidR="00103144" w:rsidRPr="00650F05">
        <w:rPr>
          <w:rFonts w:ascii="Tahoma" w:hAnsi="Tahoma"/>
        </w:rPr>
        <w:t xml:space="preserve">broad </w:t>
      </w:r>
      <w:r w:rsidR="00702A33" w:rsidRPr="00650F05">
        <w:rPr>
          <w:rFonts w:ascii="Tahoma" w:hAnsi="Tahoma"/>
        </w:rPr>
        <w:t xml:space="preserve">definition </w:t>
      </w:r>
      <w:r w:rsidR="00103144" w:rsidRPr="00650F05">
        <w:rPr>
          <w:rFonts w:ascii="Tahoma" w:hAnsi="Tahoma"/>
        </w:rPr>
        <w:t>of transition</w:t>
      </w:r>
      <w:r w:rsidR="00702A33" w:rsidRPr="00650F05">
        <w:rPr>
          <w:rFonts w:ascii="Tahoma" w:hAnsi="Tahoma"/>
        </w:rPr>
        <w:t>,</w:t>
      </w:r>
      <w:r w:rsidR="003A28AB" w:rsidRPr="00650F05">
        <w:rPr>
          <w:rFonts w:ascii="Tahoma" w:hAnsi="Tahoma"/>
        </w:rPr>
        <w:t xml:space="preserve"> which is “the </w:t>
      </w:r>
      <w:r w:rsidR="003A28AB" w:rsidRPr="00650F05">
        <w:rPr>
          <w:rFonts w:ascii="Tahoma" w:hAnsi="Tahoma"/>
        </w:rPr>
        <w:lastRenderedPageBreak/>
        <w:t xml:space="preserve">capability to navigate change”. </w:t>
      </w:r>
      <w:r w:rsidR="00B3648E">
        <w:rPr>
          <w:rFonts w:ascii="Tahoma" w:hAnsi="Tahoma"/>
        </w:rPr>
        <w:t>D</w:t>
      </w:r>
      <w:r w:rsidR="00D00CD2" w:rsidRPr="00650F05">
        <w:rPr>
          <w:rFonts w:ascii="Tahoma" w:hAnsi="Tahoma"/>
        </w:rPr>
        <w:t xml:space="preserve">efinitions of transition indicate the concept of ‘change’; </w:t>
      </w:r>
      <w:r w:rsidR="00D00CD2">
        <w:rPr>
          <w:rFonts w:ascii="Tahoma" w:hAnsi="Tahoma"/>
        </w:rPr>
        <w:t>however,</w:t>
      </w:r>
      <w:r w:rsidR="00D00CD2" w:rsidRPr="00650F05">
        <w:rPr>
          <w:rFonts w:ascii="Tahoma" w:hAnsi="Tahoma"/>
        </w:rPr>
        <w:t xml:space="preserve"> Gale and Parker’s (2014) definition </w:t>
      </w:r>
      <w:r w:rsidR="00D00CD2">
        <w:rPr>
          <w:rFonts w:ascii="Tahoma" w:hAnsi="Tahoma"/>
        </w:rPr>
        <w:t>adds</w:t>
      </w:r>
      <w:r w:rsidR="00D00CD2" w:rsidRPr="00650F05">
        <w:rPr>
          <w:rFonts w:ascii="Tahoma" w:hAnsi="Tahoma"/>
        </w:rPr>
        <w:t xml:space="preserve"> an element of ‘conflict’, with importance placed upon the capability and resources of an individual to engage with change conditions, despite not having full control or knowledge about what is to come.</w:t>
      </w:r>
      <w:r w:rsidR="00D00CD2">
        <w:rPr>
          <w:rFonts w:ascii="Tahoma" w:hAnsi="Tahoma"/>
        </w:rPr>
        <w:t xml:space="preserve"> </w:t>
      </w:r>
      <w:r w:rsidR="00FA2F6E" w:rsidRPr="00650F05">
        <w:rPr>
          <w:rFonts w:ascii="Tahoma" w:hAnsi="Tahoma"/>
        </w:rPr>
        <w:t>Utilising a</w:t>
      </w:r>
      <w:r w:rsidR="00AC7A4D" w:rsidRPr="00650F05">
        <w:rPr>
          <w:rFonts w:ascii="Tahoma" w:hAnsi="Tahoma"/>
        </w:rPr>
        <w:t xml:space="preserve"> </w:t>
      </w:r>
      <w:r w:rsidR="00A04813" w:rsidRPr="00650F05">
        <w:rPr>
          <w:rFonts w:ascii="Tahoma" w:hAnsi="Tahoma"/>
        </w:rPr>
        <w:t>wide-ranging</w:t>
      </w:r>
      <w:r w:rsidR="00AC7A4D" w:rsidRPr="00650F05">
        <w:rPr>
          <w:rFonts w:ascii="Tahoma" w:hAnsi="Tahoma"/>
        </w:rPr>
        <w:t xml:space="preserve"> definition</w:t>
      </w:r>
      <w:r w:rsidR="008932AC" w:rsidRPr="00650F05">
        <w:rPr>
          <w:rFonts w:ascii="Tahoma" w:hAnsi="Tahoma"/>
        </w:rPr>
        <w:t xml:space="preserve"> </w:t>
      </w:r>
      <w:r w:rsidR="006C56EE">
        <w:rPr>
          <w:rFonts w:ascii="Tahoma" w:hAnsi="Tahoma"/>
        </w:rPr>
        <w:t>l</w:t>
      </w:r>
      <w:r w:rsidR="00167D66" w:rsidRPr="00650F05">
        <w:rPr>
          <w:rFonts w:ascii="Tahoma" w:hAnsi="Tahoma"/>
        </w:rPr>
        <w:t>imit</w:t>
      </w:r>
      <w:r w:rsidR="00750992" w:rsidRPr="00650F05">
        <w:rPr>
          <w:rFonts w:ascii="Tahoma" w:hAnsi="Tahoma"/>
        </w:rPr>
        <w:t>s</w:t>
      </w:r>
      <w:r w:rsidR="00167D66" w:rsidRPr="00650F05">
        <w:rPr>
          <w:rFonts w:ascii="Tahoma" w:hAnsi="Tahoma"/>
        </w:rPr>
        <w:t xml:space="preserve"> </w:t>
      </w:r>
      <w:r w:rsidR="00B93FD1" w:rsidRPr="00650F05">
        <w:rPr>
          <w:rFonts w:ascii="Tahoma" w:hAnsi="Tahoma"/>
        </w:rPr>
        <w:t xml:space="preserve">neglecting </w:t>
      </w:r>
      <w:r w:rsidR="00A80016" w:rsidRPr="00650F05">
        <w:rPr>
          <w:rFonts w:ascii="Tahoma" w:hAnsi="Tahoma"/>
        </w:rPr>
        <w:t>any important information surrounding transition because it doesn’t fit into a “specific and/or narrowed theoretical framework”</w:t>
      </w:r>
      <w:r w:rsidR="006C56EE">
        <w:rPr>
          <w:rFonts w:ascii="Tahoma" w:hAnsi="Tahoma"/>
        </w:rPr>
        <w:t xml:space="preserve"> (</w:t>
      </w:r>
      <w:r w:rsidR="006C56EE" w:rsidRPr="00650F05">
        <w:rPr>
          <w:rFonts w:ascii="Tahoma" w:hAnsi="Tahoma"/>
        </w:rPr>
        <w:t>Gill</w:t>
      </w:r>
      <w:r w:rsidR="006C56EE">
        <w:rPr>
          <w:rFonts w:ascii="Tahoma" w:hAnsi="Tahoma"/>
        </w:rPr>
        <w:t>,</w:t>
      </w:r>
      <w:r w:rsidR="006C56EE" w:rsidRPr="00650F05">
        <w:rPr>
          <w:rFonts w:ascii="Tahoma" w:hAnsi="Tahoma"/>
        </w:rPr>
        <w:t xml:space="preserve"> 2021, p.5)</w:t>
      </w:r>
      <w:r w:rsidR="00271609">
        <w:rPr>
          <w:rFonts w:ascii="Tahoma" w:hAnsi="Tahoma"/>
        </w:rPr>
        <w:t>.</w:t>
      </w:r>
      <w:r w:rsidR="00A15A85">
        <w:rPr>
          <w:rFonts w:ascii="Tahoma" w:hAnsi="Tahoma"/>
        </w:rPr>
        <w:t xml:space="preserve"> </w:t>
      </w:r>
    </w:p>
    <w:p w14:paraId="4637474F" w14:textId="24F386BF" w:rsidR="002B5766" w:rsidRPr="00650F05" w:rsidRDefault="00B3648E" w:rsidP="00140310">
      <w:pPr>
        <w:spacing w:line="480" w:lineRule="auto"/>
        <w:jc w:val="both"/>
        <w:rPr>
          <w:rFonts w:ascii="Tahoma" w:hAnsi="Tahoma"/>
        </w:rPr>
      </w:pPr>
      <w:r>
        <w:rPr>
          <w:rFonts w:ascii="Tahoma" w:hAnsi="Tahoma"/>
        </w:rPr>
        <w:t xml:space="preserve">Furthermore, </w:t>
      </w:r>
      <w:r w:rsidR="00AA1F4F" w:rsidRPr="00650F05">
        <w:rPr>
          <w:rFonts w:ascii="Tahoma" w:hAnsi="Tahoma"/>
        </w:rPr>
        <w:t xml:space="preserve">Gale and Parker (2014) </w:t>
      </w:r>
      <w:r w:rsidR="0084060D" w:rsidRPr="00650F05">
        <w:rPr>
          <w:rFonts w:ascii="Tahoma" w:hAnsi="Tahoma"/>
        </w:rPr>
        <w:t>outlined a</w:t>
      </w:r>
      <w:r w:rsidR="00C46312" w:rsidRPr="00650F05">
        <w:rPr>
          <w:rFonts w:ascii="Tahoma" w:hAnsi="Tahoma"/>
        </w:rPr>
        <w:t xml:space="preserve"> </w:t>
      </w:r>
      <w:r w:rsidR="00681F95" w:rsidRPr="00650F05">
        <w:rPr>
          <w:rFonts w:ascii="Tahoma" w:hAnsi="Tahoma"/>
        </w:rPr>
        <w:t>three-paradigm</w:t>
      </w:r>
      <w:r w:rsidR="0084060D" w:rsidRPr="00650F05">
        <w:rPr>
          <w:rFonts w:ascii="Tahoma" w:hAnsi="Tahoma"/>
        </w:rPr>
        <w:t xml:space="preserve"> </w:t>
      </w:r>
      <w:r w:rsidR="00AA1F4F" w:rsidRPr="00650F05">
        <w:rPr>
          <w:rFonts w:ascii="Tahoma" w:hAnsi="Tahoma"/>
        </w:rPr>
        <w:t>typology</w:t>
      </w:r>
      <w:r w:rsidR="00CB704E" w:rsidRPr="00650F05">
        <w:rPr>
          <w:rFonts w:ascii="Tahoma" w:hAnsi="Tahoma"/>
        </w:rPr>
        <w:t xml:space="preserve"> to</w:t>
      </w:r>
      <w:r w:rsidR="00AA1F4F" w:rsidRPr="00650F05">
        <w:rPr>
          <w:rFonts w:ascii="Tahoma" w:hAnsi="Tahoma"/>
        </w:rPr>
        <w:t xml:space="preserve"> </w:t>
      </w:r>
      <w:r w:rsidR="00400746" w:rsidRPr="00650F05">
        <w:rPr>
          <w:rFonts w:ascii="Tahoma" w:hAnsi="Tahoma"/>
        </w:rPr>
        <w:t>structure</w:t>
      </w:r>
      <w:r w:rsidR="0084060D" w:rsidRPr="00650F05">
        <w:rPr>
          <w:rFonts w:ascii="Tahoma" w:hAnsi="Tahoma"/>
        </w:rPr>
        <w:t xml:space="preserve"> </w:t>
      </w:r>
      <w:r w:rsidR="009A13A8" w:rsidRPr="00650F05">
        <w:rPr>
          <w:rFonts w:ascii="Tahoma" w:hAnsi="Tahoma"/>
        </w:rPr>
        <w:t>transition</w:t>
      </w:r>
      <w:r w:rsidR="00681F95" w:rsidRPr="00650F05">
        <w:rPr>
          <w:rFonts w:ascii="Tahoma" w:hAnsi="Tahoma"/>
        </w:rPr>
        <w:t xml:space="preserve"> research in</w:t>
      </w:r>
      <w:r w:rsidR="009A13A8" w:rsidRPr="00650F05">
        <w:rPr>
          <w:rFonts w:ascii="Tahoma" w:hAnsi="Tahoma"/>
        </w:rPr>
        <w:t xml:space="preserve"> </w:t>
      </w:r>
      <w:r w:rsidR="00B4432C" w:rsidRPr="00650F05">
        <w:rPr>
          <w:rFonts w:ascii="Tahoma" w:hAnsi="Tahoma"/>
        </w:rPr>
        <w:t>HE</w:t>
      </w:r>
      <w:r w:rsidR="00AA1F4F" w:rsidRPr="00650F05">
        <w:rPr>
          <w:rFonts w:ascii="Tahoma" w:hAnsi="Tahoma"/>
        </w:rPr>
        <w:t xml:space="preserve">, </w:t>
      </w:r>
      <w:r w:rsidR="005E47AE" w:rsidRPr="00650F05">
        <w:rPr>
          <w:rFonts w:ascii="Tahoma" w:hAnsi="Tahoma"/>
        </w:rPr>
        <w:t>comprising</w:t>
      </w:r>
      <w:r w:rsidR="005D606E" w:rsidRPr="00650F05">
        <w:rPr>
          <w:rFonts w:ascii="Tahoma" w:hAnsi="Tahoma"/>
        </w:rPr>
        <w:t xml:space="preserve"> of </w:t>
      </w:r>
      <w:r w:rsidR="00AA1F4F" w:rsidRPr="00650F05">
        <w:rPr>
          <w:rFonts w:ascii="Tahoma" w:hAnsi="Tahoma"/>
        </w:rPr>
        <w:t>‘induction’, ‘development’ and ‘becoming’.</w:t>
      </w:r>
      <w:r w:rsidR="000609EC" w:rsidRPr="00650F05">
        <w:rPr>
          <w:rFonts w:ascii="Tahoma" w:hAnsi="Tahoma"/>
        </w:rPr>
        <w:t xml:space="preserve"> </w:t>
      </w:r>
      <w:r w:rsidR="005E47AE" w:rsidRPr="00650F05">
        <w:rPr>
          <w:rFonts w:ascii="Tahoma" w:hAnsi="Tahoma"/>
        </w:rPr>
        <w:t xml:space="preserve">The typology </w:t>
      </w:r>
      <w:r w:rsidR="004B7480" w:rsidRPr="00650F05">
        <w:rPr>
          <w:rFonts w:ascii="Tahoma" w:hAnsi="Tahoma"/>
        </w:rPr>
        <w:t>frame</w:t>
      </w:r>
      <w:r w:rsidR="005E47AE" w:rsidRPr="00650F05">
        <w:rPr>
          <w:rFonts w:ascii="Tahoma" w:hAnsi="Tahoma"/>
        </w:rPr>
        <w:t>s</w:t>
      </w:r>
      <w:r w:rsidR="008C283A" w:rsidRPr="00650F05">
        <w:rPr>
          <w:rFonts w:ascii="Tahoma" w:hAnsi="Tahoma"/>
        </w:rPr>
        <w:t xml:space="preserve"> </w:t>
      </w:r>
      <w:r w:rsidR="00F76857" w:rsidRPr="00650F05">
        <w:rPr>
          <w:rFonts w:ascii="Tahoma" w:hAnsi="Tahoma"/>
        </w:rPr>
        <w:t>Gale and Parker’s (2014)</w:t>
      </w:r>
      <w:r w:rsidR="008C283A" w:rsidRPr="00650F05">
        <w:rPr>
          <w:rFonts w:ascii="Tahoma" w:hAnsi="Tahoma"/>
        </w:rPr>
        <w:t xml:space="preserve"> definition</w:t>
      </w:r>
      <w:r w:rsidR="00AB5B3E" w:rsidRPr="00650F05">
        <w:rPr>
          <w:rFonts w:ascii="Tahoma" w:hAnsi="Tahoma"/>
        </w:rPr>
        <w:t xml:space="preserve"> of transition</w:t>
      </w:r>
      <w:r w:rsidR="00881CE5" w:rsidRPr="00650F05">
        <w:t xml:space="preserve">, </w:t>
      </w:r>
      <w:r w:rsidR="00111253" w:rsidRPr="00650F05">
        <w:rPr>
          <w:rFonts w:ascii="Tahoma" w:hAnsi="Tahoma"/>
        </w:rPr>
        <w:t>each drawing on legitimate forms of knowledge</w:t>
      </w:r>
      <w:r w:rsidR="0009425F" w:rsidRPr="00650F05">
        <w:rPr>
          <w:rFonts w:ascii="Tahoma" w:hAnsi="Tahoma"/>
        </w:rPr>
        <w:t>, particularly the notion of ‘academic capital</w:t>
      </w:r>
      <w:r w:rsidR="004A43AC" w:rsidRPr="00650F05">
        <w:rPr>
          <w:rFonts w:ascii="Tahoma" w:hAnsi="Tahoma"/>
        </w:rPr>
        <w:t>’</w:t>
      </w:r>
      <w:r w:rsidR="00C60383" w:rsidRPr="00650F05">
        <w:rPr>
          <w:rFonts w:ascii="Tahoma" w:hAnsi="Tahoma"/>
        </w:rPr>
        <w:t>’</w:t>
      </w:r>
      <w:r w:rsidR="004A43AC" w:rsidRPr="00650F05">
        <w:rPr>
          <w:rFonts w:ascii="Tahoma" w:hAnsi="Tahoma"/>
        </w:rPr>
        <w:t xml:space="preserve"> (</w:t>
      </w:r>
      <w:r w:rsidR="0009425F" w:rsidRPr="00650F05">
        <w:rPr>
          <w:rFonts w:ascii="Tahoma" w:hAnsi="Tahoma"/>
        </w:rPr>
        <w:t>Bourdieu, 1988).</w:t>
      </w:r>
      <w:r w:rsidR="00664064" w:rsidRPr="00650F05">
        <w:rPr>
          <w:rFonts w:ascii="Tahoma" w:hAnsi="Tahoma"/>
        </w:rPr>
        <w:t xml:space="preserve"> </w:t>
      </w:r>
      <w:r w:rsidR="00BC6DDC" w:rsidRPr="00650F05">
        <w:rPr>
          <w:rFonts w:ascii="Tahoma" w:hAnsi="Tahoma"/>
        </w:rPr>
        <w:t>T</w:t>
      </w:r>
      <w:r w:rsidR="00DA5106" w:rsidRPr="00650F05">
        <w:rPr>
          <w:rFonts w:ascii="Tahoma" w:hAnsi="Tahoma"/>
        </w:rPr>
        <w:t>his</w:t>
      </w:r>
      <w:r w:rsidR="00F3381F" w:rsidRPr="00650F05">
        <w:rPr>
          <w:rFonts w:ascii="Tahoma" w:hAnsi="Tahoma"/>
        </w:rPr>
        <w:t xml:space="preserve"> research </w:t>
      </w:r>
      <w:r w:rsidR="003113A8">
        <w:rPr>
          <w:rFonts w:ascii="Tahoma" w:hAnsi="Tahoma"/>
        </w:rPr>
        <w:t>adds</w:t>
      </w:r>
      <w:r w:rsidR="002440E5" w:rsidRPr="00650F05">
        <w:rPr>
          <w:rFonts w:ascii="Tahoma" w:hAnsi="Tahoma"/>
        </w:rPr>
        <w:t xml:space="preserve"> </w:t>
      </w:r>
      <w:r w:rsidR="00D57BFB" w:rsidRPr="00650F05">
        <w:rPr>
          <w:rFonts w:ascii="Tahoma" w:hAnsi="Tahoma"/>
        </w:rPr>
        <w:t xml:space="preserve">to </w:t>
      </w:r>
      <w:r w:rsidR="002440E5" w:rsidRPr="00650F05">
        <w:rPr>
          <w:rFonts w:ascii="Tahoma" w:hAnsi="Tahoma"/>
        </w:rPr>
        <w:t xml:space="preserve">the </w:t>
      </w:r>
      <w:r w:rsidR="009B2274" w:rsidRPr="00650F05">
        <w:rPr>
          <w:rFonts w:ascii="Tahoma" w:hAnsi="Tahoma"/>
        </w:rPr>
        <w:t xml:space="preserve">‘becoming’ </w:t>
      </w:r>
      <w:r w:rsidR="004331B4" w:rsidRPr="00650F05">
        <w:rPr>
          <w:rFonts w:ascii="Tahoma" w:hAnsi="Tahoma"/>
        </w:rPr>
        <w:t>body of knowledge by</w:t>
      </w:r>
      <w:r w:rsidR="00B27522" w:rsidRPr="00650F05">
        <w:rPr>
          <w:rFonts w:ascii="Tahoma" w:hAnsi="Tahoma"/>
        </w:rPr>
        <w:t xml:space="preserve"> </w:t>
      </w:r>
      <w:r w:rsidR="00661BEA" w:rsidRPr="00650F05">
        <w:rPr>
          <w:rFonts w:ascii="Tahoma" w:hAnsi="Tahoma"/>
        </w:rPr>
        <w:t>exploring</w:t>
      </w:r>
      <w:r w:rsidR="00B27522" w:rsidRPr="00650F05">
        <w:rPr>
          <w:rFonts w:ascii="Tahoma" w:hAnsi="Tahoma"/>
        </w:rPr>
        <w:t xml:space="preserve"> </w:t>
      </w:r>
      <w:r w:rsidR="004C00BA" w:rsidRPr="00650F05">
        <w:rPr>
          <w:rFonts w:ascii="Tahoma" w:hAnsi="Tahoma"/>
        </w:rPr>
        <w:t>students’</w:t>
      </w:r>
      <w:r w:rsidR="005C0AEB" w:rsidRPr="00650F05">
        <w:rPr>
          <w:rFonts w:ascii="Tahoma" w:hAnsi="Tahoma"/>
        </w:rPr>
        <w:t xml:space="preserve"> </w:t>
      </w:r>
      <w:r w:rsidR="00406846" w:rsidRPr="00650F05">
        <w:rPr>
          <w:rFonts w:ascii="Tahoma" w:hAnsi="Tahoma"/>
        </w:rPr>
        <w:t xml:space="preserve">lived realities </w:t>
      </w:r>
      <w:r w:rsidR="00BA3AD8" w:rsidRPr="00650F05">
        <w:rPr>
          <w:rFonts w:ascii="Tahoma" w:hAnsi="Tahoma"/>
        </w:rPr>
        <w:t>and</w:t>
      </w:r>
      <w:r w:rsidR="005C0AEB" w:rsidRPr="00650F05">
        <w:rPr>
          <w:rFonts w:ascii="Tahoma" w:hAnsi="Tahoma"/>
        </w:rPr>
        <w:t xml:space="preserve"> </w:t>
      </w:r>
      <w:r w:rsidR="00BA3AD8" w:rsidRPr="00650F05">
        <w:rPr>
          <w:rFonts w:ascii="Tahoma" w:hAnsi="Tahoma"/>
        </w:rPr>
        <w:t xml:space="preserve">perceptions of </w:t>
      </w:r>
      <w:r w:rsidR="00B507D8" w:rsidRPr="00650F05">
        <w:rPr>
          <w:rFonts w:ascii="Tahoma" w:hAnsi="Tahoma"/>
        </w:rPr>
        <w:t xml:space="preserve">HE </w:t>
      </w:r>
      <w:r w:rsidR="001A018B" w:rsidRPr="00650F05">
        <w:rPr>
          <w:rFonts w:ascii="Tahoma" w:hAnsi="Tahoma"/>
        </w:rPr>
        <w:t>experience</w:t>
      </w:r>
      <w:r w:rsidR="00BA3AD8" w:rsidRPr="00650F05">
        <w:rPr>
          <w:rFonts w:ascii="Tahoma" w:hAnsi="Tahoma"/>
        </w:rPr>
        <w:t>s</w:t>
      </w:r>
      <w:r w:rsidR="00914FFA" w:rsidRPr="00650F05">
        <w:rPr>
          <w:rFonts w:ascii="Tahoma" w:hAnsi="Tahoma"/>
        </w:rPr>
        <w:t>.</w:t>
      </w:r>
      <w:r w:rsidR="005110D7" w:rsidRPr="00650F05">
        <w:rPr>
          <w:rFonts w:ascii="Tahoma" w:hAnsi="Tahoma"/>
        </w:rPr>
        <w:t xml:space="preserve"> </w:t>
      </w:r>
      <w:r w:rsidR="009D6B15" w:rsidRPr="00650F05">
        <w:rPr>
          <w:rFonts w:ascii="Tahoma" w:hAnsi="Tahoma"/>
        </w:rPr>
        <w:t>It is felt that r</w:t>
      </w:r>
      <w:r w:rsidR="006C683E" w:rsidRPr="00650F05">
        <w:rPr>
          <w:rFonts w:ascii="Tahoma" w:hAnsi="Tahoma"/>
        </w:rPr>
        <w:t xml:space="preserve">esearch in this </w:t>
      </w:r>
      <w:r w:rsidR="009D6B15" w:rsidRPr="00650F05">
        <w:rPr>
          <w:rFonts w:ascii="Tahoma" w:hAnsi="Tahoma"/>
        </w:rPr>
        <w:t xml:space="preserve">paradigm provides a more </w:t>
      </w:r>
      <w:r w:rsidR="005110D7" w:rsidRPr="00650F05">
        <w:rPr>
          <w:rFonts w:ascii="Tahoma" w:hAnsi="Tahoma"/>
        </w:rPr>
        <w:t xml:space="preserve">student sympathetic account, </w:t>
      </w:r>
      <w:r w:rsidR="001C01B7" w:rsidRPr="00650F05">
        <w:rPr>
          <w:rFonts w:ascii="Tahoma" w:hAnsi="Tahoma"/>
        </w:rPr>
        <w:t>shining</w:t>
      </w:r>
      <w:r w:rsidR="00DD3478" w:rsidRPr="00650F05">
        <w:rPr>
          <w:rFonts w:ascii="Tahoma" w:hAnsi="Tahoma"/>
        </w:rPr>
        <w:t xml:space="preserve"> a spotlight on </w:t>
      </w:r>
      <w:r w:rsidR="00411F9A" w:rsidRPr="00650F05">
        <w:rPr>
          <w:rFonts w:ascii="Tahoma" w:hAnsi="Tahoma"/>
        </w:rPr>
        <w:t xml:space="preserve">the </w:t>
      </w:r>
      <w:r w:rsidR="005110D7" w:rsidRPr="00650F05">
        <w:rPr>
          <w:rFonts w:ascii="Tahoma" w:hAnsi="Tahoma"/>
        </w:rPr>
        <w:t>least understood</w:t>
      </w:r>
      <w:r w:rsidR="00187B53" w:rsidRPr="00650F05">
        <w:rPr>
          <w:rFonts w:ascii="Tahoma" w:hAnsi="Tahoma"/>
        </w:rPr>
        <w:t xml:space="preserve"> </w:t>
      </w:r>
      <w:r w:rsidR="00DD3478" w:rsidRPr="00650F05">
        <w:rPr>
          <w:rFonts w:ascii="Tahoma" w:hAnsi="Tahoma"/>
        </w:rPr>
        <w:t xml:space="preserve">areas of HE </w:t>
      </w:r>
      <w:r w:rsidR="001C01B7" w:rsidRPr="00650F05">
        <w:rPr>
          <w:rFonts w:ascii="Tahoma" w:hAnsi="Tahoma"/>
        </w:rPr>
        <w:t xml:space="preserve">transition </w:t>
      </w:r>
      <w:r w:rsidR="00DD3478" w:rsidRPr="00650F05">
        <w:rPr>
          <w:rFonts w:ascii="Tahoma" w:hAnsi="Tahoma"/>
        </w:rPr>
        <w:t xml:space="preserve">research </w:t>
      </w:r>
      <w:r w:rsidR="00187B53" w:rsidRPr="00650F05">
        <w:rPr>
          <w:rFonts w:ascii="Tahoma" w:hAnsi="Tahoma"/>
        </w:rPr>
        <w:t>(</w:t>
      </w:r>
      <w:r w:rsidR="00B353B3" w:rsidRPr="00650F05">
        <w:rPr>
          <w:rFonts w:ascii="Tahoma" w:hAnsi="Tahoma"/>
        </w:rPr>
        <w:t xml:space="preserve">García-Aracil, 2021; </w:t>
      </w:r>
      <w:r w:rsidR="00187B53" w:rsidRPr="00650F05">
        <w:rPr>
          <w:rFonts w:ascii="Tahoma" w:hAnsi="Tahoma"/>
        </w:rPr>
        <w:t>Gale and Parker, 2014).</w:t>
      </w:r>
    </w:p>
    <w:p w14:paraId="5C41C751" w14:textId="14A50632" w:rsidR="006E30BE" w:rsidRPr="00650F05" w:rsidRDefault="00E92A46" w:rsidP="00AA72B8">
      <w:pPr>
        <w:spacing w:line="480" w:lineRule="auto"/>
        <w:jc w:val="both"/>
        <w:rPr>
          <w:rFonts w:ascii="Tahoma" w:hAnsi="Tahoma"/>
        </w:rPr>
      </w:pPr>
      <w:r w:rsidRPr="00650F05">
        <w:rPr>
          <w:rFonts w:ascii="Tahoma" w:hAnsi="Tahoma"/>
        </w:rPr>
        <w:t xml:space="preserve">Holmes (2013) </w:t>
      </w:r>
      <w:r w:rsidR="00D57BFB" w:rsidRPr="00650F05">
        <w:rPr>
          <w:rFonts w:ascii="Tahoma" w:hAnsi="Tahoma"/>
        </w:rPr>
        <w:t>speaks of</w:t>
      </w:r>
      <w:r w:rsidR="00881E58" w:rsidRPr="00650F05">
        <w:rPr>
          <w:rFonts w:ascii="Tahoma" w:hAnsi="Tahoma"/>
        </w:rPr>
        <w:t xml:space="preserve"> a possession approach to academic </w:t>
      </w:r>
      <w:r w:rsidR="00E40C80" w:rsidRPr="00650F05">
        <w:rPr>
          <w:rFonts w:ascii="Tahoma" w:hAnsi="Tahoma"/>
        </w:rPr>
        <w:t xml:space="preserve">learning </w:t>
      </w:r>
      <w:r w:rsidR="006A6355" w:rsidRPr="00650F05">
        <w:rPr>
          <w:rFonts w:ascii="Tahoma" w:hAnsi="Tahoma"/>
        </w:rPr>
        <w:t>where</w:t>
      </w:r>
      <w:r w:rsidR="007B27D1" w:rsidRPr="00650F05">
        <w:rPr>
          <w:rFonts w:ascii="Tahoma" w:hAnsi="Tahoma"/>
        </w:rPr>
        <w:t xml:space="preserve"> </w:t>
      </w:r>
      <w:r w:rsidR="00E13052" w:rsidRPr="00650F05">
        <w:rPr>
          <w:rFonts w:ascii="Tahoma" w:hAnsi="Tahoma"/>
        </w:rPr>
        <w:t xml:space="preserve">skills, </w:t>
      </w:r>
      <w:r w:rsidR="00AC603A" w:rsidRPr="00650F05">
        <w:rPr>
          <w:rFonts w:ascii="Tahoma" w:hAnsi="Tahoma"/>
        </w:rPr>
        <w:t>competencies,</w:t>
      </w:r>
      <w:r w:rsidR="00E13052" w:rsidRPr="00650F05">
        <w:rPr>
          <w:rFonts w:ascii="Tahoma" w:hAnsi="Tahoma"/>
        </w:rPr>
        <w:t xml:space="preserve"> and attributes</w:t>
      </w:r>
      <w:r w:rsidR="006A6355" w:rsidRPr="00650F05">
        <w:rPr>
          <w:rFonts w:ascii="Tahoma" w:hAnsi="Tahoma"/>
        </w:rPr>
        <w:t xml:space="preserve"> are</w:t>
      </w:r>
      <w:r w:rsidR="00AC603A" w:rsidRPr="00650F05">
        <w:rPr>
          <w:rFonts w:ascii="Tahoma" w:hAnsi="Tahoma"/>
        </w:rPr>
        <w:t xml:space="preserve"> </w:t>
      </w:r>
      <w:r w:rsidR="006A6355" w:rsidRPr="00650F05">
        <w:rPr>
          <w:rFonts w:ascii="Tahoma" w:hAnsi="Tahoma"/>
        </w:rPr>
        <w:t xml:space="preserve">seen </w:t>
      </w:r>
      <w:r w:rsidR="00E13052" w:rsidRPr="00650F05">
        <w:rPr>
          <w:rFonts w:ascii="Tahoma" w:hAnsi="Tahoma"/>
        </w:rPr>
        <w:t>as if they are capable</w:t>
      </w:r>
      <w:r w:rsidR="00FC1B4E" w:rsidRPr="00650F05">
        <w:rPr>
          <w:rFonts w:ascii="Tahoma" w:hAnsi="Tahoma"/>
        </w:rPr>
        <w:t xml:space="preserve"> of being acquired, </w:t>
      </w:r>
      <w:r w:rsidR="00661BEA" w:rsidRPr="00650F05">
        <w:rPr>
          <w:rFonts w:ascii="Tahoma" w:hAnsi="Tahoma"/>
        </w:rPr>
        <w:t>retained,</w:t>
      </w:r>
      <w:r w:rsidR="00FC1B4E" w:rsidRPr="00650F05">
        <w:rPr>
          <w:rFonts w:ascii="Tahoma" w:hAnsi="Tahoma"/>
        </w:rPr>
        <w:t xml:space="preserve"> and used to achieve success in the workplace (Bathmaker, 2021)</w:t>
      </w:r>
      <w:r w:rsidR="008D2743">
        <w:rPr>
          <w:rFonts w:ascii="Tahoma" w:hAnsi="Tahoma"/>
        </w:rPr>
        <w:t xml:space="preserve">, a </w:t>
      </w:r>
      <w:r w:rsidR="00256FE0" w:rsidRPr="00650F05">
        <w:rPr>
          <w:rFonts w:ascii="Tahoma" w:hAnsi="Tahoma"/>
        </w:rPr>
        <w:t>notion</w:t>
      </w:r>
      <w:r w:rsidR="00290196" w:rsidRPr="00650F05">
        <w:rPr>
          <w:rFonts w:ascii="Tahoma" w:hAnsi="Tahoma"/>
        </w:rPr>
        <w:t xml:space="preserve"> reinforced by a</w:t>
      </w:r>
      <w:r w:rsidR="00914FFA" w:rsidRPr="00650F05">
        <w:rPr>
          <w:rFonts w:ascii="Tahoma" w:hAnsi="Tahoma"/>
        </w:rPr>
        <w:t xml:space="preserve"> competitive jobs market</w:t>
      </w:r>
      <w:r w:rsidR="008D2743">
        <w:rPr>
          <w:rFonts w:ascii="Tahoma" w:hAnsi="Tahoma"/>
        </w:rPr>
        <w:t>.</w:t>
      </w:r>
      <w:r w:rsidR="00A92770">
        <w:rPr>
          <w:rFonts w:ascii="Tahoma" w:hAnsi="Tahoma"/>
        </w:rPr>
        <w:t xml:space="preserve"> </w:t>
      </w:r>
      <w:r w:rsidR="008D2743">
        <w:rPr>
          <w:rFonts w:ascii="Tahoma" w:hAnsi="Tahoma"/>
        </w:rPr>
        <w:t>I</w:t>
      </w:r>
      <w:r w:rsidR="00A92770">
        <w:rPr>
          <w:rFonts w:ascii="Tahoma" w:hAnsi="Tahoma"/>
        </w:rPr>
        <w:t xml:space="preserve">nstitutions and </w:t>
      </w:r>
      <w:r w:rsidR="00B740EA" w:rsidRPr="00650F05">
        <w:rPr>
          <w:rFonts w:ascii="Tahoma" w:hAnsi="Tahoma"/>
        </w:rPr>
        <w:t xml:space="preserve">graduates </w:t>
      </w:r>
      <w:r w:rsidR="00C77B9E" w:rsidRPr="00650F05">
        <w:rPr>
          <w:rFonts w:ascii="Tahoma" w:hAnsi="Tahoma"/>
        </w:rPr>
        <w:t xml:space="preserve">often assimilate </w:t>
      </w:r>
      <w:r w:rsidR="00E424CF" w:rsidRPr="00650F05">
        <w:rPr>
          <w:rFonts w:ascii="Tahoma" w:hAnsi="Tahoma"/>
        </w:rPr>
        <w:t xml:space="preserve">specific </w:t>
      </w:r>
      <w:r w:rsidR="00AA50A7" w:rsidRPr="00650F05">
        <w:rPr>
          <w:rFonts w:ascii="Tahoma" w:hAnsi="Tahoma"/>
        </w:rPr>
        <w:t>characteristics</w:t>
      </w:r>
      <w:r w:rsidR="00E424CF" w:rsidRPr="00650F05">
        <w:rPr>
          <w:rFonts w:ascii="Tahoma" w:hAnsi="Tahoma"/>
        </w:rPr>
        <w:t>, skills and attributes</w:t>
      </w:r>
      <w:r w:rsidR="00AA50A7" w:rsidRPr="00650F05">
        <w:rPr>
          <w:rFonts w:ascii="Tahoma" w:hAnsi="Tahoma"/>
        </w:rPr>
        <w:t xml:space="preserve"> </w:t>
      </w:r>
      <w:r w:rsidR="00B740EA" w:rsidRPr="00650F05">
        <w:rPr>
          <w:rFonts w:ascii="Tahoma" w:hAnsi="Tahoma"/>
        </w:rPr>
        <w:t>that lead</w:t>
      </w:r>
      <w:r w:rsidR="00780588" w:rsidRPr="00650F05">
        <w:rPr>
          <w:rFonts w:ascii="Tahoma" w:hAnsi="Tahoma"/>
        </w:rPr>
        <w:t xml:space="preserve"> others to ascribe to them the identity of </w:t>
      </w:r>
      <w:r w:rsidR="001D2CE5" w:rsidRPr="00650F05">
        <w:rPr>
          <w:rFonts w:ascii="Tahoma" w:hAnsi="Tahoma"/>
        </w:rPr>
        <w:t>being a person worthy of employment</w:t>
      </w:r>
      <w:r w:rsidR="00AA50A7" w:rsidRPr="00650F05">
        <w:rPr>
          <w:rFonts w:ascii="Tahoma" w:hAnsi="Tahoma"/>
        </w:rPr>
        <w:t xml:space="preserve"> (Holmes, 2013</w:t>
      </w:r>
      <w:r w:rsidR="001817B0" w:rsidRPr="00650F05">
        <w:rPr>
          <w:rFonts w:ascii="Tahoma" w:hAnsi="Tahoma"/>
        </w:rPr>
        <w:t>)</w:t>
      </w:r>
      <w:r w:rsidR="00C20D2F" w:rsidRPr="00650F05">
        <w:rPr>
          <w:rFonts w:ascii="Tahoma" w:hAnsi="Tahoma"/>
        </w:rPr>
        <w:t xml:space="preserve">. </w:t>
      </w:r>
      <w:r w:rsidR="0001445A" w:rsidRPr="00650F05">
        <w:rPr>
          <w:rFonts w:ascii="Tahoma" w:hAnsi="Tahoma" w:cs="Tahoma"/>
        </w:rPr>
        <w:t xml:space="preserve">However, with </w:t>
      </w:r>
      <w:r w:rsidR="00122A23" w:rsidRPr="00650F05">
        <w:rPr>
          <w:rFonts w:ascii="Tahoma" w:hAnsi="Tahoma" w:cs="Tahoma"/>
        </w:rPr>
        <w:t xml:space="preserve">industry </w:t>
      </w:r>
      <w:r w:rsidR="007161DF" w:rsidRPr="00650F05">
        <w:rPr>
          <w:rFonts w:ascii="Tahoma" w:hAnsi="Tahoma" w:cs="Tahoma"/>
        </w:rPr>
        <w:t xml:space="preserve">quickly </w:t>
      </w:r>
      <w:r w:rsidR="00122A23" w:rsidRPr="00650F05">
        <w:rPr>
          <w:rFonts w:ascii="Tahoma" w:hAnsi="Tahoma" w:cs="Tahoma"/>
        </w:rPr>
        <w:t xml:space="preserve">changing </w:t>
      </w:r>
      <w:r w:rsidR="007161DF" w:rsidRPr="00650F05">
        <w:rPr>
          <w:rFonts w:ascii="Tahoma" w:hAnsi="Tahoma" w:cs="Tahoma"/>
        </w:rPr>
        <w:t xml:space="preserve">and </w:t>
      </w:r>
      <w:r w:rsidR="0001445A" w:rsidRPr="00650F05">
        <w:rPr>
          <w:rFonts w:ascii="Tahoma" w:hAnsi="Tahoma"/>
        </w:rPr>
        <w:t xml:space="preserve">fewer structured career pathways, individuals are </w:t>
      </w:r>
      <w:r w:rsidR="007161DF" w:rsidRPr="00650F05">
        <w:rPr>
          <w:rFonts w:ascii="Tahoma" w:hAnsi="Tahoma"/>
        </w:rPr>
        <w:t xml:space="preserve">increasingly being </w:t>
      </w:r>
      <w:r w:rsidR="0001445A" w:rsidRPr="00650F05">
        <w:rPr>
          <w:rFonts w:ascii="Tahoma" w:hAnsi="Tahoma"/>
        </w:rPr>
        <w:t>expected to take responsibility for creating and making their own chances</w:t>
      </w:r>
      <w:r w:rsidR="007161DF" w:rsidRPr="00650F05">
        <w:rPr>
          <w:rFonts w:ascii="Tahoma" w:hAnsi="Tahoma"/>
        </w:rPr>
        <w:t xml:space="preserve"> (Bathmaker, 2021).</w:t>
      </w:r>
    </w:p>
    <w:p w14:paraId="3BE67171" w14:textId="1609B991" w:rsidR="0022630E" w:rsidRPr="00650F05" w:rsidRDefault="006E30BE" w:rsidP="00AA72B8">
      <w:pPr>
        <w:spacing w:line="480" w:lineRule="auto"/>
        <w:jc w:val="both"/>
        <w:rPr>
          <w:rFonts w:ascii="Tahoma" w:hAnsi="Tahoma"/>
        </w:rPr>
      </w:pPr>
      <w:r w:rsidRPr="00650F05">
        <w:rPr>
          <w:rFonts w:ascii="Tahoma" w:hAnsi="Tahoma"/>
        </w:rPr>
        <w:t>T</w:t>
      </w:r>
      <w:r w:rsidR="007010A7" w:rsidRPr="00650F05">
        <w:rPr>
          <w:rFonts w:ascii="Tahoma" w:hAnsi="Tahoma"/>
        </w:rPr>
        <w:t>here is significant research</w:t>
      </w:r>
      <w:r w:rsidR="002B24A7" w:rsidRPr="00650F05">
        <w:rPr>
          <w:rFonts w:ascii="Tahoma" w:hAnsi="Tahoma"/>
        </w:rPr>
        <w:t xml:space="preserve"> demonstrating individuals</w:t>
      </w:r>
      <w:r w:rsidR="00511E4C" w:rsidRPr="00650F05">
        <w:rPr>
          <w:rFonts w:ascii="Tahoma" w:hAnsi="Tahoma"/>
        </w:rPr>
        <w:t xml:space="preserve"> are not equally positioned to create their own chances</w:t>
      </w:r>
      <w:r w:rsidR="000B1378" w:rsidRPr="00650F05">
        <w:rPr>
          <w:rFonts w:ascii="Tahoma" w:hAnsi="Tahoma"/>
        </w:rPr>
        <w:t xml:space="preserve">. </w:t>
      </w:r>
      <w:r w:rsidR="00801DFF" w:rsidRPr="00650F05">
        <w:rPr>
          <w:rFonts w:ascii="Tahoma" w:hAnsi="Tahoma"/>
        </w:rPr>
        <w:t xml:space="preserve">It is evident </w:t>
      </w:r>
      <w:r w:rsidR="001C4D5E" w:rsidRPr="00650F05">
        <w:rPr>
          <w:rFonts w:ascii="Tahoma" w:hAnsi="Tahoma"/>
        </w:rPr>
        <w:t xml:space="preserve">that </w:t>
      </w:r>
      <w:r w:rsidR="00DE223E" w:rsidRPr="00650F05">
        <w:rPr>
          <w:rFonts w:ascii="Tahoma" w:hAnsi="Tahoma"/>
        </w:rPr>
        <w:t>an individual’s</w:t>
      </w:r>
      <w:r w:rsidR="001C4D5E" w:rsidRPr="00650F05">
        <w:rPr>
          <w:rFonts w:ascii="Tahoma" w:hAnsi="Tahoma"/>
        </w:rPr>
        <w:t xml:space="preserve"> background</w:t>
      </w:r>
      <w:r w:rsidR="00DE223E" w:rsidRPr="00650F05">
        <w:rPr>
          <w:rFonts w:ascii="Tahoma" w:hAnsi="Tahoma"/>
        </w:rPr>
        <w:t xml:space="preserve"> does affect their</w:t>
      </w:r>
      <w:r w:rsidR="000D1828" w:rsidRPr="00650F05">
        <w:rPr>
          <w:rFonts w:ascii="Tahoma" w:hAnsi="Tahoma"/>
        </w:rPr>
        <w:t xml:space="preserve"> transitional experiences from </w:t>
      </w:r>
      <w:r w:rsidR="000B7BBB" w:rsidRPr="00650F05">
        <w:rPr>
          <w:rFonts w:ascii="Tahoma" w:hAnsi="Tahoma"/>
        </w:rPr>
        <w:t>undergraduate</w:t>
      </w:r>
      <w:r w:rsidR="000D1828" w:rsidRPr="00650F05">
        <w:rPr>
          <w:rFonts w:ascii="Tahoma" w:hAnsi="Tahoma"/>
        </w:rPr>
        <w:t xml:space="preserve"> study to work</w:t>
      </w:r>
      <w:r w:rsidR="00D52B2C" w:rsidRPr="00650F05">
        <w:rPr>
          <w:rFonts w:ascii="Tahoma" w:hAnsi="Tahoma"/>
        </w:rPr>
        <w:t xml:space="preserve"> (Allen, 2016; </w:t>
      </w:r>
      <w:r w:rsidR="00C37EAA" w:rsidRPr="00650F05">
        <w:rPr>
          <w:rFonts w:ascii="Tahoma" w:hAnsi="Tahoma"/>
        </w:rPr>
        <w:t>Bathm</w:t>
      </w:r>
      <w:r w:rsidR="00E201A3" w:rsidRPr="00650F05">
        <w:rPr>
          <w:rFonts w:ascii="Tahoma" w:hAnsi="Tahoma"/>
        </w:rPr>
        <w:t>a</w:t>
      </w:r>
      <w:r w:rsidR="00C37EAA" w:rsidRPr="00650F05">
        <w:rPr>
          <w:rFonts w:ascii="Tahoma" w:hAnsi="Tahoma"/>
        </w:rPr>
        <w:t>ker, 2021</w:t>
      </w:r>
      <w:r w:rsidR="00DF4ABC" w:rsidRPr="00650F05">
        <w:rPr>
          <w:rFonts w:ascii="Tahoma" w:hAnsi="Tahoma"/>
        </w:rPr>
        <w:t xml:space="preserve">; </w:t>
      </w:r>
      <w:r w:rsidR="00D52B2C" w:rsidRPr="00650F05">
        <w:rPr>
          <w:rFonts w:ascii="Tahoma" w:hAnsi="Tahoma"/>
        </w:rPr>
        <w:t xml:space="preserve">Bathmaker </w:t>
      </w:r>
      <w:r w:rsidR="00D52B2C" w:rsidRPr="002B4276">
        <w:rPr>
          <w:rFonts w:ascii="Tahoma" w:hAnsi="Tahoma"/>
          <w:i/>
          <w:iCs/>
        </w:rPr>
        <w:t xml:space="preserve">et </w:t>
      </w:r>
      <w:r w:rsidR="00D52B2C" w:rsidRPr="002B4276">
        <w:rPr>
          <w:rFonts w:ascii="Tahoma" w:hAnsi="Tahoma"/>
          <w:i/>
          <w:iCs/>
        </w:rPr>
        <w:lastRenderedPageBreak/>
        <w:t>al</w:t>
      </w:r>
      <w:r w:rsidR="00D52B2C" w:rsidRPr="00650F05">
        <w:rPr>
          <w:rFonts w:ascii="Tahoma" w:hAnsi="Tahoma"/>
        </w:rPr>
        <w:t>., 2013, 2016; Bradley and Waller, 2017; Burke, 2015; Moreau and Leathwood, 2006)</w:t>
      </w:r>
      <w:r w:rsidR="009F698D" w:rsidRPr="00650F05">
        <w:rPr>
          <w:rFonts w:ascii="Tahoma" w:hAnsi="Tahoma"/>
        </w:rPr>
        <w:t>.</w:t>
      </w:r>
      <w:r w:rsidR="00DE3A4E" w:rsidRPr="00650F05">
        <w:rPr>
          <w:rFonts w:ascii="Tahoma" w:hAnsi="Tahoma"/>
        </w:rPr>
        <w:t xml:space="preserve"> </w:t>
      </w:r>
      <w:r w:rsidR="00CC7824" w:rsidRPr="00650F05">
        <w:rPr>
          <w:rFonts w:ascii="Tahoma" w:hAnsi="Tahoma"/>
        </w:rPr>
        <w:t>S</w:t>
      </w:r>
      <w:r w:rsidR="00DE3A4E" w:rsidRPr="00650F05">
        <w:rPr>
          <w:rFonts w:ascii="Tahoma" w:hAnsi="Tahoma"/>
        </w:rPr>
        <w:t>tudents from non-traditional backgrounds suffer from a lack of economic progression after leaving university</w:t>
      </w:r>
      <w:r w:rsidR="00AA72B8" w:rsidRPr="00650F05">
        <w:rPr>
          <w:rFonts w:ascii="Tahoma" w:hAnsi="Tahoma"/>
        </w:rPr>
        <w:t xml:space="preserve"> </w:t>
      </w:r>
      <w:r w:rsidR="005043C4" w:rsidRPr="00650F05">
        <w:rPr>
          <w:rFonts w:ascii="Tahoma" w:hAnsi="Tahoma"/>
        </w:rPr>
        <w:t>with</w:t>
      </w:r>
      <w:r w:rsidR="00AA72B8" w:rsidRPr="00650F05">
        <w:rPr>
          <w:rFonts w:ascii="Tahoma" w:hAnsi="Tahoma"/>
        </w:rPr>
        <w:t xml:space="preserve"> </w:t>
      </w:r>
      <w:r w:rsidR="001C4D5E" w:rsidRPr="00650F05">
        <w:rPr>
          <w:rFonts w:ascii="Tahoma" w:hAnsi="Tahoma"/>
        </w:rPr>
        <w:t>s</w:t>
      </w:r>
      <w:r w:rsidR="00D23101" w:rsidRPr="00650F05">
        <w:rPr>
          <w:rFonts w:ascii="Tahoma" w:hAnsi="Tahoma"/>
        </w:rPr>
        <w:t xml:space="preserve">ocial </w:t>
      </w:r>
      <w:r w:rsidR="005043C4" w:rsidRPr="00650F05">
        <w:rPr>
          <w:rFonts w:ascii="Tahoma" w:hAnsi="Tahoma"/>
        </w:rPr>
        <w:t>status</w:t>
      </w:r>
      <w:r w:rsidR="00D23101" w:rsidRPr="00650F05">
        <w:rPr>
          <w:rFonts w:ascii="Tahoma" w:hAnsi="Tahoma"/>
        </w:rPr>
        <w:t xml:space="preserve">, gender and ethnicity </w:t>
      </w:r>
      <w:r w:rsidR="00AA72B8" w:rsidRPr="00650F05">
        <w:rPr>
          <w:rFonts w:ascii="Tahoma" w:hAnsi="Tahoma"/>
        </w:rPr>
        <w:t>permeating</w:t>
      </w:r>
      <w:r w:rsidR="00D52B2C" w:rsidRPr="00650F05">
        <w:rPr>
          <w:rFonts w:ascii="Tahoma" w:hAnsi="Tahoma"/>
        </w:rPr>
        <w:t xml:space="preserve"> the</w:t>
      </w:r>
      <w:r w:rsidR="009F698D" w:rsidRPr="00650F05">
        <w:rPr>
          <w:rFonts w:ascii="Tahoma" w:hAnsi="Tahoma"/>
        </w:rPr>
        <w:t xml:space="preserve"> students’</w:t>
      </w:r>
      <w:r w:rsidR="00D52B2C" w:rsidRPr="00650F05">
        <w:rPr>
          <w:rFonts w:ascii="Tahoma" w:hAnsi="Tahoma"/>
        </w:rPr>
        <w:t xml:space="preserve"> experiences</w:t>
      </w:r>
      <w:r w:rsidR="00B47A4C" w:rsidRPr="00650F05">
        <w:rPr>
          <w:rFonts w:ascii="Tahoma" w:hAnsi="Tahoma"/>
        </w:rPr>
        <w:t xml:space="preserve"> (Vignoles and Murray, 2016)</w:t>
      </w:r>
      <w:r w:rsidR="008F54D3" w:rsidRPr="00650F05">
        <w:rPr>
          <w:rFonts w:ascii="Tahoma" w:hAnsi="Tahoma"/>
        </w:rPr>
        <w:t>.</w:t>
      </w:r>
      <w:r w:rsidR="00632505" w:rsidRPr="00650F05">
        <w:rPr>
          <w:rFonts w:ascii="Tahoma" w:hAnsi="Tahoma"/>
        </w:rPr>
        <w:t xml:space="preserve"> </w:t>
      </w:r>
      <w:r w:rsidR="00FB1A0F" w:rsidRPr="00650F05">
        <w:rPr>
          <w:rFonts w:ascii="Tahoma" w:hAnsi="Tahoma"/>
        </w:rPr>
        <w:t xml:space="preserve">Bathmaker (2021) </w:t>
      </w:r>
      <w:r w:rsidR="008F54D3" w:rsidRPr="00650F05">
        <w:rPr>
          <w:rFonts w:ascii="Tahoma" w:hAnsi="Tahoma"/>
        </w:rPr>
        <w:t xml:space="preserve">explains that this </w:t>
      </w:r>
      <w:r w:rsidR="00FB1A0F" w:rsidRPr="00650F05">
        <w:rPr>
          <w:rFonts w:ascii="Tahoma" w:hAnsi="Tahoma"/>
        </w:rPr>
        <w:t>directly affect</w:t>
      </w:r>
      <w:r w:rsidR="008F54D3" w:rsidRPr="00650F05">
        <w:rPr>
          <w:rFonts w:ascii="Tahoma" w:hAnsi="Tahoma"/>
        </w:rPr>
        <w:t>s</w:t>
      </w:r>
      <w:r w:rsidR="00FB1A0F" w:rsidRPr="00650F05">
        <w:rPr>
          <w:rFonts w:ascii="Tahoma" w:hAnsi="Tahoma"/>
        </w:rPr>
        <w:t xml:space="preserve"> </w:t>
      </w:r>
      <w:r w:rsidR="00A74D58" w:rsidRPr="00650F05">
        <w:rPr>
          <w:rFonts w:ascii="Tahoma" w:hAnsi="Tahoma"/>
        </w:rPr>
        <w:t>“</w:t>
      </w:r>
      <w:r w:rsidR="00CE2F7F" w:rsidRPr="00650F05">
        <w:rPr>
          <w:rFonts w:ascii="Tahoma" w:hAnsi="Tahoma"/>
        </w:rPr>
        <w:t>the possibilities for career self-management</w:t>
      </w:r>
      <w:r w:rsidR="009632F1" w:rsidRPr="00650F05">
        <w:rPr>
          <w:rFonts w:ascii="Tahoma" w:hAnsi="Tahoma"/>
        </w:rPr>
        <w:t>,</w:t>
      </w:r>
      <w:r w:rsidR="00C24EBF" w:rsidRPr="00650F05">
        <w:rPr>
          <w:rFonts w:ascii="Tahoma" w:hAnsi="Tahoma"/>
        </w:rPr>
        <w:t xml:space="preserve"> …</w:t>
      </w:r>
      <w:r w:rsidR="009632F1" w:rsidRPr="00650F05">
        <w:rPr>
          <w:rFonts w:ascii="Tahoma" w:hAnsi="Tahoma"/>
        </w:rPr>
        <w:t xml:space="preserve"> as well as influencing the ways in which </w:t>
      </w:r>
      <w:r w:rsidR="00601BC2" w:rsidRPr="00650F05">
        <w:rPr>
          <w:rFonts w:ascii="Tahoma" w:hAnsi="Tahoma"/>
        </w:rPr>
        <w:t>‘</w:t>
      </w:r>
      <w:r w:rsidR="009632F1" w:rsidRPr="00650F05">
        <w:rPr>
          <w:rFonts w:ascii="Tahoma" w:hAnsi="Tahoma"/>
        </w:rPr>
        <w:t>employable graduate</w:t>
      </w:r>
      <w:r w:rsidR="00601BC2" w:rsidRPr="00650F05">
        <w:rPr>
          <w:rFonts w:ascii="Tahoma" w:hAnsi="Tahoma"/>
        </w:rPr>
        <w:t>’</w:t>
      </w:r>
      <w:r w:rsidR="009632F1" w:rsidRPr="00650F05">
        <w:rPr>
          <w:rFonts w:ascii="Tahoma" w:hAnsi="Tahoma"/>
        </w:rPr>
        <w:t xml:space="preserve"> identities are ascribed to individuals by employers</w:t>
      </w:r>
      <w:r w:rsidR="00234824">
        <w:rPr>
          <w:rFonts w:ascii="Tahoma" w:hAnsi="Tahoma"/>
        </w:rPr>
        <w:t xml:space="preserve"> </w:t>
      </w:r>
      <w:r w:rsidR="005F6DE4">
        <w:rPr>
          <w:rFonts w:ascii="Tahoma" w:hAnsi="Tahoma"/>
        </w:rPr>
        <w:t xml:space="preserve">… </w:t>
      </w:r>
      <w:r w:rsidR="009632F1" w:rsidRPr="00650F05">
        <w:rPr>
          <w:rFonts w:ascii="Tahoma" w:hAnsi="Tahoma"/>
        </w:rPr>
        <w:t xml:space="preserve">(Brown </w:t>
      </w:r>
      <w:r w:rsidR="00FB1A0F" w:rsidRPr="00650F05">
        <w:rPr>
          <w:rFonts w:ascii="Tahoma" w:hAnsi="Tahoma"/>
        </w:rPr>
        <w:t>and</w:t>
      </w:r>
      <w:r w:rsidR="009632F1" w:rsidRPr="00650F05">
        <w:rPr>
          <w:rFonts w:ascii="Tahoma" w:hAnsi="Tahoma"/>
        </w:rPr>
        <w:t xml:space="preserve"> Hesketh, 2004; McCracken </w:t>
      </w:r>
      <w:r w:rsidR="009632F1" w:rsidRPr="002B4276">
        <w:rPr>
          <w:rFonts w:ascii="Tahoma" w:hAnsi="Tahoma"/>
          <w:i/>
          <w:iCs/>
        </w:rPr>
        <w:t>et al.,</w:t>
      </w:r>
      <w:r w:rsidR="009632F1" w:rsidRPr="00650F05">
        <w:rPr>
          <w:rFonts w:ascii="Tahoma" w:hAnsi="Tahoma"/>
        </w:rPr>
        <w:t xml:space="preserve"> 2016; Morrison, 2014)</w:t>
      </w:r>
      <w:r w:rsidR="00FB1A0F" w:rsidRPr="00650F05">
        <w:rPr>
          <w:rFonts w:ascii="Tahoma" w:hAnsi="Tahoma"/>
        </w:rPr>
        <w:t>”</w:t>
      </w:r>
      <w:r w:rsidR="009632F1" w:rsidRPr="00650F05">
        <w:rPr>
          <w:rFonts w:ascii="Tahoma" w:hAnsi="Tahoma"/>
        </w:rPr>
        <w:t>.</w:t>
      </w:r>
      <w:r w:rsidR="009058C9" w:rsidRPr="00650F05">
        <w:rPr>
          <w:rFonts w:ascii="Tahoma" w:hAnsi="Tahoma"/>
        </w:rPr>
        <w:t xml:space="preserve"> Therefore, it is argued</w:t>
      </w:r>
      <w:r w:rsidR="00410346" w:rsidRPr="00650F05">
        <w:rPr>
          <w:rFonts w:ascii="Tahoma" w:hAnsi="Tahoma"/>
        </w:rPr>
        <w:t xml:space="preserve"> that the </w:t>
      </w:r>
      <w:r w:rsidR="00CC35C6" w:rsidRPr="00650F05">
        <w:rPr>
          <w:rFonts w:ascii="Tahoma" w:hAnsi="Tahoma"/>
        </w:rPr>
        <w:t xml:space="preserve">wider </w:t>
      </w:r>
      <w:r w:rsidR="00410346" w:rsidRPr="00650F05">
        <w:rPr>
          <w:rFonts w:ascii="Tahoma" w:hAnsi="Tahoma"/>
        </w:rPr>
        <w:t>conversation of employability</w:t>
      </w:r>
      <w:r w:rsidR="00BB3067" w:rsidRPr="00650F05">
        <w:rPr>
          <w:rFonts w:ascii="Tahoma" w:hAnsi="Tahoma"/>
        </w:rPr>
        <w:t xml:space="preserve"> and its </w:t>
      </w:r>
      <w:r w:rsidR="00E66A71" w:rsidRPr="00650F05">
        <w:rPr>
          <w:rFonts w:ascii="Tahoma" w:hAnsi="Tahoma"/>
        </w:rPr>
        <w:t>focus</w:t>
      </w:r>
      <w:r w:rsidR="00474230" w:rsidRPr="00650F05">
        <w:rPr>
          <w:rFonts w:ascii="Tahoma" w:hAnsi="Tahoma"/>
        </w:rPr>
        <w:t xml:space="preserve"> </w:t>
      </w:r>
      <w:r w:rsidR="00BB3067" w:rsidRPr="00650F05">
        <w:rPr>
          <w:rFonts w:ascii="Tahoma" w:hAnsi="Tahoma"/>
        </w:rPr>
        <w:t>on ind</w:t>
      </w:r>
      <w:r w:rsidR="002302F4" w:rsidRPr="00650F05">
        <w:rPr>
          <w:rFonts w:ascii="Tahoma" w:hAnsi="Tahoma"/>
        </w:rPr>
        <w:t>ividual responsibility</w:t>
      </w:r>
      <w:r w:rsidR="00474230" w:rsidRPr="00650F05">
        <w:rPr>
          <w:rFonts w:ascii="Tahoma" w:hAnsi="Tahoma"/>
        </w:rPr>
        <w:t xml:space="preserve">, irrespective of social inequalities, has </w:t>
      </w:r>
      <w:r w:rsidR="00914FBE" w:rsidRPr="00650F05">
        <w:rPr>
          <w:rFonts w:ascii="Tahoma" w:hAnsi="Tahoma"/>
        </w:rPr>
        <w:t>detrimental</w:t>
      </w:r>
      <w:r w:rsidR="00474230" w:rsidRPr="00650F05">
        <w:rPr>
          <w:rFonts w:ascii="Tahoma" w:hAnsi="Tahoma"/>
        </w:rPr>
        <w:t xml:space="preserve"> </w:t>
      </w:r>
      <w:r w:rsidR="00EB5BDE" w:rsidRPr="00650F05">
        <w:rPr>
          <w:rFonts w:ascii="Tahoma" w:hAnsi="Tahoma"/>
        </w:rPr>
        <w:t>outcomes</w:t>
      </w:r>
      <w:r w:rsidR="00083FD0" w:rsidRPr="00650F05">
        <w:rPr>
          <w:rFonts w:ascii="Tahoma" w:hAnsi="Tahoma"/>
        </w:rPr>
        <w:t xml:space="preserve"> for graduates fr</w:t>
      </w:r>
      <w:r w:rsidR="00EB5BDE" w:rsidRPr="00650F05">
        <w:rPr>
          <w:rFonts w:ascii="Tahoma" w:hAnsi="Tahoma"/>
        </w:rPr>
        <w:t>o</w:t>
      </w:r>
      <w:r w:rsidR="00083FD0" w:rsidRPr="00650F05">
        <w:rPr>
          <w:rFonts w:ascii="Tahoma" w:hAnsi="Tahoma"/>
        </w:rPr>
        <w:t>m non-traditional backgrounds</w:t>
      </w:r>
      <w:r w:rsidR="004937B5" w:rsidRPr="00650F05">
        <w:rPr>
          <w:rFonts w:ascii="Tahoma" w:hAnsi="Tahoma"/>
        </w:rPr>
        <w:t xml:space="preserve"> (Moreau and L</w:t>
      </w:r>
      <w:r w:rsidR="003A4E7A" w:rsidRPr="00650F05">
        <w:rPr>
          <w:rFonts w:ascii="Tahoma" w:hAnsi="Tahoma"/>
        </w:rPr>
        <w:t>eathwood, 2006)</w:t>
      </w:r>
      <w:r w:rsidR="00083FD0" w:rsidRPr="00650F05">
        <w:rPr>
          <w:rFonts w:ascii="Tahoma" w:hAnsi="Tahoma"/>
        </w:rPr>
        <w:t>.</w:t>
      </w:r>
      <w:r w:rsidR="000A3938" w:rsidRPr="00650F05">
        <w:rPr>
          <w:rFonts w:ascii="Tahoma" w:hAnsi="Tahoma"/>
        </w:rPr>
        <w:t xml:space="preserve"> </w:t>
      </w:r>
      <w:r w:rsidR="00E66A71" w:rsidRPr="00650F05">
        <w:rPr>
          <w:rFonts w:ascii="Tahoma" w:hAnsi="Tahoma"/>
        </w:rPr>
        <w:t>Consequently</w:t>
      </w:r>
      <w:r w:rsidR="003D036F" w:rsidRPr="00650F05">
        <w:rPr>
          <w:rFonts w:ascii="Tahoma" w:hAnsi="Tahoma"/>
        </w:rPr>
        <w:t xml:space="preserve">, this research </w:t>
      </w:r>
      <w:r w:rsidR="0044673A" w:rsidRPr="00650F05">
        <w:rPr>
          <w:rFonts w:ascii="Tahoma" w:hAnsi="Tahoma"/>
        </w:rPr>
        <w:t>must explore how effectively HE is preparing students f</w:t>
      </w:r>
      <w:r w:rsidR="005B10EC" w:rsidRPr="00650F05">
        <w:rPr>
          <w:rFonts w:ascii="Tahoma" w:hAnsi="Tahoma"/>
        </w:rPr>
        <w:t>rom</w:t>
      </w:r>
      <w:r w:rsidR="0044673A" w:rsidRPr="00650F05">
        <w:rPr>
          <w:rFonts w:ascii="Tahoma" w:hAnsi="Tahoma"/>
        </w:rPr>
        <w:t xml:space="preserve"> non-traditional backgrounds</w:t>
      </w:r>
      <w:r w:rsidR="005B10EC" w:rsidRPr="00650F05">
        <w:rPr>
          <w:rFonts w:ascii="Tahoma" w:hAnsi="Tahoma"/>
        </w:rPr>
        <w:t xml:space="preserve"> for work after graduation, </w:t>
      </w:r>
      <w:r w:rsidR="00E66A71" w:rsidRPr="00650F05">
        <w:rPr>
          <w:rFonts w:ascii="Tahoma" w:hAnsi="Tahoma"/>
        </w:rPr>
        <w:t>addressing</w:t>
      </w:r>
      <w:r w:rsidR="00863EBE" w:rsidRPr="00650F05">
        <w:rPr>
          <w:rFonts w:ascii="Tahoma" w:hAnsi="Tahoma"/>
        </w:rPr>
        <w:t xml:space="preserve"> the lack of economic progression and </w:t>
      </w:r>
      <w:r w:rsidR="00C64679" w:rsidRPr="00650F05">
        <w:rPr>
          <w:rFonts w:ascii="Tahoma" w:hAnsi="Tahoma"/>
        </w:rPr>
        <w:t xml:space="preserve">students’ </w:t>
      </w:r>
      <w:r w:rsidR="00863EBE" w:rsidRPr="00650F05">
        <w:rPr>
          <w:rFonts w:ascii="Tahoma" w:hAnsi="Tahoma"/>
        </w:rPr>
        <w:t>awareness</w:t>
      </w:r>
      <w:r w:rsidR="006C70BC" w:rsidRPr="00650F05">
        <w:rPr>
          <w:rFonts w:ascii="Tahoma" w:hAnsi="Tahoma"/>
        </w:rPr>
        <w:t xml:space="preserve"> of the impact that their own background could have </w:t>
      </w:r>
      <w:r w:rsidR="00C64679" w:rsidRPr="00650F05">
        <w:rPr>
          <w:rFonts w:ascii="Tahoma" w:hAnsi="Tahoma"/>
        </w:rPr>
        <w:t xml:space="preserve">on </w:t>
      </w:r>
      <w:r w:rsidR="006C70BC" w:rsidRPr="00650F05">
        <w:rPr>
          <w:rFonts w:ascii="Tahoma" w:hAnsi="Tahoma"/>
        </w:rPr>
        <w:t xml:space="preserve">their </w:t>
      </w:r>
      <w:r w:rsidR="00C64679" w:rsidRPr="00650F05">
        <w:rPr>
          <w:rFonts w:ascii="Tahoma" w:hAnsi="Tahoma"/>
        </w:rPr>
        <w:t xml:space="preserve">career </w:t>
      </w:r>
      <w:r w:rsidR="006C70BC" w:rsidRPr="00650F05">
        <w:rPr>
          <w:rFonts w:ascii="Tahoma" w:hAnsi="Tahoma"/>
        </w:rPr>
        <w:t>progression</w:t>
      </w:r>
      <w:r w:rsidR="00C64679" w:rsidRPr="00650F05">
        <w:rPr>
          <w:rFonts w:ascii="Tahoma" w:hAnsi="Tahoma"/>
        </w:rPr>
        <w:t>.</w:t>
      </w:r>
    </w:p>
    <w:p w14:paraId="04ACB591" w14:textId="440CAF0B" w:rsidR="00B85900" w:rsidRPr="00650F05" w:rsidRDefault="00062EEC" w:rsidP="008F2A23">
      <w:pPr>
        <w:spacing w:line="480" w:lineRule="auto"/>
        <w:jc w:val="both"/>
        <w:rPr>
          <w:rFonts w:ascii="Tahoma" w:hAnsi="Tahoma"/>
        </w:rPr>
      </w:pPr>
      <w:r w:rsidRPr="00650F05">
        <w:rPr>
          <w:rFonts w:ascii="Tahoma" w:hAnsi="Tahoma"/>
        </w:rPr>
        <w:t>Bourdieu</w:t>
      </w:r>
      <w:r w:rsidR="00975A96" w:rsidRPr="00650F05">
        <w:rPr>
          <w:rFonts w:ascii="Tahoma" w:hAnsi="Tahoma"/>
        </w:rPr>
        <w:t>’s</w:t>
      </w:r>
      <w:r w:rsidR="007B2CC6" w:rsidRPr="00650F05">
        <w:rPr>
          <w:rFonts w:ascii="Tahoma" w:hAnsi="Tahoma"/>
        </w:rPr>
        <w:t xml:space="preserve"> </w:t>
      </w:r>
      <w:r w:rsidR="00975A96" w:rsidRPr="00650F05">
        <w:rPr>
          <w:rFonts w:ascii="Tahoma" w:hAnsi="Tahoma"/>
        </w:rPr>
        <w:t>Theory of Practice</w:t>
      </w:r>
      <w:r w:rsidR="00991505" w:rsidRPr="00650F05">
        <w:rPr>
          <w:rFonts w:ascii="Tahoma" w:hAnsi="Tahoma"/>
        </w:rPr>
        <w:t xml:space="preserve"> (1977) </w:t>
      </w:r>
      <w:r w:rsidR="00CB77F2" w:rsidRPr="00650F05">
        <w:rPr>
          <w:rFonts w:ascii="Tahoma" w:hAnsi="Tahoma"/>
        </w:rPr>
        <w:t xml:space="preserve">will be </w:t>
      </w:r>
      <w:r w:rsidR="00513940" w:rsidRPr="00650F05">
        <w:rPr>
          <w:rFonts w:ascii="Tahoma" w:hAnsi="Tahoma"/>
        </w:rPr>
        <w:t>utilised</w:t>
      </w:r>
      <w:r w:rsidR="00CB77F2" w:rsidRPr="00650F05">
        <w:rPr>
          <w:rFonts w:ascii="Tahoma" w:hAnsi="Tahoma"/>
        </w:rPr>
        <w:t xml:space="preserve"> </w:t>
      </w:r>
      <w:r w:rsidR="00862393" w:rsidRPr="00650F05">
        <w:rPr>
          <w:rFonts w:ascii="Tahoma" w:hAnsi="Tahoma"/>
        </w:rPr>
        <w:t>to help contextualise student experiences</w:t>
      </w:r>
      <w:r w:rsidR="006D13BF">
        <w:rPr>
          <w:rFonts w:ascii="Tahoma" w:hAnsi="Tahoma"/>
        </w:rPr>
        <w:t xml:space="preserve">. </w:t>
      </w:r>
      <w:r w:rsidR="00F77CB4" w:rsidRPr="00650F05">
        <w:rPr>
          <w:rFonts w:ascii="Tahoma" w:hAnsi="Tahoma"/>
        </w:rPr>
        <w:t>Bathmaker (2021</w:t>
      </w:r>
      <w:r w:rsidR="00343E0D" w:rsidRPr="00650F05">
        <w:rPr>
          <w:rFonts w:ascii="Tahoma" w:hAnsi="Tahoma"/>
        </w:rPr>
        <w:t>, p.80</w:t>
      </w:r>
      <w:r w:rsidR="00F77CB4" w:rsidRPr="00650F05">
        <w:rPr>
          <w:rFonts w:ascii="Tahoma" w:hAnsi="Tahoma"/>
        </w:rPr>
        <w:t>) posit</w:t>
      </w:r>
      <w:r w:rsidR="00803038" w:rsidRPr="00650F05">
        <w:rPr>
          <w:rFonts w:ascii="Tahoma" w:hAnsi="Tahoma"/>
        </w:rPr>
        <w:t>s</w:t>
      </w:r>
      <w:r w:rsidR="00F77CB4" w:rsidRPr="00650F05">
        <w:rPr>
          <w:rFonts w:ascii="Tahoma" w:hAnsi="Tahoma"/>
        </w:rPr>
        <w:t xml:space="preserve"> that Bourdieu</w:t>
      </w:r>
      <w:r w:rsidR="00862393" w:rsidRPr="00650F05">
        <w:rPr>
          <w:rFonts w:ascii="Tahoma" w:hAnsi="Tahoma"/>
        </w:rPr>
        <w:t xml:space="preserve"> </w:t>
      </w:r>
      <w:r w:rsidR="00F77CB4" w:rsidRPr="00650F05">
        <w:rPr>
          <w:rFonts w:ascii="Tahoma" w:hAnsi="Tahoma"/>
        </w:rPr>
        <w:t xml:space="preserve">uses specific </w:t>
      </w:r>
      <w:r w:rsidR="000C44CA" w:rsidRPr="00650F05">
        <w:rPr>
          <w:rFonts w:ascii="Tahoma" w:hAnsi="Tahoma"/>
        </w:rPr>
        <w:t>soci</w:t>
      </w:r>
      <w:r w:rsidR="00456CB5" w:rsidRPr="00650F05">
        <w:rPr>
          <w:rFonts w:ascii="Tahoma" w:hAnsi="Tahoma"/>
        </w:rPr>
        <w:t>ological</w:t>
      </w:r>
      <w:r w:rsidR="000C44CA" w:rsidRPr="00650F05">
        <w:rPr>
          <w:rFonts w:ascii="Tahoma" w:hAnsi="Tahoma"/>
        </w:rPr>
        <w:t xml:space="preserve"> constructs</w:t>
      </w:r>
      <w:r w:rsidR="00F77CB4" w:rsidRPr="00650F05">
        <w:rPr>
          <w:rFonts w:ascii="Tahoma" w:hAnsi="Tahoma"/>
        </w:rPr>
        <w:t>,</w:t>
      </w:r>
      <w:r w:rsidR="000C44CA" w:rsidRPr="00650F05">
        <w:rPr>
          <w:rFonts w:ascii="Tahoma" w:hAnsi="Tahoma"/>
        </w:rPr>
        <w:t xml:space="preserve"> such as </w:t>
      </w:r>
      <w:r w:rsidR="00C50368" w:rsidRPr="00650F05">
        <w:rPr>
          <w:rFonts w:ascii="Tahoma" w:hAnsi="Tahoma"/>
        </w:rPr>
        <w:t>‘</w:t>
      </w:r>
      <w:r w:rsidR="000C44CA" w:rsidRPr="00650F05">
        <w:rPr>
          <w:rFonts w:ascii="Tahoma" w:hAnsi="Tahoma"/>
        </w:rPr>
        <w:t>field</w:t>
      </w:r>
      <w:r w:rsidR="00077534" w:rsidRPr="00650F05">
        <w:rPr>
          <w:rFonts w:ascii="Tahoma" w:hAnsi="Tahoma"/>
        </w:rPr>
        <w:t>’</w:t>
      </w:r>
      <w:r w:rsidR="000C44CA" w:rsidRPr="00650F05">
        <w:rPr>
          <w:rFonts w:ascii="Tahoma" w:hAnsi="Tahoma"/>
        </w:rPr>
        <w:t xml:space="preserve">, </w:t>
      </w:r>
      <w:r w:rsidR="00077534" w:rsidRPr="00650F05">
        <w:rPr>
          <w:rFonts w:ascii="Tahoma" w:hAnsi="Tahoma"/>
        </w:rPr>
        <w:t>‘</w:t>
      </w:r>
      <w:r w:rsidR="000C44CA" w:rsidRPr="00650F05">
        <w:rPr>
          <w:rFonts w:ascii="Tahoma" w:hAnsi="Tahoma"/>
        </w:rPr>
        <w:t>capital</w:t>
      </w:r>
      <w:r w:rsidR="00077534" w:rsidRPr="00650F05">
        <w:rPr>
          <w:rFonts w:ascii="Tahoma" w:hAnsi="Tahoma"/>
        </w:rPr>
        <w:t>’</w:t>
      </w:r>
      <w:r w:rsidR="000C44CA" w:rsidRPr="00650F05">
        <w:rPr>
          <w:rFonts w:ascii="Tahoma" w:hAnsi="Tahoma"/>
        </w:rPr>
        <w:t xml:space="preserve"> and </w:t>
      </w:r>
      <w:r w:rsidR="00077534" w:rsidRPr="00650F05">
        <w:rPr>
          <w:rFonts w:ascii="Tahoma" w:hAnsi="Tahoma"/>
        </w:rPr>
        <w:t>‘</w:t>
      </w:r>
      <w:r w:rsidR="000C44CA" w:rsidRPr="00650F05">
        <w:rPr>
          <w:rFonts w:ascii="Tahoma" w:hAnsi="Tahoma"/>
        </w:rPr>
        <w:t>habitus</w:t>
      </w:r>
      <w:r w:rsidR="00C50368" w:rsidRPr="00650F05">
        <w:rPr>
          <w:rFonts w:ascii="Tahoma" w:hAnsi="Tahoma"/>
        </w:rPr>
        <w:t>’</w:t>
      </w:r>
      <w:r w:rsidR="000C44CA" w:rsidRPr="00650F05">
        <w:rPr>
          <w:rFonts w:ascii="Tahoma" w:hAnsi="Tahoma"/>
        </w:rPr>
        <w:t xml:space="preserve"> to understand </w:t>
      </w:r>
      <w:r w:rsidR="006258E8" w:rsidRPr="00650F05">
        <w:rPr>
          <w:rFonts w:ascii="Tahoma" w:hAnsi="Tahoma"/>
        </w:rPr>
        <w:t xml:space="preserve">the </w:t>
      </w:r>
      <w:r w:rsidR="000C44CA" w:rsidRPr="00650F05">
        <w:rPr>
          <w:rFonts w:ascii="Tahoma" w:hAnsi="Tahoma"/>
        </w:rPr>
        <w:t xml:space="preserve">social </w:t>
      </w:r>
      <w:r w:rsidR="006258E8" w:rsidRPr="00650F05">
        <w:rPr>
          <w:rFonts w:ascii="Tahoma" w:hAnsi="Tahoma"/>
        </w:rPr>
        <w:t>landscape</w:t>
      </w:r>
      <w:r w:rsidR="000C44CA" w:rsidRPr="00650F05">
        <w:rPr>
          <w:rFonts w:ascii="Tahoma" w:hAnsi="Tahoma"/>
        </w:rPr>
        <w:t xml:space="preserve"> and </w:t>
      </w:r>
      <w:r w:rsidR="006258E8" w:rsidRPr="00650F05">
        <w:rPr>
          <w:rFonts w:ascii="Tahoma" w:hAnsi="Tahoma"/>
        </w:rPr>
        <w:t>highlight</w:t>
      </w:r>
      <w:r w:rsidR="000C44CA" w:rsidRPr="00650F05">
        <w:rPr>
          <w:rFonts w:ascii="Tahoma" w:hAnsi="Tahoma"/>
        </w:rPr>
        <w:t xml:space="preserve"> the </w:t>
      </w:r>
      <w:r w:rsidR="006258E8" w:rsidRPr="00650F05">
        <w:rPr>
          <w:rFonts w:ascii="Tahoma" w:hAnsi="Tahoma"/>
        </w:rPr>
        <w:t>mechanisms</w:t>
      </w:r>
      <w:r w:rsidR="000C44CA" w:rsidRPr="00650F05">
        <w:rPr>
          <w:rFonts w:ascii="Tahoma" w:hAnsi="Tahoma"/>
        </w:rPr>
        <w:t xml:space="preserve"> of power and inequality in different social spaces (Bourdieu, 1977, 1985, 1998)</w:t>
      </w:r>
      <w:r w:rsidR="00DD2962" w:rsidRPr="00650F05">
        <w:rPr>
          <w:rFonts w:ascii="Tahoma" w:hAnsi="Tahoma"/>
        </w:rPr>
        <w:t>.</w:t>
      </w:r>
      <w:r w:rsidR="007C1AB7" w:rsidRPr="00650F05">
        <w:rPr>
          <w:rFonts w:ascii="Tahoma" w:hAnsi="Tahoma"/>
        </w:rPr>
        <w:t xml:space="preserve"> </w:t>
      </w:r>
      <w:r w:rsidR="00842D49" w:rsidRPr="00650F05">
        <w:rPr>
          <w:rFonts w:ascii="Tahoma" w:hAnsi="Tahoma"/>
        </w:rPr>
        <w:t>For context,</w:t>
      </w:r>
      <w:r w:rsidR="00E40F62" w:rsidRPr="00650F05">
        <w:rPr>
          <w:rFonts w:ascii="Tahoma" w:hAnsi="Tahoma"/>
        </w:rPr>
        <w:t xml:space="preserve"> s</w:t>
      </w:r>
      <w:r w:rsidR="00E90265" w:rsidRPr="00650F05">
        <w:rPr>
          <w:rFonts w:ascii="Tahoma" w:hAnsi="Tahoma"/>
        </w:rPr>
        <w:t xml:space="preserve">ocial structures (fields) can be understood as </w:t>
      </w:r>
      <w:r w:rsidR="004D3FFF" w:rsidRPr="00650F05">
        <w:rPr>
          <w:rFonts w:ascii="Tahoma" w:hAnsi="Tahoma"/>
        </w:rPr>
        <w:t xml:space="preserve">environments </w:t>
      </w:r>
      <w:r w:rsidR="00E90265" w:rsidRPr="00650F05">
        <w:rPr>
          <w:rFonts w:ascii="Tahoma" w:hAnsi="Tahoma"/>
        </w:rPr>
        <w:t>wherein social agents</w:t>
      </w:r>
      <w:r w:rsidR="004D3FFF" w:rsidRPr="00650F05">
        <w:rPr>
          <w:rFonts w:ascii="Tahoma" w:hAnsi="Tahoma"/>
        </w:rPr>
        <w:t xml:space="preserve"> (</w:t>
      </w:r>
      <w:r w:rsidR="00E90265" w:rsidRPr="00650F05">
        <w:rPr>
          <w:rFonts w:ascii="Tahoma" w:hAnsi="Tahoma"/>
        </w:rPr>
        <w:t>individuals with unique dispositions</w:t>
      </w:r>
      <w:r w:rsidR="004D3FFF" w:rsidRPr="00650F05">
        <w:rPr>
          <w:rFonts w:ascii="Tahoma" w:hAnsi="Tahoma"/>
        </w:rPr>
        <w:t xml:space="preserve">, called </w:t>
      </w:r>
      <w:r w:rsidR="00E90265" w:rsidRPr="00650F05">
        <w:rPr>
          <w:rFonts w:ascii="Tahoma" w:hAnsi="Tahoma"/>
        </w:rPr>
        <w:t xml:space="preserve">habitus) interact and </w:t>
      </w:r>
      <w:r w:rsidR="00EC2A09" w:rsidRPr="00650F05">
        <w:rPr>
          <w:rFonts w:ascii="Tahoma" w:hAnsi="Tahoma"/>
        </w:rPr>
        <w:t>fight</w:t>
      </w:r>
      <w:r w:rsidR="00E90265" w:rsidRPr="00650F05">
        <w:rPr>
          <w:rFonts w:ascii="Tahoma" w:hAnsi="Tahoma"/>
        </w:rPr>
        <w:t xml:space="preserve"> for resources (capital) to increase their standing in the field (Bourdieu 1977; Bourdieu and Wacquant 1992).</w:t>
      </w:r>
      <w:r w:rsidR="00E37B4B" w:rsidRPr="00650F05">
        <w:rPr>
          <w:rFonts w:ascii="Tahoma" w:hAnsi="Tahoma"/>
        </w:rPr>
        <w:t xml:space="preserve"> </w:t>
      </w:r>
      <w:r w:rsidR="00671C45" w:rsidRPr="00650F05">
        <w:rPr>
          <w:rFonts w:ascii="Tahoma" w:hAnsi="Tahoma"/>
        </w:rPr>
        <w:t xml:space="preserve">These concepts are not static but constantly evolving </w:t>
      </w:r>
      <w:r w:rsidR="00B53CB3" w:rsidRPr="00650F05">
        <w:rPr>
          <w:rFonts w:ascii="Tahoma" w:hAnsi="Tahoma"/>
        </w:rPr>
        <w:t>and work in relation to each other</w:t>
      </w:r>
      <w:r w:rsidR="00200CA6" w:rsidRPr="00650F05">
        <w:rPr>
          <w:rFonts w:ascii="Tahoma" w:hAnsi="Tahoma"/>
        </w:rPr>
        <w:t xml:space="preserve"> (</w:t>
      </w:r>
      <w:r w:rsidR="002B41B7" w:rsidRPr="00650F05">
        <w:rPr>
          <w:rFonts w:ascii="Tahoma" w:hAnsi="Tahoma"/>
        </w:rPr>
        <w:t xml:space="preserve">Balmer </w:t>
      </w:r>
      <w:r w:rsidR="002B41B7" w:rsidRPr="002B4276">
        <w:rPr>
          <w:rFonts w:ascii="Tahoma" w:hAnsi="Tahoma"/>
          <w:i/>
          <w:iCs/>
        </w:rPr>
        <w:t>et al.</w:t>
      </w:r>
      <w:r w:rsidR="00200CA6" w:rsidRPr="002B4276">
        <w:rPr>
          <w:rFonts w:ascii="Tahoma" w:hAnsi="Tahoma"/>
          <w:i/>
          <w:iCs/>
        </w:rPr>
        <w:t>,</w:t>
      </w:r>
      <w:r w:rsidR="00200CA6" w:rsidRPr="00650F05">
        <w:rPr>
          <w:rFonts w:ascii="Tahoma" w:hAnsi="Tahoma"/>
        </w:rPr>
        <w:t xml:space="preserve"> 201</w:t>
      </w:r>
      <w:r w:rsidR="0023599F" w:rsidRPr="00650F05">
        <w:rPr>
          <w:rFonts w:ascii="Tahoma" w:hAnsi="Tahoma"/>
        </w:rPr>
        <w:t>5</w:t>
      </w:r>
      <w:r w:rsidR="00200CA6" w:rsidRPr="00650F05">
        <w:rPr>
          <w:rFonts w:ascii="Tahoma" w:hAnsi="Tahoma"/>
        </w:rPr>
        <w:t>)</w:t>
      </w:r>
      <w:r w:rsidR="00E37B4B" w:rsidRPr="00650F05">
        <w:rPr>
          <w:rFonts w:ascii="Tahoma" w:hAnsi="Tahoma"/>
        </w:rPr>
        <w:t xml:space="preserve">, </w:t>
      </w:r>
      <w:r w:rsidR="00D67C94">
        <w:rPr>
          <w:rFonts w:ascii="Tahoma" w:hAnsi="Tahoma"/>
        </w:rPr>
        <w:t>and</w:t>
      </w:r>
      <w:r w:rsidR="00A950AD">
        <w:rPr>
          <w:rFonts w:ascii="Tahoma" w:hAnsi="Tahoma"/>
        </w:rPr>
        <w:t xml:space="preserve"> provide</w:t>
      </w:r>
      <w:r w:rsidR="00E37B4B" w:rsidRPr="00650F05">
        <w:rPr>
          <w:rFonts w:ascii="Tahoma" w:hAnsi="Tahoma"/>
        </w:rPr>
        <w:t xml:space="preserve"> </w:t>
      </w:r>
      <w:r w:rsidR="00AA7AAF" w:rsidRPr="00650F05">
        <w:rPr>
          <w:rFonts w:ascii="Tahoma" w:hAnsi="Tahoma"/>
        </w:rPr>
        <w:t>“</w:t>
      </w:r>
      <w:r w:rsidR="008979AE" w:rsidRPr="00650F05">
        <w:rPr>
          <w:rFonts w:ascii="Tahoma" w:hAnsi="Tahoma"/>
        </w:rPr>
        <w:t>a useful lens</w:t>
      </w:r>
      <w:r w:rsidR="00097767" w:rsidRPr="00650F05">
        <w:rPr>
          <w:rFonts w:ascii="Tahoma" w:hAnsi="Tahoma"/>
        </w:rPr>
        <w:t xml:space="preserve"> for understanding how students f</w:t>
      </w:r>
      <w:r w:rsidR="00AB784F" w:rsidRPr="00650F05">
        <w:rPr>
          <w:rFonts w:ascii="Tahoma" w:hAnsi="Tahoma"/>
        </w:rPr>
        <w:t>ro</w:t>
      </w:r>
      <w:r w:rsidR="00097767" w:rsidRPr="00650F05">
        <w:rPr>
          <w:rFonts w:ascii="Tahoma" w:hAnsi="Tahoma"/>
        </w:rPr>
        <w:t xml:space="preserve">m non-traditional backgrounds are </w:t>
      </w:r>
      <w:r w:rsidR="00AB784F" w:rsidRPr="00650F05">
        <w:rPr>
          <w:rFonts w:ascii="Tahoma" w:hAnsi="Tahoma"/>
        </w:rPr>
        <w:t>shaped</w:t>
      </w:r>
      <w:r w:rsidR="00097767" w:rsidRPr="00650F05">
        <w:rPr>
          <w:rFonts w:ascii="Tahoma" w:hAnsi="Tahoma"/>
        </w:rPr>
        <w:t xml:space="preserve"> by</w:t>
      </w:r>
      <w:r w:rsidR="00DA25A3" w:rsidRPr="00650F05">
        <w:rPr>
          <w:rFonts w:ascii="Tahoma" w:hAnsi="Tahoma"/>
        </w:rPr>
        <w:t>,</w:t>
      </w:r>
      <w:r w:rsidR="00097767" w:rsidRPr="00650F05">
        <w:rPr>
          <w:rFonts w:ascii="Tahoma" w:hAnsi="Tahoma"/>
        </w:rPr>
        <w:t xml:space="preserve"> and simultaneously </w:t>
      </w:r>
      <w:r w:rsidR="00AB784F" w:rsidRPr="00650F05">
        <w:rPr>
          <w:rFonts w:ascii="Tahoma" w:hAnsi="Tahoma"/>
        </w:rPr>
        <w:t>are shaping their social contexts</w:t>
      </w:r>
      <w:r w:rsidR="00AA7AAF" w:rsidRPr="00650F05">
        <w:rPr>
          <w:rFonts w:ascii="Tahoma" w:hAnsi="Tahoma"/>
        </w:rPr>
        <w:t>” (</w:t>
      </w:r>
      <w:r w:rsidR="002B41B7" w:rsidRPr="00650F05">
        <w:rPr>
          <w:rFonts w:ascii="Tahoma" w:hAnsi="Tahoma"/>
        </w:rPr>
        <w:t xml:space="preserve">Balmer </w:t>
      </w:r>
      <w:r w:rsidR="002B41B7" w:rsidRPr="002B4276">
        <w:rPr>
          <w:rFonts w:ascii="Tahoma" w:hAnsi="Tahoma"/>
          <w:i/>
          <w:iCs/>
        </w:rPr>
        <w:t>et al.</w:t>
      </w:r>
      <w:r w:rsidR="00AA7AAF" w:rsidRPr="002B4276">
        <w:rPr>
          <w:rFonts w:ascii="Tahoma" w:hAnsi="Tahoma"/>
          <w:i/>
          <w:iCs/>
        </w:rPr>
        <w:t>,</w:t>
      </w:r>
      <w:r w:rsidR="00AA7AAF" w:rsidRPr="00650F05">
        <w:rPr>
          <w:rFonts w:ascii="Tahoma" w:hAnsi="Tahoma"/>
        </w:rPr>
        <w:t xml:space="preserve"> 2015</w:t>
      </w:r>
      <w:r w:rsidR="005D6953" w:rsidRPr="00650F05">
        <w:rPr>
          <w:rFonts w:ascii="Tahoma" w:hAnsi="Tahoma"/>
        </w:rPr>
        <w:t>, p.1073</w:t>
      </w:r>
      <w:r w:rsidR="00AA7AAF" w:rsidRPr="00650F05">
        <w:rPr>
          <w:rFonts w:ascii="Tahoma" w:hAnsi="Tahoma"/>
        </w:rPr>
        <w:t>)</w:t>
      </w:r>
      <w:r w:rsidR="00D5329B" w:rsidRPr="00650F05">
        <w:rPr>
          <w:rFonts w:ascii="Tahoma" w:hAnsi="Tahoma"/>
        </w:rPr>
        <w:t xml:space="preserve">. Notable </w:t>
      </w:r>
      <w:r w:rsidR="00356B62" w:rsidRPr="00650F05">
        <w:rPr>
          <w:rFonts w:ascii="Tahoma" w:hAnsi="Tahoma"/>
        </w:rPr>
        <w:t xml:space="preserve">research </w:t>
      </w:r>
      <w:r w:rsidR="00376E7D" w:rsidRPr="00650F05">
        <w:rPr>
          <w:rFonts w:ascii="Tahoma" w:hAnsi="Tahoma"/>
        </w:rPr>
        <w:t xml:space="preserve">using Bourdieu’s theoretical model </w:t>
      </w:r>
      <w:r w:rsidR="00E5251E" w:rsidRPr="00650F05">
        <w:rPr>
          <w:rFonts w:ascii="Tahoma" w:hAnsi="Tahoma"/>
        </w:rPr>
        <w:t xml:space="preserve">to further understand </w:t>
      </w:r>
      <w:r w:rsidR="00356B62" w:rsidRPr="00650F05">
        <w:rPr>
          <w:rFonts w:ascii="Tahoma" w:hAnsi="Tahoma"/>
        </w:rPr>
        <w:t>student</w:t>
      </w:r>
      <w:r w:rsidR="00E5251E" w:rsidRPr="00650F05">
        <w:rPr>
          <w:rFonts w:ascii="Tahoma" w:hAnsi="Tahoma"/>
        </w:rPr>
        <w:t>s</w:t>
      </w:r>
      <w:r w:rsidR="001E6BD3" w:rsidRPr="00650F05">
        <w:rPr>
          <w:rFonts w:ascii="Tahoma" w:hAnsi="Tahoma"/>
        </w:rPr>
        <w:t>’</w:t>
      </w:r>
      <w:r w:rsidR="00356B62" w:rsidRPr="00650F05">
        <w:rPr>
          <w:rFonts w:ascii="Tahoma" w:hAnsi="Tahoma"/>
        </w:rPr>
        <w:t xml:space="preserve"> transition to work </w:t>
      </w:r>
      <w:r w:rsidR="00E5251E" w:rsidRPr="00650F05">
        <w:rPr>
          <w:rFonts w:ascii="Tahoma" w:hAnsi="Tahoma"/>
        </w:rPr>
        <w:t>include</w:t>
      </w:r>
      <w:r w:rsidR="0045153C" w:rsidRPr="00650F05">
        <w:rPr>
          <w:rFonts w:ascii="Tahoma" w:hAnsi="Tahoma"/>
        </w:rPr>
        <w:t>s</w:t>
      </w:r>
      <w:r w:rsidR="00E5251E" w:rsidRPr="00650F05">
        <w:rPr>
          <w:rFonts w:ascii="Tahoma" w:hAnsi="Tahoma"/>
        </w:rPr>
        <w:t xml:space="preserve"> </w:t>
      </w:r>
      <w:r w:rsidR="00301DA9" w:rsidRPr="00650F05">
        <w:rPr>
          <w:rFonts w:ascii="Tahoma" w:hAnsi="Tahoma"/>
        </w:rPr>
        <w:t xml:space="preserve">Balmer et al. (2015), </w:t>
      </w:r>
      <w:r w:rsidR="00E5251E" w:rsidRPr="00650F05">
        <w:rPr>
          <w:rFonts w:ascii="Tahoma" w:hAnsi="Tahoma"/>
        </w:rPr>
        <w:t xml:space="preserve">Bathmaker (2021), </w:t>
      </w:r>
      <w:r w:rsidR="00301DA9" w:rsidRPr="00650F05">
        <w:rPr>
          <w:rFonts w:ascii="Tahoma" w:hAnsi="Tahoma"/>
        </w:rPr>
        <w:t xml:space="preserve">Bathmaker et al. (2013), </w:t>
      </w:r>
      <w:r w:rsidR="00B63BB5" w:rsidRPr="00650F05">
        <w:rPr>
          <w:rFonts w:ascii="Tahoma" w:hAnsi="Tahoma"/>
        </w:rPr>
        <w:t>Burke et al. (2020)</w:t>
      </w:r>
      <w:r w:rsidR="00401133" w:rsidRPr="00650F05">
        <w:rPr>
          <w:rFonts w:ascii="Tahoma" w:hAnsi="Tahoma"/>
        </w:rPr>
        <w:t xml:space="preserve">, </w:t>
      </w:r>
      <w:r w:rsidR="00AA26B8" w:rsidRPr="00650F05">
        <w:rPr>
          <w:rFonts w:ascii="Tahoma" w:hAnsi="Tahoma"/>
        </w:rPr>
        <w:t>Katartzi and Hayward (2020)</w:t>
      </w:r>
      <w:r w:rsidR="00401EF1" w:rsidRPr="00650F05">
        <w:rPr>
          <w:rFonts w:ascii="Tahoma" w:hAnsi="Tahoma"/>
        </w:rPr>
        <w:t xml:space="preserve"> and</w:t>
      </w:r>
      <w:r w:rsidR="00301DA9" w:rsidRPr="00650F05">
        <w:rPr>
          <w:rFonts w:ascii="Tahoma" w:hAnsi="Tahoma"/>
        </w:rPr>
        <w:t xml:space="preserve"> </w:t>
      </w:r>
      <w:r w:rsidR="0093619A" w:rsidRPr="00650F05">
        <w:rPr>
          <w:rFonts w:ascii="Tahoma" w:hAnsi="Tahoma"/>
        </w:rPr>
        <w:t>Tomlinson (2017)</w:t>
      </w:r>
      <w:r w:rsidR="00401EF1" w:rsidRPr="00650F05">
        <w:rPr>
          <w:rFonts w:ascii="Tahoma" w:hAnsi="Tahoma"/>
        </w:rPr>
        <w:t>, amongst others.</w:t>
      </w:r>
    </w:p>
    <w:p w14:paraId="71B2B611" w14:textId="77777777" w:rsidR="004A1956" w:rsidRPr="00650F05" w:rsidRDefault="004A1956" w:rsidP="006D139C">
      <w:pPr>
        <w:spacing w:line="480" w:lineRule="auto"/>
        <w:jc w:val="both"/>
        <w:rPr>
          <w:rFonts w:ascii="Tahoma" w:hAnsi="Tahoma"/>
        </w:rPr>
      </w:pPr>
    </w:p>
    <w:p w14:paraId="1764F82A" w14:textId="6918A65A" w:rsidR="00392C3C" w:rsidRPr="00650F05" w:rsidRDefault="00392C3C" w:rsidP="006D139C">
      <w:pPr>
        <w:spacing w:line="480" w:lineRule="auto"/>
        <w:jc w:val="both"/>
        <w:rPr>
          <w:rFonts w:ascii="Tahoma" w:hAnsi="Tahoma"/>
          <w:b/>
          <w:bCs/>
        </w:rPr>
      </w:pPr>
      <w:r w:rsidRPr="00650F05">
        <w:rPr>
          <w:rFonts w:ascii="Tahoma" w:hAnsi="Tahoma"/>
          <w:b/>
          <w:bCs/>
        </w:rPr>
        <w:t>Method</w:t>
      </w:r>
    </w:p>
    <w:p w14:paraId="18B671BC" w14:textId="0DC9454A" w:rsidR="00B46AE5" w:rsidRPr="00650F05" w:rsidRDefault="004903E2" w:rsidP="006D139C">
      <w:pPr>
        <w:spacing w:line="480" w:lineRule="auto"/>
        <w:jc w:val="both"/>
        <w:rPr>
          <w:rFonts w:ascii="Tahoma" w:hAnsi="Tahoma"/>
        </w:rPr>
      </w:pPr>
      <w:r w:rsidRPr="00650F05">
        <w:rPr>
          <w:rFonts w:ascii="Tahoma" w:hAnsi="Tahoma"/>
        </w:rPr>
        <w:t>T</w:t>
      </w:r>
      <w:r w:rsidR="00537625" w:rsidRPr="00650F05">
        <w:rPr>
          <w:rFonts w:ascii="Tahoma" w:hAnsi="Tahoma"/>
        </w:rPr>
        <w:t xml:space="preserve">he </w:t>
      </w:r>
      <w:r w:rsidR="009C3DF9" w:rsidRPr="00650F05">
        <w:rPr>
          <w:rFonts w:ascii="Tahoma" w:hAnsi="Tahoma"/>
        </w:rPr>
        <w:t>methodology</w:t>
      </w:r>
      <w:r w:rsidR="00537625" w:rsidRPr="00650F05">
        <w:rPr>
          <w:rFonts w:ascii="Tahoma" w:hAnsi="Tahoma"/>
        </w:rPr>
        <w:t xml:space="preserve"> </w:t>
      </w:r>
      <w:r w:rsidR="00B358E4" w:rsidRPr="00650F05">
        <w:rPr>
          <w:rFonts w:ascii="Tahoma" w:hAnsi="Tahoma"/>
        </w:rPr>
        <w:t>was</w:t>
      </w:r>
      <w:r w:rsidR="009C3DF9" w:rsidRPr="00650F05">
        <w:rPr>
          <w:rFonts w:ascii="Tahoma" w:hAnsi="Tahoma"/>
        </w:rPr>
        <w:t xml:space="preserve"> underpinned by an </w:t>
      </w:r>
      <w:r w:rsidR="006D139C" w:rsidRPr="00650F05">
        <w:rPr>
          <w:rFonts w:ascii="Tahoma" w:hAnsi="Tahoma"/>
        </w:rPr>
        <w:t xml:space="preserve">interpretivist </w:t>
      </w:r>
      <w:r w:rsidR="009C3DF9" w:rsidRPr="00650F05">
        <w:rPr>
          <w:rFonts w:ascii="Tahoma" w:hAnsi="Tahoma"/>
        </w:rPr>
        <w:t>research paradigm</w:t>
      </w:r>
      <w:r w:rsidR="006D139C" w:rsidRPr="00650F05">
        <w:rPr>
          <w:rFonts w:ascii="Tahoma" w:hAnsi="Tahoma"/>
        </w:rPr>
        <w:t xml:space="preserve">. The findings </w:t>
      </w:r>
      <w:r w:rsidR="006F3E62" w:rsidRPr="00650F05">
        <w:rPr>
          <w:rFonts w:ascii="Tahoma" w:hAnsi="Tahoma"/>
        </w:rPr>
        <w:t>have been</w:t>
      </w:r>
      <w:r w:rsidR="006D139C" w:rsidRPr="00650F05">
        <w:rPr>
          <w:rFonts w:ascii="Tahoma" w:hAnsi="Tahoma"/>
        </w:rPr>
        <w:t xml:space="preserve"> reflexively contextualised and comprise a truth, rather than the truth (McLeod, 2001), which is evident when applying methodology from the perspective of relativist epistemology of interpretivism.</w:t>
      </w:r>
      <w:r w:rsidR="00A868EE" w:rsidRPr="00650F05">
        <w:t xml:space="preserve"> </w:t>
      </w:r>
      <w:r w:rsidR="00A868EE" w:rsidRPr="00650F05">
        <w:rPr>
          <w:rFonts w:ascii="Tahoma" w:hAnsi="Tahoma"/>
        </w:rPr>
        <w:t xml:space="preserve">Reeves and Hedberg (2003, p.32) note that </w:t>
      </w:r>
      <w:r w:rsidR="00AF2D90" w:rsidRPr="00650F05">
        <w:rPr>
          <w:rFonts w:ascii="Tahoma" w:hAnsi="Tahoma"/>
        </w:rPr>
        <w:t>“</w:t>
      </w:r>
      <w:r w:rsidR="00A868EE" w:rsidRPr="00650F05">
        <w:rPr>
          <w:rFonts w:ascii="Tahoma" w:hAnsi="Tahoma"/>
        </w:rPr>
        <w:t>the interpretivist paradigm stresses the need to put analysis in context and that it is mostly concerned with understanding the world as it is from the subjective experiences of individuals</w:t>
      </w:r>
      <w:r w:rsidR="00AF2D90" w:rsidRPr="00650F05">
        <w:rPr>
          <w:rFonts w:ascii="Tahoma" w:hAnsi="Tahoma"/>
        </w:rPr>
        <w:t>”</w:t>
      </w:r>
      <w:r w:rsidRPr="00650F05">
        <w:rPr>
          <w:rFonts w:ascii="Tahoma" w:hAnsi="Tahoma"/>
        </w:rPr>
        <w:t>.</w:t>
      </w:r>
    </w:p>
    <w:p w14:paraId="3FBADD82" w14:textId="210BA232" w:rsidR="003704E9" w:rsidRPr="00650F05" w:rsidRDefault="00A868EE" w:rsidP="006532FB">
      <w:pPr>
        <w:spacing w:line="480" w:lineRule="auto"/>
        <w:jc w:val="both"/>
        <w:rPr>
          <w:rFonts w:ascii="Tahoma" w:hAnsi="Tahoma"/>
        </w:rPr>
      </w:pPr>
      <w:r w:rsidRPr="00650F05">
        <w:rPr>
          <w:rFonts w:ascii="Tahoma" w:hAnsi="Tahoma"/>
        </w:rPr>
        <w:t>Creswell (2003, p.8) believes that interpretivist research relies upon the “participants' views of the situation being studied” and is predominantly explored utilising a qualitative methodology.</w:t>
      </w:r>
      <w:r w:rsidR="008844F9" w:rsidRPr="00650F05">
        <w:rPr>
          <w:rFonts w:ascii="Tahoma" w:hAnsi="Tahoma"/>
        </w:rPr>
        <w:t xml:space="preserve"> </w:t>
      </w:r>
      <w:r w:rsidR="000777FC" w:rsidRPr="00650F05">
        <w:rPr>
          <w:rFonts w:ascii="Tahoma" w:hAnsi="Tahoma"/>
        </w:rPr>
        <w:t>Therefore, i</w:t>
      </w:r>
      <w:r w:rsidR="00C90FD5" w:rsidRPr="00650F05">
        <w:rPr>
          <w:rFonts w:ascii="Tahoma" w:hAnsi="Tahoma"/>
        </w:rPr>
        <w:t xml:space="preserve">n line with the interpretivist </w:t>
      </w:r>
      <w:r w:rsidR="00586AEF" w:rsidRPr="00650F05">
        <w:rPr>
          <w:rFonts w:ascii="Tahoma" w:hAnsi="Tahoma"/>
        </w:rPr>
        <w:t>paradigm</w:t>
      </w:r>
      <w:r w:rsidR="00C90FD5" w:rsidRPr="00650F05">
        <w:rPr>
          <w:rFonts w:ascii="Tahoma" w:hAnsi="Tahoma"/>
        </w:rPr>
        <w:t xml:space="preserve"> and based on the </w:t>
      </w:r>
      <w:r w:rsidR="006F3E62" w:rsidRPr="00650F05">
        <w:rPr>
          <w:rFonts w:ascii="Tahoma" w:hAnsi="Tahoma"/>
        </w:rPr>
        <w:t>requirement</w:t>
      </w:r>
      <w:r w:rsidR="00C90FD5" w:rsidRPr="00650F05">
        <w:rPr>
          <w:rFonts w:ascii="Tahoma" w:hAnsi="Tahoma"/>
        </w:rPr>
        <w:t xml:space="preserve"> to develop an understanding of students</w:t>
      </w:r>
      <w:r w:rsidR="00D341E5" w:rsidRPr="00650F05">
        <w:rPr>
          <w:rFonts w:ascii="Tahoma" w:hAnsi="Tahoma"/>
        </w:rPr>
        <w:t>’</w:t>
      </w:r>
      <w:r w:rsidR="0063652B" w:rsidRPr="00650F05">
        <w:rPr>
          <w:rFonts w:ascii="Tahoma" w:hAnsi="Tahoma"/>
        </w:rPr>
        <w:t xml:space="preserve"> </w:t>
      </w:r>
      <w:r w:rsidR="00D341E5" w:rsidRPr="00650F05">
        <w:rPr>
          <w:rFonts w:ascii="Tahoma" w:hAnsi="Tahoma"/>
        </w:rPr>
        <w:t>perceptions</w:t>
      </w:r>
      <w:r w:rsidR="00C90FD5" w:rsidRPr="00650F05">
        <w:rPr>
          <w:rFonts w:ascii="Tahoma" w:hAnsi="Tahoma"/>
        </w:rPr>
        <w:t xml:space="preserve">, a qualitative study design </w:t>
      </w:r>
      <w:r w:rsidR="00492AA7" w:rsidRPr="00650F05">
        <w:rPr>
          <w:rFonts w:ascii="Tahoma" w:hAnsi="Tahoma"/>
        </w:rPr>
        <w:t>was chosen,</w:t>
      </w:r>
      <w:r w:rsidR="00C90FD5" w:rsidRPr="00650F05">
        <w:rPr>
          <w:rFonts w:ascii="Tahoma" w:hAnsi="Tahoma"/>
        </w:rPr>
        <w:t xml:space="preserve"> </w:t>
      </w:r>
      <w:r w:rsidR="00492AA7" w:rsidRPr="00650F05">
        <w:rPr>
          <w:rFonts w:ascii="Tahoma" w:hAnsi="Tahoma"/>
        </w:rPr>
        <w:t xml:space="preserve">utilising </w:t>
      </w:r>
      <w:r w:rsidR="00C90FD5" w:rsidRPr="00650F05">
        <w:rPr>
          <w:rFonts w:ascii="Tahoma" w:hAnsi="Tahoma"/>
        </w:rPr>
        <w:t xml:space="preserve">semi-structured individual interviews as the primary method of data collection. Using semi-structured interviews decreases the influence of the researcher over the interview process and hence gives a more prominent role to the participants' opinion (Madriz, 2000). The </w:t>
      </w:r>
      <w:r w:rsidR="006D33B4" w:rsidRPr="00650F05">
        <w:rPr>
          <w:rFonts w:ascii="Tahoma" w:hAnsi="Tahoma"/>
        </w:rPr>
        <w:t xml:space="preserve">semi-structured </w:t>
      </w:r>
      <w:r w:rsidR="00C90FD5" w:rsidRPr="00650F05">
        <w:rPr>
          <w:rFonts w:ascii="Tahoma" w:hAnsi="Tahoma"/>
        </w:rPr>
        <w:t xml:space="preserve">interview </w:t>
      </w:r>
      <w:r w:rsidR="006D33B4" w:rsidRPr="00650F05">
        <w:rPr>
          <w:rFonts w:ascii="Tahoma" w:hAnsi="Tahoma"/>
        </w:rPr>
        <w:t xml:space="preserve">guide was </w:t>
      </w:r>
      <w:r w:rsidR="00C90FD5" w:rsidRPr="00650F05">
        <w:rPr>
          <w:rFonts w:ascii="Tahoma" w:hAnsi="Tahoma"/>
        </w:rPr>
        <w:t xml:space="preserve">based loosely on previous research conducted in the area by </w:t>
      </w:r>
      <w:r w:rsidR="00E54B1F" w:rsidRPr="00650F05">
        <w:rPr>
          <w:rFonts w:ascii="Tahoma" w:hAnsi="Tahoma"/>
        </w:rPr>
        <w:t xml:space="preserve">Garcia-Aracil et al. (2018), </w:t>
      </w:r>
      <w:r w:rsidR="0090468A" w:rsidRPr="00650F05">
        <w:rPr>
          <w:rFonts w:ascii="Tahoma" w:hAnsi="Tahoma"/>
        </w:rPr>
        <w:t xml:space="preserve">Gill (2021), </w:t>
      </w:r>
      <w:r w:rsidR="00E54B1F" w:rsidRPr="00650F05">
        <w:rPr>
          <w:rFonts w:ascii="Tahoma" w:hAnsi="Tahoma"/>
        </w:rPr>
        <w:t xml:space="preserve">and </w:t>
      </w:r>
      <w:r w:rsidR="00C90FD5" w:rsidRPr="00650F05">
        <w:rPr>
          <w:rFonts w:ascii="Tahoma" w:hAnsi="Tahoma"/>
        </w:rPr>
        <w:t>McSweeney</w:t>
      </w:r>
      <w:r w:rsidR="00DF5056" w:rsidRPr="00650F05">
        <w:rPr>
          <w:rFonts w:ascii="Tahoma" w:hAnsi="Tahoma"/>
        </w:rPr>
        <w:t xml:space="preserve"> and Williams</w:t>
      </w:r>
      <w:r w:rsidR="00C90FD5" w:rsidRPr="00650F05">
        <w:rPr>
          <w:rFonts w:ascii="Tahoma" w:hAnsi="Tahoma"/>
        </w:rPr>
        <w:t xml:space="preserve"> (201</w:t>
      </w:r>
      <w:r w:rsidR="00DF5056" w:rsidRPr="00650F05">
        <w:rPr>
          <w:rFonts w:ascii="Tahoma" w:hAnsi="Tahoma"/>
        </w:rPr>
        <w:t>9</w:t>
      </w:r>
      <w:r w:rsidR="00C90FD5" w:rsidRPr="00650F05">
        <w:rPr>
          <w:rFonts w:ascii="Tahoma" w:hAnsi="Tahoma"/>
        </w:rPr>
        <w:t>)</w:t>
      </w:r>
      <w:r w:rsidR="00E54B1F" w:rsidRPr="00650F05">
        <w:rPr>
          <w:rFonts w:ascii="Tahoma" w:hAnsi="Tahoma"/>
        </w:rPr>
        <w:t>.</w:t>
      </w:r>
    </w:p>
    <w:p w14:paraId="52D0D740" w14:textId="2D1EAD5C" w:rsidR="00555578" w:rsidRPr="00650F05" w:rsidRDefault="00555578" w:rsidP="006532FB">
      <w:pPr>
        <w:spacing w:line="480" w:lineRule="auto"/>
        <w:jc w:val="both"/>
        <w:rPr>
          <w:rFonts w:ascii="Tahoma" w:hAnsi="Tahoma"/>
        </w:rPr>
      </w:pPr>
      <w:r w:rsidRPr="00650F05">
        <w:rPr>
          <w:rFonts w:ascii="Tahoma" w:hAnsi="Tahoma"/>
        </w:rPr>
        <w:t>Having gained ethical approval, participants were recruited from a cohort of third year undergraduate students, enrolled on the final year of a sports related undergraduate degree course at a post-1992 HEI in the West Midlands</w:t>
      </w:r>
      <w:r w:rsidR="00846A00" w:rsidRPr="00650F05">
        <w:rPr>
          <w:rFonts w:ascii="Tahoma" w:hAnsi="Tahoma"/>
        </w:rPr>
        <w:t xml:space="preserve"> of England</w:t>
      </w:r>
      <w:r w:rsidRPr="00650F05">
        <w:rPr>
          <w:rFonts w:ascii="Tahoma" w:hAnsi="Tahoma"/>
        </w:rPr>
        <w:t xml:space="preserve">. A purposive sampling approach was utilised (Gill, 2021; Holt </w:t>
      </w:r>
      <w:r w:rsidRPr="002B4276">
        <w:rPr>
          <w:rFonts w:ascii="Tahoma" w:hAnsi="Tahoma"/>
          <w:i/>
          <w:iCs/>
        </w:rPr>
        <w:t>et al.,</w:t>
      </w:r>
      <w:r w:rsidRPr="00650F05">
        <w:rPr>
          <w:rFonts w:ascii="Tahoma" w:hAnsi="Tahoma"/>
        </w:rPr>
        <w:t xml:space="preserve"> 2012; Patton, 2002), with specific sampling criteria established a priori to recruit participants from non-traditional backgrounds who could provide the most insightful responses to the research question. Thirty-two third year students on sport and exercise undergraduate degree courses were invited to participate in th</w:t>
      </w:r>
      <w:r w:rsidR="001B343D" w:rsidRPr="00650F05">
        <w:rPr>
          <w:rFonts w:ascii="Tahoma" w:hAnsi="Tahoma"/>
        </w:rPr>
        <w:t>is small-scale</w:t>
      </w:r>
      <w:r w:rsidRPr="00650F05">
        <w:rPr>
          <w:rFonts w:ascii="Tahoma" w:hAnsi="Tahoma"/>
        </w:rPr>
        <w:t xml:space="preserve"> research</w:t>
      </w:r>
      <w:r w:rsidR="00670014" w:rsidRPr="00650F05">
        <w:rPr>
          <w:rFonts w:ascii="Tahoma" w:hAnsi="Tahoma"/>
        </w:rPr>
        <w:t xml:space="preserve"> project</w:t>
      </w:r>
      <w:r w:rsidRPr="00650F05">
        <w:rPr>
          <w:rFonts w:ascii="Tahoma" w:hAnsi="Tahoma"/>
        </w:rPr>
        <w:t xml:space="preserve">, with the </w:t>
      </w:r>
      <w:r w:rsidR="00926A24" w:rsidRPr="00650F05">
        <w:rPr>
          <w:rFonts w:ascii="Tahoma" w:hAnsi="Tahoma"/>
        </w:rPr>
        <w:t xml:space="preserve">following </w:t>
      </w:r>
      <w:r w:rsidRPr="00650F05">
        <w:rPr>
          <w:rFonts w:ascii="Tahoma" w:hAnsi="Tahoma"/>
        </w:rPr>
        <w:t>inclusion criteria</w:t>
      </w:r>
      <w:r w:rsidR="00926A24" w:rsidRPr="00650F05">
        <w:rPr>
          <w:rFonts w:ascii="Tahoma" w:hAnsi="Tahoma"/>
        </w:rPr>
        <w:t>:</w:t>
      </w:r>
      <w:r w:rsidRPr="00650F05">
        <w:rPr>
          <w:rFonts w:ascii="Tahoma" w:hAnsi="Tahoma"/>
        </w:rPr>
        <w:t xml:space="preserve"> students over the age of eighteen with </w:t>
      </w:r>
      <w:r w:rsidRPr="00650F05">
        <w:rPr>
          <w:rFonts w:ascii="Tahoma" w:hAnsi="Tahoma"/>
        </w:rPr>
        <w:lastRenderedPageBreak/>
        <w:t>no known vulnerabilities</w:t>
      </w:r>
      <w:r w:rsidR="00926A24" w:rsidRPr="00650F05">
        <w:rPr>
          <w:rFonts w:ascii="Tahoma" w:hAnsi="Tahoma"/>
        </w:rPr>
        <w:t>;</w:t>
      </w:r>
      <w:r w:rsidRPr="00650F05">
        <w:rPr>
          <w:rFonts w:ascii="Tahoma" w:hAnsi="Tahoma"/>
        </w:rPr>
        <w:t xml:space="preserve"> currently studying in semester two of their final year of study</w:t>
      </w:r>
      <w:r w:rsidR="00926A24" w:rsidRPr="00650F05">
        <w:rPr>
          <w:rFonts w:ascii="Tahoma" w:hAnsi="Tahoma"/>
        </w:rPr>
        <w:t>;</w:t>
      </w:r>
      <w:r w:rsidRPr="00650F05">
        <w:rPr>
          <w:rFonts w:ascii="Tahoma" w:hAnsi="Tahoma"/>
        </w:rPr>
        <w:t xml:space="preserve"> planning to progress into employment after university</w:t>
      </w:r>
      <w:r w:rsidR="00AB0298" w:rsidRPr="00650F05">
        <w:rPr>
          <w:rFonts w:ascii="Tahoma" w:hAnsi="Tahoma"/>
        </w:rPr>
        <w:t>;</w:t>
      </w:r>
      <w:r w:rsidRPr="00650F05">
        <w:rPr>
          <w:rFonts w:ascii="Tahoma" w:hAnsi="Tahoma"/>
        </w:rPr>
        <w:t xml:space="preserve"> residing within the </w:t>
      </w:r>
      <w:r w:rsidR="00A507D4" w:rsidRPr="00650F05">
        <w:rPr>
          <w:rFonts w:ascii="Tahoma" w:hAnsi="Tahoma"/>
        </w:rPr>
        <w:t>city</w:t>
      </w:r>
      <w:r w:rsidRPr="00650F05">
        <w:rPr>
          <w:rFonts w:ascii="Tahoma" w:hAnsi="Tahoma"/>
        </w:rPr>
        <w:t xml:space="preserve"> of Stoke on Trent. Fourteen students volunteered to participate in the research, with one student withdrawing their involvement in the project prior to data collection</w:t>
      </w:r>
      <w:r w:rsidR="006B5E48" w:rsidRPr="00650F05">
        <w:rPr>
          <w:rFonts w:ascii="Tahoma" w:hAnsi="Tahoma"/>
        </w:rPr>
        <w:t xml:space="preserve">, </w:t>
      </w:r>
      <w:r w:rsidR="00AB0298" w:rsidRPr="00650F05">
        <w:rPr>
          <w:rFonts w:ascii="Tahoma" w:hAnsi="Tahoma"/>
        </w:rPr>
        <w:t>producing</w:t>
      </w:r>
      <w:r w:rsidRPr="00650F05">
        <w:rPr>
          <w:rFonts w:ascii="Tahoma" w:hAnsi="Tahoma"/>
        </w:rPr>
        <w:t xml:space="preserve"> comparable </w:t>
      </w:r>
      <w:r w:rsidR="00AB0298" w:rsidRPr="00650F05">
        <w:rPr>
          <w:rFonts w:ascii="Tahoma" w:hAnsi="Tahoma"/>
        </w:rPr>
        <w:t xml:space="preserve">participant </w:t>
      </w:r>
      <w:r w:rsidRPr="00650F05">
        <w:rPr>
          <w:rFonts w:ascii="Tahoma" w:hAnsi="Tahoma"/>
        </w:rPr>
        <w:t>numbers to studies in the area by Pike and Harrison (2011) and McSweeney (2014). The mean age of the participants at the start of their involvement in the research was 2</w:t>
      </w:r>
      <w:r w:rsidR="00202EB7" w:rsidRPr="00650F05">
        <w:rPr>
          <w:rFonts w:ascii="Tahoma" w:hAnsi="Tahoma"/>
        </w:rPr>
        <w:t>3</w:t>
      </w:r>
      <w:r w:rsidRPr="00650F05">
        <w:rPr>
          <w:rFonts w:ascii="Tahoma" w:hAnsi="Tahoma"/>
        </w:rPr>
        <w:t>.2 years, with a standard deviation of 1.6 years.</w:t>
      </w:r>
    </w:p>
    <w:p w14:paraId="0F3367B0" w14:textId="709A1C09" w:rsidR="009D1BEA" w:rsidRPr="00650F05" w:rsidRDefault="000D191C" w:rsidP="006532FB">
      <w:pPr>
        <w:spacing w:line="480" w:lineRule="auto"/>
        <w:jc w:val="both"/>
        <w:rPr>
          <w:rFonts w:ascii="Tahoma" w:hAnsi="Tahoma"/>
        </w:rPr>
      </w:pPr>
      <w:r w:rsidRPr="00650F05">
        <w:rPr>
          <w:rFonts w:ascii="Tahoma" w:hAnsi="Tahoma"/>
        </w:rPr>
        <w:t>It</w:t>
      </w:r>
      <w:r w:rsidR="00495D63" w:rsidRPr="00650F05">
        <w:rPr>
          <w:rFonts w:ascii="Tahoma" w:hAnsi="Tahoma"/>
        </w:rPr>
        <w:t xml:space="preserve"> was important that the </w:t>
      </w:r>
      <w:r w:rsidR="00822B5C" w:rsidRPr="00650F05">
        <w:rPr>
          <w:rFonts w:ascii="Tahoma" w:hAnsi="Tahoma"/>
        </w:rPr>
        <w:t xml:space="preserve">participants from non-traditional backgrounds </w:t>
      </w:r>
      <w:r w:rsidR="009D1BEA" w:rsidRPr="00650F05">
        <w:rPr>
          <w:rFonts w:ascii="Tahoma" w:hAnsi="Tahoma"/>
        </w:rPr>
        <w:t>came from the city of Stoke on Trent</w:t>
      </w:r>
      <w:r w:rsidR="00113BEC" w:rsidRPr="00650F05">
        <w:rPr>
          <w:rFonts w:ascii="Tahoma" w:hAnsi="Tahoma"/>
        </w:rPr>
        <w:t xml:space="preserve"> in the West Midlands of England</w:t>
      </w:r>
      <w:r w:rsidR="009D1BEA" w:rsidRPr="00650F05">
        <w:rPr>
          <w:rFonts w:ascii="Tahoma" w:hAnsi="Tahoma"/>
        </w:rPr>
        <w:t xml:space="preserve">, where the post-1992 HEI is </w:t>
      </w:r>
      <w:r w:rsidR="00211A2B" w:rsidRPr="00650F05">
        <w:rPr>
          <w:rFonts w:ascii="Tahoma" w:hAnsi="Tahoma"/>
        </w:rPr>
        <w:t>located,</w:t>
      </w:r>
      <w:r w:rsidR="00C3521C" w:rsidRPr="00650F05">
        <w:rPr>
          <w:rFonts w:ascii="Tahoma" w:hAnsi="Tahoma"/>
        </w:rPr>
        <w:t xml:space="preserve"> and </w:t>
      </w:r>
      <w:r w:rsidR="009D1BEA" w:rsidRPr="00650F05">
        <w:rPr>
          <w:rFonts w:ascii="Tahoma" w:hAnsi="Tahoma"/>
        </w:rPr>
        <w:t xml:space="preserve">which is </w:t>
      </w:r>
      <w:r w:rsidR="00C3521C" w:rsidRPr="00650F05">
        <w:rPr>
          <w:rFonts w:ascii="Tahoma" w:hAnsi="Tahoma"/>
        </w:rPr>
        <w:t xml:space="preserve">an area </w:t>
      </w:r>
      <w:r w:rsidR="009D1BEA" w:rsidRPr="00650F05">
        <w:rPr>
          <w:rFonts w:ascii="Tahoma" w:hAnsi="Tahoma"/>
        </w:rPr>
        <w:t xml:space="preserve">characterised by high levels of </w:t>
      </w:r>
      <w:r w:rsidR="00133EF8" w:rsidRPr="00650F05">
        <w:rPr>
          <w:rFonts w:ascii="Tahoma" w:hAnsi="Tahoma"/>
        </w:rPr>
        <w:t xml:space="preserve">social </w:t>
      </w:r>
      <w:r w:rsidR="009D1BEA" w:rsidRPr="00650F05">
        <w:rPr>
          <w:rFonts w:ascii="Tahoma" w:hAnsi="Tahoma"/>
        </w:rPr>
        <w:t xml:space="preserve">deprivation. </w:t>
      </w:r>
      <w:r w:rsidR="004A1956" w:rsidRPr="00650F05">
        <w:rPr>
          <w:rFonts w:ascii="Tahoma" w:hAnsi="Tahoma"/>
        </w:rPr>
        <w:t>The Indices of Multiple Deprivation 2019</w:t>
      </w:r>
      <w:r w:rsidR="009D1BEA" w:rsidRPr="00650F05">
        <w:rPr>
          <w:rFonts w:ascii="Tahoma" w:hAnsi="Tahoma"/>
        </w:rPr>
        <w:t xml:space="preserve"> ranked the area as the </w:t>
      </w:r>
      <w:r w:rsidR="00A507D4" w:rsidRPr="00650F05">
        <w:rPr>
          <w:rFonts w:ascii="Tahoma" w:hAnsi="Tahoma"/>
        </w:rPr>
        <w:t>thirteenth</w:t>
      </w:r>
      <w:r w:rsidR="009D1BEA" w:rsidRPr="00650F05">
        <w:rPr>
          <w:rFonts w:ascii="Tahoma" w:hAnsi="Tahoma"/>
        </w:rPr>
        <w:t xml:space="preserve"> most deprived local authority (out of 317) in England, with over half of areas classified among the most deprived </w:t>
      </w:r>
      <w:r w:rsidR="00A507D4" w:rsidRPr="00650F05">
        <w:rPr>
          <w:rFonts w:ascii="Tahoma" w:hAnsi="Tahoma"/>
        </w:rPr>
        <w:t>twenty percent</w:t>
      </w:r>
      <w:r w:rsidR="009D1BEA" w:rsidRPr="00650F05">
        <w:rPr>
          <w:rFonts w:ascii="Tahoma" w:hAnsi="Tahoma"/>
        </w:rPr>
        <w:t xml:space="preserve"> in England, and approximately one-third of areas (32%) fall in</w:t>
      </w:r>
      <w:r w:rsidR="00834E44" w:rsidRPr="00650F05">
        <w:rPr>
          <w:rFonts w:ascii="Tahoma" w:hAnsi="Tahoma"/>
        </w:rPr>
        <w:t>to</w:t>
      </w:r>
      <w:r w:rsidR="009D1BEA" w:rsidRPr="00650F05">
        <w:rPr>
          <w:rFonts w:ascii="Tahoma" w:hAnsi="Tahoma"/>
        </w:rPr>
        <w:t xml:space="preserve"> the most deprived </w:t>
      </w:r>
      <w:r w:rsidR="00A507D4" w:rsidRPr="00650F05">
        <w:rPr>
          <w:rFonts w:ascii="Tahoma" w:hAnsi="Tahoma"/>
        </w:rPr>
        <w:t>ten percent</w:t>
      </w:r>
      <w:r w:rsidR="009D1BEA" w:rsidRPr="00650F05">
        <w:rPr>
          <w:rFonts w:ascii="Tahoma" w:hAnsi="Tahoma"/>
        </w:rPr>
        <w:t xml:space="preserve"> </w:t>
      </w:r>
      <w:r w:rsidR="00834E44" w:rsidRPr="00650F05">
        <w:rPr>
          <w:rFonts w:ascii="Tahoma" w:hAnsi="Tahoma"/>
        </w:rPr>
        <w:t>of area</w:t>
      </w:r>
      <w:r w:rsidR="00C55728" w:rsidRPr="00650F05">
        <w:rPr>
          <w:rFonts w:ascii="Tahoma" w:hAnsi="Tahoma"/>
        </w:rPr>
        <w:t>s</w:t>
      </w:r>
      <w:r w:rsidR="00834E44" w:rsidRPr="00650F05">
        <w:rPr>
          <w:rFonts w:ascii="Tahoma" w:hAnsi="Tahoma"/>
        </w:rPr>
        <w:t xml:space="preserve"> in England </w:t>
      </w:r>
      <w:r w:rsidR="009D1BEA" w:rsidRPr="00650F05">
        <w:rPr>
          <w:rFonts w:ascii="Tahoma" w:hAnsi="Tahoma"/>
        </w:rPr>
        <w:t>(Public Health England, 2020).</w:t>
      </w:r>
    </w:p>
    <w:p w14:paraId="0281DE06" w14:textId="1BE94697" w:rsidR="00A6721E" w:rsidRPr="00650F05" w:rsidRDefault="00555578" w:rsidP="006532FB">
      <w:pPr>
        <w:spacing w:line="480" w:lineRule="auto"/>
        <w:jc w:val="both"/>
        <w:rPr>
          <w:rFonts w:ascii="Tahoma" w:hAnsi="Tahoma"/>
        </w:rPr>
      </w:pPr>
      <w:r w:rsidRPr="00650F05">
        <w:rPr>
          <w:rFonts w:ascii="Tahoma" w:hAnsi="Tahoma"/>
        </w:rPr>
        <w:t>T</w:t>
      </w:r>
      <w:r w:rsidR="00C90FD5" w:rsidRPr="00650F05">
        <w:rPr>
          <w:rFonts w:ascii="Tahoma" w:hAnsi="Tahoma"/>
        </w:rPr>
        <w:t>he</w:t>
      </w:r>
      <w:r w:rsidR="00D87B4D" w:rsidRPr="00650F05">
        <w:rPr>
          <w:rFonts w:ascii="Tahoma" w:hAnsi="Tahoma"/>
        </w:rPr>
        <w:t xml:space="preserve"> semi-structured individual</w:t>
      </w:r>
      <w:r w:rsidR="00C90FD5" w:rsidRPr="00650F05">
        <w:rPr>
          <w:rFonts w:ascii="Tahoma" w:hAnsi="Tahoma"/>
        </w:rPr>
        <w:t xml:space="preserve"> interviews </w:t>
      </w:r>
      <w:r w:rsidR="0090468A" w:rsidRPr="00650F05">
        <w:rPr>
          <w:rFonts w:ascii="Tahoma" w:hAnsi="Tahoma"/>
        </w:rPr>
        <w:t>were</w:t>
      </w:r>
      <w:r w:rsidR="00C90FD5" w:rsidRPr="00650F05">
        <w:rPr>
          <w:rFonts w:ascii="Tahoma" w:hAnsi="Tahoma"/>
        </w:rPr>
        <w:t xml:space="preserve"> conducted via Microsoft Teams and </w:t>
      </w:r>
      <w:r w:rsidR="0090468A" w:rsidRPr="00650F05">
        <w:rPr>
          <w:rFonts w:ascii="Tahoma" w:hAnsi="Tahoma"/>
        </w:rPr>
        <w:t>lasted</w:t>
      </w:r>
      <w:r w:rsidR="00C90FD5" w:rsidRPr="00650F05">
        <w:rPr>
          <w:rFonts w:ascii="Tahoma" w:hAnsi="Tahoma"/>
        </w:rPr>
        <w:t xml:space="preserve"> for an average duration of </w:t>
      </w:r>
      <w:r w:rsidR="00BD117F" w:rsidRPr="00650F05">
        <w:rPr>
          <w:rFonts w:ascii="Tahoma" w:hAnsi="Tahoma"/>
        </w:rPr>
        <w:t>forty-six</w:t>
      </w:r>
      <w:r w:rsidR="00FE1689" w:rsidRPr="00650F05">
        <w:rPr>
          <w:rFonts w:ascii="Tahoma" w:hAnsi="Tahoma"/>
        </w:rPr>
        <w:t xml:space="preserve"> </w:t>
      </w:r>
      <w:r w:rsidR="00C90FD5" w:rsidRPr="00650F05">
        <w:rPr>
          <w:rFonts w:ascii="Tahoma" w:hAnsi="Tahoma"/>
        </w:rPr>
        <w:t>minutes per interview</w:t>
      </w:r>
      <w:r w:rsidR="00BD117F" w:rsidRPr="00650F05">
        <w:rPr>
          <w:rFonts w:ascii="Tahoma" w:hAnsi="Tahoma"/>
        </w:rPr>
        <w:t xml:space="preserve">, </w:t>
      </w:r>
      <w:r w:rsidR="007237B4" w:rsidRPr="00650F05">
        <w:rPr>
          <w:rFonts w:ascii="Tahoma" w:hAnsi="Tahoma"/>
        </w:rPr>
        <w:t>equating to</w:t>
      </w:r>
      <w:r w:rsidR="00BD117F" w:rsidRPr="00650F05">
        <w:rPr>
          <w:rFonts w:ascii="Tahoma" w:hAnsi="Tahoma"/>
        </w:rPr>
        <w:t xml:space="preserve"> a cumulative </w:t>
      </w:r>
      <w:r w:rsidR="00DD4DE7" w:rsidRPr="00650F05">
        <w:rPr>
          <w:rFonts w:ascii="Tahoma" w:hAnsi="Tahoma"/>
        </w:rPr>
        <w:t>duration</w:t>
      </w:r>
      <w:r w:rsidR="00BD117F" w:rsidRPr="00650F05">
        <w:rPr>
          <w:rFonts w:ascii="Tahoma" w:hAnsi="Tahoma"/>
        </w:rPr>
        <w:t xml:space="preserve"> of nine</w:t>
      </w:r>
      <w:r w:rsidR="002C52E8" w:rsidRPr="00650F05">
        <w:rPr>
          <w:rFonts w:ascii="Tahoma" w:hAnsi="Tahoma"/>
        </w:rPr>
        <w:t xml:space="preserve"> hours and </w:t>
      </w:r>
      <w:r w:rsidR="00BD117F" w:rsidRPr="00650F05">
        <w:rPr>
          <w:rFonts w:ascii="Tahoma" w:hAnsi="Tahoma"/>
        </w:rPr>
        <w:t>fifty-eight minutes</w:t>
      </w:r>
      <w:r w:rsidR="00C90FD5" w:rsidRPr="00650F05">
        <w:rPr>
          <w:rFonts w:ascii="Tahoma" w:hAnsi="Tahoma"/>
        </w:rPr>
        <w:t xml:space="preserve">. The semi-structured interviews </w:t>
      </w:r>
      <w:r w:rsidR="007E38A7" w:rsidRPr="00650F05">
        <w:rPr>
          <w:rFonts w:ascii="Tahoma" w:hAnsi="Tahoma"/>
        </w:rPr>
        <w:t>were</w:t>
      </w:r>
      <w:r w:rsidR="00C90FD5" w:rsidRPr="00650F05">
        <w:rPr>
          <w:rFonts w:ascii="Tahoma" w:hAnsi="Tahoma"/>
        </w:rPr>
        <w:t xml:space="preserve"> audio-recorded</w:t>
      </w:r>
      <w:r w:rsidR="004948AE" w:rsidRPr="00650F05">
        <w:rPr>
          <w:rFonts w:ascii="Tahoma" w:hAnsi="Tahoma"/>
        </w:rPr>
        <w:t xml:space="preserve"> to</w:t>
      </w:r>
      <w:r w:rsidR="00C90FD5" w:rsidRPr="00650F05">
        <w:rPr>
          <w:rFonts w:ascii="Tahoma" w:hAnsi="Tahoma"/>
        </w:rPr>
        <w:t xml:space="preserve"> </w:t>
      </w:r>
      <w:r w:rsidR="004948AE" w:rsidRPr="00650F05">
        <w:rPr>
          <w:rFonts w:ascii="Tahoma" w:hAnsi="Tahoma"/>
        </w:rPr>
        <w:t xml:space="preserve">ensure </w:t>
      </w:r>
      <w:r w:rsidR="00C90FD5" w:rsidRPr="00650F05">
        <w:rPr>
          <w:rFonts w:ascii="Tahoma" w:hAnsi="Tahoma"/>
        </w:rPr>
        <w:t xml:space="preserve">information </w:t>
      </w:r>
      <w:r w:rsidR="0078710A" w:rsidRPr="00650F05">
        <w:rPr>
          <w:rFonts w:ascii="Tahoma" w:hAnsi="Tahoma"/>
        </w:rPr>
        <w:t>was</w:t>
      </w:r>
      <w:r w:rsidR="00224E48" w:rsidRPr="00650F05">
        <w:rPr>
          <w:rFonts w:ascii="Tahoma" w:hAnsi="Tahoma"/>
        </w:rPr>
        <w:t xml:space="preserve"> accurately</w:t>
      </w:r>
      <w:r w:rsidR="00C90FD5" w:rsidRPr="00650F05">
        <w:rPr>
          <w:rFonts w:ascii="Tahoma" w:hAnsi="Tahoma"/>
        </w:rPr>
        <w:t xml:space="preserve"> recalled </w:t>
      </w:r>
      <w:r w:rsidR="004948AE" w:rsidRPr="00650F05">
        <w:rPr>
          <w:rFonts w:ascii="Tahoma" w:hAnsi="Tahoma"/>
        </w:rPr>
        <w:t>when transcribing</w:t>
      </w:r>
      <w:r w:rsidR="00FF019D" w:rsidRPr="00650F05">
        <w:rPr>
          <w:rFonts w:ascii="Tahoma" w:hAnsi="Tahoma"/>
        </w:rPr>
        <w:t>,</w:t>
      </w:r>
      <w:r w:rsidR="00C90FD5" w:rsidRPr="00650F05">
        <w:rPr>
          <w:rFonts w:ascii="Tahoma" w:hAnsi="Tahoma"/>
        </w:rPr>
        <w:t xml:space="preserve"> using a naturalistic approach. </w:t>
      </w:r>
      <w:r w:rsidR="00855C2C" w:rsidRPr="00650F05">
        <w:rPr>
          <w:rFonts w:ascii="Tahoma" w:hAnsi="Tahoma"/>
        </w:rPr>
        <w:t xml:space="preserve">In </w:t>
      </w:r>
      <w:r w:rsidR="003518A9" w:rsidRPr="00650F05">
        <w:rPr>
          <w:rFonts w:ascii="Tahoma" w:hAnsi="Tahoma"/>
        </w:rPr>
        <w:t xml:space="preserve">accordance </w:t>
      </w:r>
      <w:r w:rsidR="005B576B" w:rsidRPr="00650F05">
        <w:rPr>
          <w:rFonts w:ascii="Tahoma" w:hAnsi="Tahoma"/>
        </w:rPr>
        <w:t>with Birt et al. (2016)</w:t>
      </w:r>
      <w:r w:rsidR="00890C76" w:rsidRPr="00650F05">
        <w:rPr>
          <w:rFonts w:ascii="Tahoma" w:hAnsi="Tahoma"/>
        </w:rPr>
        <w:t xml:space="preserve"> </w:t>
      </w:r>
      <w:r w:rsidR="00FF3CAA" w:rsidRPr="00650F05">
        <w:rPr>
          <w:rFonts w:ascii="Tahoma" w:hAnsi="Tahoma"/>
        </w:rPr>
        <w:t>good practice etiquette</w:t>
      </w:r>
      <w:r w:rsidR="00042BFF" w:rsidRPr="00650F05">
        <w:rPr>
          <w:rFonts w:ascii="Tahoma" w:hAnsi="Tahoma"/>
        </w:rPr>
        <w:t>,</w:t>
      </w:r>
      <w:r w:rsidR="00855C2C" w:rsidRPr="00650F05">
        <w:rPr>
          <w:rFonts w:ascii="Tahoma" w:hAnsi="Tahoma"/>
        </w:rPr>
        <w:t xml:space="preserve"> t</w:t>
      </w:r>
      <w:r w:rsidR="00C90FD5" w:rsidRPr="00650F05">
        <w:rPr>
          <w:rFonts w:ascii="Tahoma" w:hAnsi="Tahoma"/>
        </w:rPr>
        <w:t xml:space="preserve">ranscript </w:t>
      </w:r>
      <w:r w:rsidR="00471A3D" w:rsidRPr="00650F05">
        <w:rPr>
          <w:rFonts w:ascii="Tahoma" w:hAnsi="Tahoma"/>
        </w:rPr>
        <w:t xml:space="preserve">member checking </w:t>
      </w:r>
      <w:r w:rsidR="00C874C8" w:rsidRPr="00650F05">
        <w:rPr>
          <w:rFonts w:ascii="Tahoma" w:hAnsi="Tahoma"/>
        </w:rPr>
        <w:t>was utilise</w:t>
      </w:r>
      <w:r w:rsidR="008C5FE0" w:rsidRPr="00650F05">
        <w:rPr>
          <w:rFonts w:ascii="Tahoma" w:hAnsi="Tahoma"/>
        </w:rPr>
        <w:t>d</w:t>
      </w:r>
      <w:r w:rsidR="005B576B" w:rsidRPr="00650F05">
        <w:rPr>
          <w:rFonts w:ascii="Tahoma" w:hAnsi="Tahoma"/>
        </w:rPr>
        <w:t>, with</w:t>
      </w:r>
      <w:r w:rsidR="00855C2C" w:rsidRPr="00650F05">
        <w:rPr>
          <w:rFonts w:ascii="Tahoma" w:hAnsi="Tahoma"/>
        </w:rPr>
        <w:t xml:space="preserve"> </w:t>
      </w:r>
      <w:r w:rsidR="00C874C8" w:rsidRPr="00650F05">
        <w:rPr>
          <w:rFonts w:ascii="Tahoma" w:hAnsi="Tahoma"/>
        </w:rPr>
        <w:t>transcribed interviews</w:t>
      </w:r>
      <w:r w:rsidR="00855C2C" w:rsidRPr="00650F05">
        <w:rPr>
          <w:rFonts w:ascii="Tahoma" w:hAnsi="Tahoma"/>
        </w:rPr>
        <w:t xml:space="preserve"> </w:t>
      </w:r>
      <w:r w:rsidR="00C874C8" w:rsidRPr="00650F05">
        <w:rPr>
          <w:rFonts w:ascii="Tahoma" w:hAnsi="Tahoma"/>
        </w:rPr>
        <w:t xml:space="preserve">sent </w:t>
      </w:r>
      <w:r w:rsidR="00BE253C" w:rsidRPr="00650F05">
        <w:rPr>
          <w:rFonts w:ascii="Tahoma" w:hAnsi="Tahoma"/>
        </w:rPr>
        <w:t xml:space="preserve">back </w:t>
      </w:r>
      <w:r w:rsidR="00C874C8" w:rsidRPr="00650F05">
        <w:rPr>
          <w:rFonts w:ascii="Tahoma" w:hAnsi="Tahoma"/>
        </w:rPr>
        <w:t xml:space="preserve">to </w:t>
      </w:r>
      <w:r w:rsidR="00855C2C" w:rsidRPr="00650F05">
        <w:rPr>
          <w:rFonts w:ascii="Tahoma" w:hAnsi="Tahoma"/>
        </w:rPr>
        <w:t>participants</w:t>
      </w:r>
      <w:r w:rsidR="00C874C8" w:rsidRPr="00650F05">
        <w:rPr>
          <w:rFonts w:ascii="Tahoma" w:hAnsi="Tahoma"/>
        </w:rPr>
        <w:t xml:space="preserve"> </w:t>
      </w:r>
      <w:r w:rsidR="005B576B" w:rsidRPr="00650F05">
        <w:rPr>
          <w:rFonts w:ascii="Tahoma" w:hAnsi="Tahoma"/>
        </w:rPr>
        <w:t>to engage with and add to</w:t>
      </w:r>
      <w:r w:rsidR="00BE253C" w:rsidRPr="00650F05">
        <w:rPr>
          <w:rFonts w:ascii="Tahoma" w:hAnsi="Tahoma"/>
        </w:rPr>
        <w:t xml:space="preserve"> where appropriate;</w:t>
      </w:r>
      <w:r w:rsidR="00890C76" w:rsidRPr="00650F05">
        <w:rPr>
          <w:rFonts w:ascii="Tahoma" w:hAnsi="Tahoma"/>
        </w:rPr>
        <w:t xml:space="preserve"> with a focus upon </w:t>
      </w:r>
      <w:r w:rsidR="00C874C8" w:rsidRPr="00650F05">
        <w:rPr>
          <w:rFonts w:ascii="Tahoma" w:hAnsi="Tahoma"/>
        </w:rPr>
        <w:t>clarity and accuracy</w:t>
      </w:r>
      <w:r w:rsidR="00890C76" w:rsidRPr="00650F05">
        <w:rPr>
          <w:rFonts w:ascii="Tahoma" w:hAnsi="Tahoma"/>
        </w:rPr>
        <w:t xml:space="preserve"> of original </w:t>
      </w:r>
      <w:r w:rsidR="00BE253C" w:rsidRPr="00650F05">
        <w:rPr>
          <w:rFonts w:ascii="Tahoma" w:hAnsi="Tahoma"/>
        </w:rPr>
        <w:t>transcriptions</w:t>
      </w:r>
      <w:r w:rsidR="00C874C8" w:rsidRPr="00650F05">
        <w:rPr>
          <w:rFonts w:ascii="Tahoma" w:hAnsi="Tahoma" w:cs="Tahoma"/>
        </w:rPr>
        <w:t>.</w:t>
      </w:r>
      <w:r w:rsidR="005B576B" w:rsidRPr="00650F05">
        <w:rPr>
          <w:rFonts w:ascii="Tahoma" w:hAnsi="Tahoma" w:cs="Tahoma"/>
        </w:rPr>
        <w:t xml:space="preserve"> </w:t>
      </w:r>
      <w:r w:rsidR="00353611" w:rsidRPr="00650F05">
        <w:rPr>
          <w:rFonts w:ascii="Tahoma" w:hAnsi="Tahoma" w:cs="Tahoma"/>
        </w:rPr>
        <w:t xml:space="preserve">Birt et al. (2016) and </w:t>
      </w:r>
      <w:r w:rsidR="00C90FD5" w:rsidRPr="00650F05">
        <w:rPr>
          <w:rFonts w:ascii="Tahoma" w:hAnsi="Tahoma"/>
        </w:rPr>
        <w:t>Merrill (</w:t>
      </w:r>
      <w:r w:rsidR="00AF2959" w:rsidRPr="00650F05">
        <w:rPr>
          <w:rFonts w:ascii="Tahoma" w:hAnsi="Tahoma"/>
        </w:rPr>
        <w:t>2015</w:t>
      </w:r>
      <w:r w:rsidR="00C90FD5" w:rsidRPr="00650F05">
        <w:rPr>
          <w:rFonts w:ascii="Tahoma" w:hAnsi="Tahoma"/>
        </w:rPr>
        <w:t xml:space="preserve">) </w:t>
      </w:r>
      <w:r w:rsidR="00353611" w:rsidRPr="00650F05">
        <w:rPr>
          <w:rFonts w:ascii="Tahoma" w:hAnsi="Tahoma"/>
        </w:rPr>
        <w:t xml:space="preserve">believe </w:t>
      </w:r>
      <w:r w:rsidR="00C90FD5" w:rsidRPr="00650F05">
        <w:rPr>
          <w:rFonts w:ascii="Tahoma" w:hAnsi="Tahoma"/>
        </w:rPr>
        <w:t>that this strategy is useful in</w:t>
      </w:r>
      <w:r w:rsidR="003518A9" w:rsidRPr="00650F05">
        <w:rPr>
          <w:rFonts w:ascii="Tahoma" w:hAnsi="Tahoma"/>
        </w:rPr>
        <w:t xml:space="preserve"> </w:t>
      </w:r>
      <w:r w:rsidR="00353611" w:rsidRPr="00650F05">
        <w:rPr>
          <w:rFonts w:ascii="Tahoma" w:hAnsi="Tahoma"/>
        </w:rPr>
        <w:t>helping to build trustworthiness.</w:t>
      </w:r>
    </w:p>
    <w:p w14:paraId="516DDA64" w14:textId="6C51BD47" w:rsidR="004A1956" w:rsidRPr="00650F05" w:rsidRDefault="00B0321C" w:rsidP="00B709E2">
      <w:pPr>
        <w:spacing w:line="480" w:lineRule="auto"/>
        <w:jc w:val="both"/>
        <w:rPr>
          <w:rFonts w:ascii="Tahoma" w:hAnsi="Tahoma"/>
        </w:rPr>
      </w:pPr>
      <w:r w:rsidRPr="00650F05">
        <w:rPr>
          <w:rFonts w:ascii="Tahoma" w:hAnsi="Tahoma"/>
        </w:rPr>
        <w:t>T</w:t>
      </w:r>
      <w:r w:rsidR="008B0888" w:rsidRPr="00650F05">
        <w:rPr>
          <w:rFonts w:ascii="Tahoma" w:hAnsi="Tahoma"/>
        </w:rPr>
        <w:t xml:space="preserve">hematic analysis was </w:t>
      </w:r>
      <w:r w:rsidR="00475528" w:rsidRPr="00650F05">
        <w:rPr>
          <w:rFonts w:ascii="Tahoma" w:hAnsi="Tahoma"/>
        </w:rPr>
        <w:t xml:space="preserve">used </w:t>
      </w:r>
      <w:r w:rsidR="006532FB" w:rsidRPr="00650F05">
        <w:rPr>
          <w:rFonts w:ascii="Tahoma" w:hAnsi="Tahoma"/>
        </w:rPr>
        <w:t>to</w:t>
      </w:r>
      <w:r w:rsidR="00194C3C" w:rsidRPr="00650F05">
        <w:rPr>
          <w:rFonts w:ascii="Tahoma" w:hAnsi="Tahoma"/>
        </w:rPr>
        <w:t xml:space="preserve"> identify, analyse, and report upon patterns (themes) within </w:t>
      </w:r>
      <w:r w:rsidR="000552B8" w:rsidRPr="00650F05">
        <w:rPr>
          <w:rFonts w:ascii="Tahoma" w:hAnsi="Tahoma"/>
        </w:rPr>
        <w:t xml:space="preserve">the </w:t>
      </w:r>
      <w:r w:rsidR="00194C3C" w:rsidRPr="00650F05">
        <w:rPr>
          <w:rFonts w:ascii="Tahoma" w:hAnsi="Tahoma"/>
        </w:rPr>
        <w:t>data</w:t>
      </w:r>
      <w:r w:rsidR="00122DA1" w:rsidRPr="00650F05">
        <w:rPr>
          <w:rFonts w:ascii="Tahoma" w:hAnsi="Tahoma"/>
        </w:rPr>
        <w:t xml:space="preserve">, ultimately </w:t>
      </w:r>
      <w:r w:rsidR="00157C27" w:rsidRPr="00650F05">
        <w:rPr>
          <w:rFonts w:ascii="Tahoma" w:hAnsi="Tahoma"/>
        </w:rPr>
        <w:t xml:space="preserve">helping </w:t>
      </w:r>
      <w:r w:rsidR="001A687B" w:rsidRPr="00650F05">
        <w:rPr>
          <w:rFonts w:ascii="Tahoma" w:hAnsi="Tahoma"/>
        </w:rPr>
        <w:t xml:space="preserve">to </w:t>
      </w:r>
      <w:r w:rsidR="00157C27" w:rsidRPr="00650F05">
        <w:rPr>
          <w:rFonts w:ascii="Tahoma" w:hAnsi="Tahoma"/>
        </w:rPr>
        <w:t>interpret various aspects of the research topic (Braun and Clarke</w:t>
      </w:r>
      <w:r w:rsidR="00FA0A0D" w:rsidRPr="00650F05">
        <w:rPr>
          <w:rFonts w:ascii="Tahoma" w:hAnsi="Tahoma"/>
        </w:rPr>
        <w:t>, 2006)</w:t>
      </w:r>
      <w:r w:rsidR="000552B8" w:rsidRPr="00650F05">
        <w:rPr>
          <w:rFonts w:ascii="Tahoma" w:hAnsi="Tahoma"/>
        </w:rPr>
        <w:t xml:space="preserve">. </w:t>
      </w:r>
      <w:r w:rsidR="007E5CF2" w:rsidRPr="00650F05">
        <w:rPr>
          <w:rFonts w:ascii="Tahoma" w:hAnsi="Tahoma"/>
        </w:rPr>
        <w:t>Gratton and Jones’</w:t>
      </w:r>
      <w:r w:rsidR="000552B8" w:rsidRPr="00650F05">
        <w:rPr>
          <w:rFonts w:ascii="Tahoma" w:hAnsi="Tahoma"/>
        </w:rPr>
        <w:t xml:space="preserve"> (20</w:t>
      </w:r>
      <w:r w:rsidR="007E5CF2" w:rsidRPr="00650F05">
        <w:rPr>
          <w:rFonts w:ascii="Tahoma" w:hAnsi="Tahoma"/>
        </w:rPr>
        <w:t>10</w:t>
      </w:r>
      <w:r w:rsidR="000552B8" w:rsidRPr="00650F05">
        <w:rPr>
          <w:rFonts w:ascii="Tahoma" w:hAnsi="Tahoma"/>
        </w:rPr>
        <w:t>)</w:t>
      </w:r>
      <w:r w:rsidR="00B71E91" w:rsidRPr="00650F05">
        <w:rPr>
          <w:rFonts w:ascii="Tahoma" w:hAnsi="Tahoma"/>
        </w:rPr>
        <w:t xml:space="preserve"> guidelines were utilised </w:t>
      </w:r>
      <w:r w:rsidR="00A1693E" w:rsidRPr="00650F05">
        <w:rPr>
          <w:rFonts w:ascii="Tahoma" w:hAnsi="Tahoma"/>
        </w:rPr>
        <w:t xml:space="preserve">for </w:t>
      </w:r>
      <w:r w:rsidR="00F723AE" w:rsidRPr="00650F05">
        <w:rPr>
          <w:rFonts w:ascii="Tahoma" w:hAnsi="Tahoma"/>
        </w:rPr>
        <w:t xml:space="preserve">the </w:t>
      </w:r>
      <w:r w:rsidR="00A1693E" w:rsidRPr="00650F05">
        <w:rPr>
          <w:rFonts w:ascii="Tahoma" w:hAnsi="Tahoma"/>
        </w:rPr>
        <w:t xml:space="preserve">thematic analysis </w:t>
      </w:r>
      <w:r w:rsidR="00B71E91" w:rsidRPr="00650F05">
        <w:rPr>
          <w:rFonts w:ascii="Tahoma" w:hAnsi="Tahoma"/>
        </w:rPr>
        <w:t xml:space="preserve">to </w:t>
      </w:r>
      <w:r w:rsidR="00360DCE" w:rsidRPr="00650F05">
        <w:rPr>
          <w:rFonts w:ascii="Tahoma" w:hAnsi="Tahoma"/>
        </w:rPr>
        <w:t>ensure</w:t>
      </w:r>
      <w:r w:rsidR="00743B4A" w:rsidRPr="00650F05">
        <w:rPr>
          <w:rFonts w:ascii="Tahoma" w:hAnsi="Tahoma"/>
        </w:rPr>
        <w:t xml:space="preserve"> </w:t>
      </w:r>
      <w:r w:rsidR="00475528" w:rsidRPr="00650F05">
        <w:rPr>
          <w:rFonts w:ascii="Tahoma" w:hAnsi="Tahoma"/>
        </w:rPr>
        <w:lastRenderedPageBreak/>
        <w:t xml:space="preserve">a rigorous </w:t>
      </w:r>
      <w:r w:rsidR="00360DCE" w:rsidRPr="00650F05">
        <w:rPr>
          <w:rFonts w:ascii="Tahoma" w:hAnsi="Tahoma"/>
        </w:rPr>
        <w:t xml:space="preserve">but flexible </w:t>
      </w:r>
      <w:r w:rsidR="00F723AE" w:rsidRPr="00650F05">
        <w:rPr>
          <w:rFonts w:ascii="Tahoma" w:hAnsi="Tahoma"/>
        </w:rPr>
        <w:t>systematic process</w:t>
      </w:r>
      <w:r w:rsidR="0078186B" w:rsidRPr="00650F05">
        <w:rPr>
          <w:rFonts w:ascii="Tahoma" w:hAnsi="Tahoma"/>
        </w:rPr>
        <w:t xml:space="preserve">, </w:t>
      </w:r>
      <w:r w:rsidR="00210F70" w:rsidRPr="00650F05">
        <w:rPr>
          <w:rFonts w:ascii="Tahoma" w:hAnsi="Tahoma"/>
        </w:rPr>
        <w:t>which emphasises</w:t>
      </w:r>
      <w:r w:rsidR="009A5A81" w:rsidRPr="00650F05">
        <w:rPr>
          <w:rFonts w:ascii="Tahoma" w:hAnsi="Tahoma"/>
        </w:rPr>
        <w:t xml:space="preserve"> that</w:t>
      </w:r>
      <w:r w:rsidR="0078186B" w:rsidRPr="00650F05">
        <w:rPr>
          <w:rFonts w:ascii="Tahoma" w:hAnsi="Tahoma"/>
        </w:rPr>
        <w:t xml:space="preserve"> assumptions </w:t>
      </w:r>
      <w:r w:rsidR="009A5A81" w:rsidRPr="00650F05">
        <w:rPr>
          <w:rFonts w:ascii="Tahoma" w:hAnsi="Tahoma"/>
        </w:rPr>
        <w:t>are consistent</w:t>
      </w:r>
      <w:r w:rsidR="00984F1A" w:rsidRPr="00650F05">
        <w:rPr>
          <w:rFonts w:ascii="Tahoma" w:hAnsi="Tahoma"/>
        </w:rPr>
        <w:t xml:space="preserve"> with the way the data is conceptualised</w:t>
      </w:r>
      <w:r w:rsidR="007E5CF2" w:rsidRPr="00650F05">
        <w:rPr>
          <w:rFonts w:ascii="Tahoma" w:hAnsi="Tahoma"/>
        </w:rPr>
        <w:t xml:space="preserve"> (</w:t>
      </w:r>
      <w:r w:rsidR="00925E2B" w:rsidRPr="00650F05">
        <w:rPr>
          <w:rFonts w:ascii="Tahoma" w:hAnsi="Tahoma"/>
        </w:rPr>
        <w:t xml:space="preserve">Byrne, 2022; </w:t>
      </w:r>
      <w:r w:rsidR="007E5CF2" w:rsidRPr="00650F05">
        <w:rPr>
          <w:rFonts w:ascii="Tahoma" w:hAnsi="Tahoma"/>
        </w:rPr>
        <w:t>Braun and Clarke, 2006)</w:t>
      </w:r>
      <w:r w:rsidR="00984F1A" w:rsidRPr="00650F05">
        <w:rPr>
          <w:rFonts w:ascii="Tahoma" w:hAnsi="Tahoma"/>
        </w:rPr>
        <w:t>.</w:t>
      </w:r>
      <w:r w:rsidR="00143BF1" w:rsidRPr="00650F05">
        <w:rPr>
          <w:rFonts w:ascii="Tahoma" w:hAnsi="Tahoma"/>
        </w:rPr>
        <w:t xml:space="preserve"> </w:t>
      </w:r>
      <w:r w:rsidR="00CB3536" w:rsidRPr="00650F05">
        <w:rPr>
          <w:rFonts w:ascii="Tahoma" w:hAnsi="Tahoma"/>
        </w:rPr>
        <w:t>These guidelines</w:t>
      </w:r>
      <w:r w:rsidR="000523FC" w:rsidRPr="00650F05">
        <w:rPr>
          <w:rFonts w:ascii="Tahoma" w:hAnsi="Tahoma"/>
        </w:rPr>
        <w:t xml:space="preserve"> ensured that a</w:t>
      </w:r>
      <w:r w:rsidR="00B709E2" w:rsidRPr="00650F05">
        <w:rPr>
          <w:rFonts w:ascii="Tahoma" w:hAnsi="Tahoma"/>
        </w:rPr>
        <w:t xml:space="preserve"> framework for undertaking coding was followed</w:t>
      </w:r>
      <w:r w:rsidR="000523FC" w:rsidRPr="00650F05">
        <w:rPr>
          <w:rFonts w:ascii="Tahoma" w:hAnsi="Tahoma"/>
        </w:rPr>
        <w:t>, which initially</w:t>
      </w:r>
      <w:r w:rsidR="00B709E2" w:rsidRPr="00650F05">
        <w:rPr>
          <w:rFonts w:ascii="Tahoma" w:hAnsi="Tahoma"/>
        </w:rPr>
        <w:t xml:space="preserve"> </w:t>
      </w:r>
      <w:r w:rsidR="000523FC" w:rsidRPr="00650F05">
        <w:rPr>
          <w:rFonts w:ascii="Tahoma" w:hAnsi="Tahoma"/>
        </w:rPr>
        <w:t xml:space="preserve">required </w:t>
      </w:r>
      <w:r w:rsidR="00B709E2" w:rsidRPr="00650F05">
        <w:rPr>
          <w:rFonts w:ascii="Tahoma" w:hAnsi="Tahoma"/>
        </w:rPr>
        <w:t xml:space="preserve">relevant statements </w:t>
      </w:r>
      <w:r w:rsidR="000523FC" w:rsidRPr="00650F05">
        <w:rPr>
          <w:rFonts w:ascii="Tahoma" w:hAnsi="Tahoma"/>
        </w:rPr>
        <w:t xml:space="preserve">to be </w:t>
      </w:r>
      <w:r w:rsidR="00B709E2" w:rsidRPr="00650F05">
        <w:rPr>
          <w:rFonts w:ascii="Tahoma" w:hAnsi="Tahoma"/>
        </w:rPr>
        <w:t xml:space="preserve">assigned a code, these codes were then placed into first order categories, and finally key themes were formed. </w:t>
      </w:r>
      <w:r w:rsidR="00143BF1" w:rsidRPr="00650F05">
        <w:rPr>
          <w:rFonts w:ascii="Tahoma" w:hAnsi="Tahoma"/>
        </w:rPr>
        <w:t>Gill (2021) support</w:t>
      </w:r>
      <w:r w:rsidR="00DF2755" w:rsidRPr="00650F05">
        <w:rPr>
          <w:rFonts w:ascii="Tahoma" w:hAnsi="Tahoma"/>
        </w:rPr>
        <w:t>s</w:t>
      </w:r>
      <w:r w:rsidR="00143BF1" w:rsidRPr="00650F05">
        <w:rPr>
          <w:rFonts w:ascii="Tahoma" w:hAnsi="Tahoma"/>
        </w:rPr>
        <w:t xml:space="preserve"> the use of </w:t>
      </w:r>
      <w:r w:rsidR="00DF2755" w:rsidRPr="00650F05">
        <w:rPr>
          <w:rFonts w:ascii="Tahoma" w:hAnsi="Tahoma"/>
        </w:rPr>
        <w:t>thematic analysis</w:t>
      </w:r>
      <w:r w:rsidR="00BD21A1" w:rsidRPr="00650F05">
        <w:rPr>
          <w:rFonts w:ascii="Tahoma" w:hAnsi="Tahoma"/>
        </w:rPr>
        <w:t xml:space="preserve"> with</w:t>
      </w:r>
      <w:r w:rsidR="00780500" w:rsidRPr="00650F05">
        <w:rPr>
          <w:rFonts w:ascii="Tahoma" w:hAnsi="Tahoma"/>
        </w:rPr>
        <w:t>in</w:t>
      </w:r>
      <w:r w:rsidR="00BD21A1" w:rsidRPr="00650F05">
        <w:rPr>
          <w:rFonts w:ascii="Tahoma" w:hAnsi="Tahoma"/>
        </w:rPr>
        <w:t xml:space="preserve"> transition</w:t>
      </w:r>
      <w:r w:rsidR="00780500" w:rsidRPr="00650F05">
        <w:rPr>
          <w:rFonts w:ascii="Tahoma" w:hAnsi="Tahoma"/>
        </w:rPr>
        <w:t xml:space="preserve"> research</w:t>
      </w:r>
      <w:r w:rsidR="00DF2755" w:rsidRPr="00650F05">
        <w:rPr>
          <w:rFonts w:ascii="Tahoma" w:hAnsi="Tahoma"/>
        </w:rPr>
        <w:t xml:space="preserve">, highlighting that </w:t>
      </w:r>
      <w:r w:rsidR="00F84B3E" w:rsidRPr="00650F05">
        <w:rPr>
          <w:rFonts w:ascii="Tahoma" w:hAnsi="Tahoma"/>
        </w:rPr>
        <w:t>much</w:t>
      </w:r>
      <w:r w:rsidR="00143BF1" w:rsidRPr="00650F05">
        <w:rPr>
          <w:rFonts w:ascii="Tahoma" w:hAnsi="Tahoma"/>
        </w:rPr>
        <w:t xml:space="preserve"> research </w:t>
      </w:r>
      <w:r w:rsidR="00A546CC" w:rsidRPr="00650F05">
        <w:rPr>
          <w:rFonts w:ascii="Tahoma" w:hAnsi="Tahoma"/>
        </w:rPr>
        <w:t>around</w:t>
      </w:r>
      <w:r w:rsidR="00143BF1" w:rsidRPr="00650F05">
        <w:rPr>
          <w:rFonts w:ascii="Tahoma" w:hAnsi="Tahoma"/>
        </w:rPr>
        <w:t xml:space="preserve"> student transition has used thematic analysis due to its logical nature of grouping and categorising key data to highlight </w:t>
      </w:r>
      <w:r w:rsidR="008B18D6" w:rsidRPr="00650F05">
        <w:rPr>
          <w:rFonts w:ascii="Tahoma" w:hAnsi="Tahoma"/>
        </w:rPr>
        <w:t xml:space="preserve">themes, </w:t>
      </w:r>
      <w:r w:rsidR="00143BF1" w:rsidRPr="00650F05">
        <w:rPr>
          <w:rFonts w:ascii="Tahoma" w:hAnsi="Tahoma"/>
        </w:rPr>
        <w:t>trends and relationships</w:t>
      </w:r>
      <w:r w:rsidR="00DF2755" w:rsidRPr="00650F05">
        <w:rPr>
          <w:rFonts w:ascii="Tahoma" w:hAnsi="Tahoma"/>
        </w:rPr>
        <w:t>.</w:t>
      </w:r>
    </w:p>
    <w:p w14:paraId="4503ACD8" w14:textId="77777777" w:rsidR="004A1956" w:rsidRPr="00650F05" w:rsidRDefault="004A1956" w:rsidP="004A1956">
      <w:pPr>
        <w:spacing w:line="480" w:lineRule="auto"/>
        <w:jc w:val="both"/>
        <w:rPr>
          <w:rFonts w:ascii="Tahoma" w:hAnsi="Tahoma"/>
        </w:rPr>
      </w:pPr>
    </w:p>
    <w:p w14:paraId="70F1B396" w14:textId="7E600744" w:rsidR="00392C3C" w:rsidRPr="00650F05" w:rsidRDefault="00392C3C" w:rsidP="004A1956">
      <w:pPr>
        <w:spacing w:line="480" w:lineRule="auto"/>
        <w:jc w:val="both"/>
        <w:rPr>
          <w:rFonts w:ascii="Tahoma" w:hAnsi="Tahoma"/>
          <w:b/>
          <w:bCs/>
        </w:rPr>
      </w:pPr>
      <w:r w:rsidRPr="00650F05">
        <w:rPr>
          <w:rFonts w:ascii="Tahoma" w:hAnsi="Tahoma"/>
          <w:b/>
          <w:bCs/>
        </w:rPr>
        <w:t>Findings</w:t>
      </w:r>
      <w:r w:rsidR="0076658E" w:rsidRPr="00650F05">
        <w:rPr>
          <w:rFonts w:ascii="Tahoma" w:hAnsi="Tahoma"/>
          <w:b/>
          <w:bCs/>
        </w:rPr>
        <w:t>, Analysis and Discussion</w:t>
      </w:r>
    </w:p>
    <w:p w14:paraId="36A295C4" w14:textId="1A3042BF" w:rsidR="00CE3ED8" w:rsidRPr="00650F05" w:rsidRDefault="00FA52AA" w:rsidP="000563CD">
      <w:pPr>
        <w:spacing w:line="480" w:lineRule="auto"/>
        <w:jc w:val="both"/>
        <w:rPr>
          <w:rFonts w:ascii="Tahoma" w:hAnsi="Tahoma"/>
        </w:rPr>
      </w:pPr>
      <w:r w:rsidRPr="00650F05">
        <w:rPr>
          <w:rFonts w:ascii="Tahoma" w:hAnsi="Tahoma"/>
        </w:rPr>
        <w:t>D</w:t>
      </w:r>
      <w:r w:rsidR="00DA57B7" w:rsidRPr="00650F05">
        <w:rPr>
          <w:rFonts w:ascii="Tahoma" w:hAnsi="Tahoma"/>
        </w:rPr>
        <w:t xml:space="preserve">iverse </w:t>
      </w:r>
      <w:r w:rsidR="00050D19" w:rsidRPr="00650F05">
        <w:rPr>
          <w:rFonts w:ascii="Tahoma" w:hAnsi="Tahoma"/>
        </w:rPr>
        <w:t>themes</w:t>
      </w:r>
      <w:r w:rsidR="00DA57B7" w:rsidRPr="00650F05">
        <w:rPr>
          <w:rFonts w:ascii="Tahoma" w:hAnsi="Tahoma"/>
        </w:rPr>
        <w:t xml:space="preserve"> emerged</w:t>
      </w:r>
      <w:r w:rsidR="004E3EFD" w:rsidRPr="00650F05">
        <w:rPr>
          <w:rFonts w:ascii="Tahoma" w:hAnsi="Tahoma"/>
        </w:rPr>
        <w:t xml:space="preserve"> from the </w:t>
      </w:r>
      <w:r w:rsidR="00AD0C5E">
        <w:rPr>
          <w:rFonts w:ascii="Tahoma" w:hAnsi="Tahoma"/>
        </w:rPr>
        <w:t>data</w:t>
      </w:r>
      <w:r w:rsidR="00767B15" w:rsidRPr="00650F05">
        <w:rPr>
          <w:rFonts w:ascii="Tahoma" w:hAnsi="Tahoma"/>
        </w:rPr>
        <w:t>, h</w:t>
      </w:r>
      <w:r w:rsidR="004E3EFD" w:rsidRPr="00650F05">
        <w:rPr>
          <w:rFonts w:ascii="Tahoma" w:hAnsi="Tahoma"/>
        </w:rPr>
        <w:t xml:space="preserve">owever, there was a </w:t>
      </w:r>
      <w:r w:rsidR="00ED08A0" w:rsidRPr="00650F05">
        <w:rPr>
          <w:rFonts w:ascii="Tahoma" w:hAnsi="Tahoma"/>
        </w:rPr>
        <w:t>degree</w:t>
      </w:r>
      <w:r w:rsidR="004E3EFD" w:rsidRPr="00650F05">
        <w:rPr>
          <w:rFonts w:ascii="Tahoma" w:hAnsi="Tahoma"/>
        </w:rPr>
        <w:t xml:space="preserve"> of commonality within the </w:t>
      </w:r>
      <w:r w:rsidR="00B900CB" w:rsidRPr="00650F05">
        <w:rPr>
          <w:rFonts w:ascii="Tahoma" w:hAnsi="Tahoma"/>
        </w:rPr>
        <w:t>students’</w:t>
      </w:r>
      <w:r w:rsidR="004E3EFD" w:rsidRPr="00650F05">
        <w:rPr>
          <w:rFonts w:ascii="Tahoma" w:hAnsi="Tahoma"/>
        </w:rPr>
        <w:t xml:space="preserve"> perceptions of their readiness and preparedness for work</w:t>
      </w:r>
      <w:r w:rsidR="00780199" w:rsidRPr="00650F05">
        <w:rPr>
          <w:rFonts w:ascii="Tahoma" w:hAnsi="Tahoma"/>
        </w:rPr>
        <w:t xml:space="preserve">, </w:t>
      </w:r>
      <w:r w:rsidR="00B900CB" w:rsidRPr="00650F05">
        <w:rPr>
          <w:rFonts w:ascii="Tahoma" w:hAnsi="Tahoma"/>
        </w:rPr>
        <w:t>enabling the</w:t>
      </w:r>
      <w:r w:rsidR="00C8246A" w:rsidRPr="00650F05">
        <w:rPr>
          <w:rFonts w:ascii="Tahoma" w:hAnsi="Tahoma"/>
        </w:rPr>
        <w:t xml:space="preserve"> </w:t>
      </w:r>
      <w:r w:rsidR="00AD7398" w:rsidRPr="00650F05">
        <w:rPr>
          <w:rFonts w:ascii="Tahoma" w:hAnsi="Tahoma"/>
        </w:rPr>
        <w:t xml:space="preserve">analysed </w:t>
      </w:r>
      <w:r w:rsidR="00C8246A" w:rsidRPr="00650F05">
        <w:rPr>
          <w:rFonts w:ascii="Tahoma" w:hAnsi="Tahoma"/>
        </w:rPr>
        <w:t xml:space="preserve">data to be quantified into four key themes. </w:t>
      </w:r>
      <w:r w:rsidR="008516DA" w:rsidRPr="00650F05">
        <w:rPr>
          <w:rFonts w:ascii="Tahoma" w:hAnsi="Tahoma"/>
        </w:rPr>
        <w:t>T</w:t>
      </w:r>
      <w:r w:rsidR="00A6781D" w:rsidRPr="00650F05">
        <w:rPr>
          <w:rFonts w:ascii="Tahoma" w:hAnsi="Tahoma"/>
        </w:rPr>
        <w:t>hematic d</w:t>
      </w:r>
      <w:r w:rsidR="00C8246A" w:rsidRPr="00650F05">
        <w:rPr>
          <w:rFonts w:ascii="Tahoma" w:hAnsi="Tahoma"/>
        </w:rPr>
        <w:t xml:space="preserve">ata analysis elicited </w:t>
      </w:r>
      <w:r w:rsidR="00E913C6" w:rsidRPr="00650F05">
        <w:rPr>
          <w:rFonts w:ascii="Tahoma" w:hAnsi="Tahoma"/>
        </w:rPr>
        <w:t>two-hundred and ninety-seven</w:t>
      </w:r>
      <w:r w:rsidR="009B7921" w:rsidRPr="00650F05">
        <w:rPr>
          <w:rFonts w:ascii="Tahoma" w:hAnsi="Tahoma"/>
        </w:rPr>
        <w:t xml:space="preserve"> significant statements in </w:t>
      </w:r>
      <w:r w:rsidR="00B900CB" w:rsidRPr="00650F05">
        <w:rPr>
          <w:rFonts w:ascii="Tahoma" w:hAnsi="Tahoma"/>
        </w:rPr>
        <w:t>total, which</w:t>
      </w:r>
      <w:r w:rsidR="00480F2A" w:rsidRPr="00650F05">
        <w:rPr>
          <w:rFonts w:ascii="Tahoma" w:hAnsi="Tahoma"/>
        </w:rPr>
        <w:t xml:space="preserve"> were categorised into </w:t>
      </w:r>
      <w:r w:rsidR="003E032D" w:rsidRPr="00650F05">
        <w:rPr>
          <w:rFonts w:ascii="Tahoma" w:hAnsi="Tahoma"/>
        </w:rPr>
        <w:t>forty-seven</w:t>
      </w:r>
      <w:r w:rsidR="00480F2A" w:rsidRPr="00650F05">
        <w:rPr>
          <w:rFonts w:ascii="Tahoma" w:hAnsi="Tahoma"/>
        </w:rPr>
        <w:t xml:space="preserve"> </w:t>
      </w:r>
      <w:r w:rsidR="00B900CB" w:rsidRPr="00650F05">
        <w:rPr>
          <w:rFonts w:ascii="Tahoma" w:hAnsi="Tahoma"/>
        </w:rPr>
        <w:t>data</w:t>
      </w:r>
      <w:r w:rsidR="00480F2A" w:rsidRPr="00650F05">
        <w:rPr>
          <w:rFonts w:ascii="Tahoma" w:hAnsi="Tahoma"/>
        </w:rPr>
        <w:t xml:space="preserve"> codes</w:t>
      </w:r>
      <w:r w:rsidR="00951012" w:rsidRPr="00650F05">
        <w:rPr>
          <w:rFonts w:ascii="Tahoma" w:hAnsi="Tahoma"/>
        </w:rPr>
        <w:t xml:space="preserve">, subsequently grouped into </w:t>
      </w:r>
      <w:r w:rsidR="00217990" w:rsidRPr="00650F05">
        <w:rPr>
          <w:rFonts w:ascii="Tahoma" w:hAnsi="Tahoma"/>
        </w:rPr>
        <w:t>fourteen</w:t>
      </w:r>
      <w:r w:rsidR="00B900CB" w:rsidRPr="00650F05">
        <w:rPr>
          <w:rFonts w:ascii="Tahoma" w:hAnsi="Tahoma"/>
        </w:rPr>
        <w:t xml:space="preserve"> first-order </w:t>
      </w:r>
      <w:r w:rsidR="00217990" w:rsidRPr="00650F05">
        <w:rPr>
          <w:rFonts w:ascii="Tahoma" w:hAnsi="Tahoma"/>
        </w:rPr>
        <w:t>themes,</w:t>
      </w:r>
      <w:r w:rsidR="003E032D" w:rsidRPr="00650F05">
        <w:rPr>
          <w:rFonts w:ascii="Tahoma" w:hAnsi="Tahoma"/>
        </w:rPr>
        <w:t xml:space="preserve"> and</w:t>
      </w:r>
      <w:r w:rsidR="00E913C6" w:rsidRPr="00650F05">
        <w:rPr>
          <w:rFonts w:ascii="Tahoma" w:hAnsi="Tahoma"/>
        </w:rPr>
        <w:t xml:space="preserve"> </w:t>
      </w:r>
      <w:r w:rsidR="003E032D" w:rsidRPr="00650F05">
        <w:rPr>
          <w:rFonts w:ascii="Tahoma" w:hAnsi="Tahoma"/>
        </w:rPr>
        <w:t xml:space="preserve">culminated </w:t>
      </w:r>
      <w:r w:rsidR="00E913C6" w:rsidRPr="00650F05">
        <w:rPr>
          <w:rFonts w:ascii="Tahoma" w:hAnsi="Tahoma"/>
        </w:rPr>
        <w:t>in the emergence of four key themes.</w:t>
      </w:r>
      <w:r w:rsidR="00050D19" w:rsidRPr="00650F05">
        <w:rPr>
          <w:rFonts w:ascii="Tahoma" w:hAnsi="Tahoma"/>
        </w:rPr>
        <w:t xml:space="preserve"> These </w:t>
      </w:r>
      <w:r w:rsidR="0042112E" w:rsidRPr="00650F05">
        <w:rPr>
          <w:rFonts w:ascii="Tahoma" w:hAnsi="Tahoma"/>
        </w:rPr>
        <w:t xml:space="preserve">key </w:t>
      </w:r>
      <w:r w:rsidR="00050D19" w:rsidRPr="00650F05">
        <w:rPr>
          <w:rFonts w:ascii="Tahoma" w:hAnsi="Tahoma"/>
        </w:rPr>
        <w:t>themes</w:t>
      </w:r>
      <w:r w:rsidR="003A66D5" w:rsidRPr="00650F05">
        <w:rPr>
          <w:rFonts w:ascii="Tahoma" w:hAnsi="Tahoma"/>
        </w:rPr>
        <w:t xml:space="preserve"> were as follows: </w:t>
      </w:r>
      <w:r w:rsidR="003F2297" w:rsidRPr="00650F05">
        <w:rPr>
          <w:rFonts w:ascii="Tahoma" w:hAnsi="Tahoma"/>
        </w:rPr>
        <w:t xml:space="preserve">knowledge and competencies; effective preparation; </w:t>
      </w:r>
      <w:r w:rsidR="00B62742" w:rsidRPr="00650F05">
        <w:rPr>
          <w:rFonts w:ascii="Tahoma" w:hAnsi="Tahoma"/>
        </w:rPr>
        <w:t>readiness for work; socio-demographic characteristics.</w:t>
      </w:r>
    </w:p>
    <w:p w14:paraId="751F2796" w14:textId="21FD1A17" w:rsidR="00B45665" w:rsidRPr="00650F05" w:rsidRDefault="00B45665" w:rsidP="000563CD">
      <w:pPr>
        <w:spacing w:line="480" w:lineRule="auto"/>
        <w:jc w:val="both"/>
        <w:rPr>
          <w:rFonts w:ascii="Tahoma" w:hAnsi="Tahoma"/>
        </w:rPr>
      </w:pPr>
      <w:r w:rsidRPr="00650F05">
        <w:rPr>
          <w:rFonts w:ascii="Tahoma" w:hAnsi="Tahoma"/>
        </w:rPr>
        <w:t xml:space="preserve">The findings of </w:t>
      </w:r>
      <w:r w:rsidR="00BC60ED" w:rsidRPr="00650F05">
        <w:rPr>
          <w:rFonts w:ascii="Tahoma" w:hAnsi="Tahoma"/>
        </w:rPr>
        <w:t>this research</w:t>
      </w:r>
      <w:r w:rsidRPr="00650F05">
        <w:rPr>
          <w:rFonts w:ascii="Tahoma" w:hAnsi="Tahoma"/>
        </w:rPr>
        <w:t xml:space="preserve"> are illustrated in Figure 1 and each of the key themes</w:t>
      </w:r>
      <w:r w:rsidR="0034715A" w:rsidRPr="00650F05">
        <w:rPr>
          <w:rFonts w:ascii="Tahoma" w:hAnsi="Tahoma"/>
        </w:rPr>
        <w:t xml:space="preserve"> </w:t>
      </w:r>
      <w:r w:rsidR="00792420" w:rsidRPr="00650F05">
        <w:rPr>
          <w:rFonts w:ascii="Tahoma" w:hAnsi="Tahoma"/>
        </w:rPr>
        <w:t xml:space="preserve">are </w:t>
      </w:r>
      <w:r w:rsidR="003F66B5" w:rsidRPr="00650F05">
        <w:rPr>
          <w:rFonts w:ascii="Tahoma" w:hAnsi="Tahoma"/>
        </w:rPr>
        <w:t xml:space="preserve">examined and </w:t>
      </w:r>
      <w:r w:rsidR="00FD0CCD" w:rsidRPr="00650F05">
        <w:rPr>
          <w:rFonts w:ascii="Tahoma" w:hAnsi="Tahoma"/>
        </w:rPr>
        <w:t xml:space="preserve">discussed </w:t>
      </w:r>
      <w:r w:rsidR="0034715A" w:rsidRPr="00650F05">
        <w:rPr>
          <w:rFonts w:ascii="Tahoma" w:hAnsi="Tahoma"/>
        </w:rPr>
        <w:t>within the sub-sections below.</w:t>
      </w:r>
    </w:p>
    <w:p w14:paraId="330DFDA5" w14:textId="77777777" w:rsidR="0034715A" w:rsidRPr="00650F05" w:rsidRDefault="0034715A" w:rsidP="000563CD">
      <w:pPr>
        <w:spacing w:line="480" w:lineRule="auto"/>
        <w:jc w:val="both"/>
        <w:rPr>
          <w:rFonts w:ascii="Tahoma" w:hAnsi="Tahoma"/>
          <w:color w:val="FF0000"/>
        </w:rPr>
      </w:pPr>
      <w:r w:rsidRPr="00650F05">
        <w:rPr>
          <w:rFonts w:ascii="Tahoma" w:hAnsi="Tahoma"/>
          <w:color w:val="FF0000"/>
        </w:rPr>
        <w:t>[INSERT FIGURE 1 HERE]</w:t>
      </w:r>
    </w:p>
    <w:p w14:paraId="4846830D" w14:textId="77777777" w:rsidR="0034715A" w:rsidRPr="00650F05" w:rsidRDefault="0034715A" w:rsidP="000563CD">
      <w:pPr>
        <w:spacing w:line="480" w:lineRule="auto"/>
        <w:jc w:val="both"/>
        <w:rPr>
          <w:rFonts w:ascii="Tahoma" w:hAnsi="Tahoma"/>
          <w:color w:val="FF0000"/>
        </w:rPr>
      </w:pPr>
    </w:p>
    <w:p w14:paraId="43053C10" w14:textId="25681EA7" w:rsidR="00BC60ED" w:rsidRPr="00650F05" w:rsidRDefault="00163E6D" w:rsidP="000563CD">
      <w:pPr>
        <w:spacing w:line="480" w:lineRule="auto"/>
        <w:jc w:val="both"/>
        <w:rPr>
          <w:rFonts w:ascii="Tahoma" w:hAnsi="Tahoma"/>
        </w:rPr>
      </w:pPr>
      <w:r w:rsidRPr="00650F05">
        <w:rPr>
          <w:rFonts w:ascii="Tahoma" w:hAnsi="Tahoma"/>
          <w:b/>
          <w:bCs/>
        </w:rPr>
        <w:t>Key Theme:</w:t>
      </w:r>
      <w:r w:rsidRPr="00650F05">
        <w:rPr>
          <w:rFonts w:ascii="Tahoma" w:hAnsi="Tahoma"/>
        </w:rPr>
        <w:t xml:space="preserve"> </w:t>
      </w:r>
      <w:r w:rsidR="00BC60ED" w:rsidRPr="00650F05">
        <w:rPr>
          <w:rFonts w:ascii="Tahoma" w:hAnsi="Tahoma"/>
        </w:rPr>
        <w:t>Readiness for Work</w:t>
      </w:r>
    </w:p>
    <w:p w14:paraId="74D6474D" w14:textId="222A49E7" w:rsidR="00BC60ED" w:rsidRPr="00650F05" w:rsidRDefault="00EA3CEA" w:rsidP="000563CD">
      <w:pPr>
        <w:spacing w:line="480" w:lineRule="auto"/>
        <w:jc w:val="both"/>
        <w:rPr>
          <w:rFonts w:ascii="Tahoma" w:hAnsi="Tahoma"/>
        </w:rPr>
      </w:pPr>
      <w:r w:rsidRPr="00650F05">
        <w:rPr>
          <w:rFonts w:ascii="Tahoma" w:hAnsi="Tahoma"/>
        </w:rPr>
        <w:t>Gill</w:t>
      </w:r>
      <w:r w:rsidR="00DC13DF" w:rsidRPr="00650F05">
        <w:rPr>
          <w:rFonts w:ascii="Tahoma" w:hAnsi="Tahoma"/>
        </w:rPr>
        <w:t>’s</w:t>
      </w:r>
      <w:r w:rsidRPr="00650F05">
        <w:rPr>
          <w:rFonts w:ascii="Tahoma" w:hAnsi="Tahoma"/>
        </w:rPr>
        <w:t xml:space="preserve"> (2021</w:t>
      </w:r>
      <w:r w:rsidR="00DC13DF" w:rsidRPr="00650F05">
        <w:rPr>
          <w:rFonts w:ascii="Tahoma" w:hAnsi="Tahoma"/>
        </w:rPr>
        <w:t>, p.419</w:t>
      </w:r>
      <w:r w:rsidRPr="00650F05">
        <w:rPr>
          <w:rFonts w:ascii="Tahoma" w:hAnsi="Tahoma"/>
        </w:rPr>
        <w:t xml:space="preserve">) </w:t>
      </w:r>
      <w:r w:rsidR="00DC13DF" w:rsidRPr="00650F05">
        <w:rPr>
          <w:rFonts w:ascii="Tahoma" w:hAnsi="Tahoma"/>
        </w:rPr>
        <w:t xml:space="preserve">research </w:t>
      </w:r>
      <w:r w:rsidR="001629A0" w:rsidRPr="00650F05">
        <w:rPr>
          <w:rFonts w:ascii="Tahoma" w:hAnsi="Tahoma"/>
        </w:rPr>
        <w:t xml:space="preserve">emphasises that </w:t>
      </w:r>
      <w:r w:rsidR="00DC13DF" w:rsidRPr="00650F05">
        <w:rPr>
          <w:rFonts w:ascii="Tahoma" w:hAnsi="Tahoma"/>
        </w:rPr>
        <w:t>“</w:t>
      </w:r>
      <w:r w:rsidR="00D73BA4" w:rsidRPr="00650F05">
        <w:rPr>
          <w:rFonts w:ascii="Tahoma" w:hAnsi="Tahoma"/>
        </w:rPr>
        <w:t xml:space="preserve">transition </w:t>
      </w:r>
      <w:r w:rsidR="001629A0" w:rsidRPr="00650F05">
        <w:rPr>
          <w:rFonts w:ascii="Tahoma" w:hAnsi="Tahoma"/>
        </w:rPr>
        <w:t xml:space="preserve">to </w:t>
      </w:r>
      <w:r w:rsidR="00D73BA4" w:rsidRPr="00650F05">
        <w:rPr>
          <w:rFonts w:ascii="Tahoma" w:hAnsi="Tahoma"/>
        </w:rPr>
        <w:t>HE</w:t>
      </w:r>
      <w:r w:rsidR="00E83B70" w:rsidRPr="00650F05">
        <w:rPr>
          <w:rFonts w:ascii="Tahoma" w:hAnsi="Tahoma"/>
        </w:rPr>
        <w:t xml:space="preserve"> </w:t>
      </w:r>
      <w:r w:rsidR="00A33420" w:rsidRPr="00650F05">
        <w:rPr>
          <w:rFonts w:ascii="Tahoma" w:hAnsi="Tahoma"/>
        </w:rPr>
        <w:t>is</w:t>
      </w:r>
      <w:r w:rsidR="00D73BA4" w:rsidRPr="00650F05">
        <w:rPr>
          <w:rFonts w:ascii="Tahoma" w:hAnsi="Tahoma"/>
        </w:rPr>
        <w:t xml:space="preserve"> an anxious time for students</w:t>
      </w:r>
      <w:r w:rsidR="00364F5A" w:rsidRPr="00650F05">
        <w:rPr>
          <w:rFonts w:ascii="Tahoma" w:hAnsi="Tahoma"/>
        </w:rPr>
        <w:t>”,</w:t>
      </w:r>
      <w:r w:rsidR="005633B8" w:rsidRPr="00650F05">
        <w:rPr>
          <w:rFonts w:ascii="Tahoma" w:hAnsi="Tahoma"/>
        </w:rPr>
        <w:t xml:space="preserve"> which </w:t>
      </w:r>
      <w:r w:rsidR="00364F5A" w:rsidRPr="00650F05">
        <w:rPr>
          <w:rFonts w:ascii="Tahoma" w:hAnsi="Tahoma"/>
        </w:rPr>
        <w:t>echoes</w:t>
      </w:r>
      <w:r w:rsidR="005633B8" w:rsidRPr="00650F05">
        <w:rPr>
          <w:rFonts w:ascii="Tahoma" w:hAnsi="Tahoma"/>
        </w:rPr>
        <w:t xml:space="preserve"> </w:t>
      </w:r>
      <w:r w:rsidR="00DC13DF" w:rsidRPr="00650F05">
        <w:rPr>
          <w:rFonts w:ascii="Tahoma" w:hAnsi="Tahoma"/>
        </w:rPr>
        <w:t xml:space="preserve">Gill </w:t>
      </w:r>
      <w:r w:rsidR="00364F5A" w:rsidRPr="00650F05">
        <w:rPr>
          <w:rFonts w:ascii="Tahoma" w:hAnsi="Tahoma"/>
        </w:rPr>
        <w:t>(</w:t>
      </w:r>
      <w:r w:rsidR="00DC13DF" w:rsidRPr="00650F05">
        <w:rPr>
          <w:rFonts w:ascii="Tahoma" w:hAnsi="Tahoma"/>
        </w:rPr>
        <w:t>2020</w:t>
      </w:r>
      <w:r w:rsidR="00364F5A" w:rsidRPr="00650F05">
        <w:rPr>
          <w:rFonts w:ascii="Tahoma" w:hAnsi="Tahoma"/>
        </w:rPr>
        <w:t>; 2019; 2017),</w:t>
      </w:r>
      <w:r w:rsidR="00DC13DF" w:rsidRPr="00650F05">
        <w:rPr>
          <w:rFonts w:ascii="Tahoma" w:hAnsi="Tahoma"/>
        </w:rPr>
        <w:t xml:space="preserve"> </w:t>
      </w:r>
      <w:r w:rsidR="00D73BA4" w:rsidRPr="00650F05">
        <w:rPr>
          <w:rFonts w:ascii="Tahoma" w:hAnsi="Tahoma"/>
        </w:rPr>
        <w:t xml:space="preserve">Postareff et al. </w:t>
      </w:r>
      <w:r w:rsidR="00364F5A" w:rsidRPr="00650F05">
        <w:rPr>
          <w:rFonts w:ascii="Tahoma" w:hAnsi="Tahoma"/>
        </w:rPr>
        <w:t>(</w:t>
      </w:r>
      <w:r w:rsidR="00D73BA4" w:rsidRPr="00650F05">
        <w:rPr>
          <w:rFonts w:ascii="Tahoma" w:hAnsi="Tahoma"/>
        </w:rPr>
        <w:t>2017</w:t>
      </w:r>
      <w:r w:rsidR="00364F5A" w:rsidRPr="00650F05">
        <w:rPr>
          <w:rFonts w:ascii="Tahoma" w:hAnsi="Tahoma"/>
        </w:rPr>
        <w:t xml:space="preserve">) and </w:t>
      </w:r>
      <w:r w:rsidR="00D73BA4" w:rsidRPr="00650F05">
        <w:rPr>
          <w:rFonts w:ascii="Tahoma" w:hAnsi="Tahoma"/>
        </w:rPr>
        <w:t xml:space="preserve">McSweeney </w:t>
      </w:r>
      <w:r w:rsidR="00364F5A" w:rsidRPr="00650F05">
        <w:rPr>
          <w:rFonts w:ascii="Tahoma" w:hAnsi="Tahoma"/>
        </w:rPr>
        <w:t>(</w:t>
      </w:r>
      <w:r w:rsidR="00D73BA4" w:rsidRPr="00650F05">
        <w:rPr>
          <w:rFonts w:ascii="Tahoma" w:hAnsi="Tahoma"/>
        </w:rPr>
        <w:t>2014)</w:t>
      </w:r>
      <w:r w:rsidR="007A25C0" w:rsidRPr="00650F05">
        <w:rPr>
          <w:rFonts w:ascii="Tahoma" w:hAnsi="Tahoma"/>
        </w:rPr>
        <w:t xml:space="preserve"> research </w:t>
      </w:r>
      <w:r w:rsidR="007A25C0" w:rsidRPr="00650F05">
        <w:rPr>
          <w:rFonts w:ascii="Tahoma" w:hAnsi="Tahoma"/>
        </w:rPr>
        <w:lastRenderedPageBreak/>
        <w:t xml:space="preserve">findings when exploring transition to </w:t>
      </w:r>
      <w:r w:rsidR="00375C50" w:rsidRPr="00650F05">
        <w:rPr>
          <w:rFonts w:ascii="Tahoma" w:hAnsi="Tahoma"/>
        </w:rPr>
        <w:t>HE</w:t>
      </w:r>
      <w:r w:rsidR="00364F5A" w:rsidRPr="00650F05">
        <w:rPr>
          <w:rFonts w:ascii="Tahoma" w:hAnsi="Tahoma"/>
        </w:rPr>
        <w:t>.</w:t>
      </w:r>
      <w:r w:rsidR="00E83B70" w:rsidRPr="00650F05">
        <w:rPr>
          <w:rFonts w:ascii="Tahoma" w:hAnsi="Tahoma"/>
        </w:rPr>
        <w:t xml:space="preserve"> </w:t>
      </w:r>
      <w:r w:rsidR="00364F5A" w:rsidRPr="00650F05">
        <w:rPr>
          <w:rFonts w:ascii="Tahoma" w:hAnsi="Tahoma"/>
        </w:rPr>
        <w:t>H</w:t>
      </w:r>
      <w:r w:rsidR="001C4165" w:rsidRPr="00650F05">
        <w:rPr>
          <w:rFonts w:ascii="Tahoma" w:hAnsi="Tahoma"/>
        </w:rPr>
        <w:t xml:space="preserve">owever, </w:t>
      </w:r>
      <w:r w:rsidR="00A33420" w:rsidRPr="00650F05">
        <w:rPr>
          <w:rFonts w:ascii="Tahoma" w:hAnsi="Tahoma"/>
        </w:rPr>
        <w:t>it appears that this phenomenon</w:t>
      </w:r>
      <w:r w:rsidR="0020684B" w:rsidRPr="00650F05">
        <w:rPr>
          <w:rFonts w:ascii="Tahoma" w:hAnsi="Tahoma"/>
        </w:rPr>
        <w:t xml:space="preserve"> </w:t>
      </w:r>
      <w:r w:rsidR="00A33420" w:rsidRPr="00650F05">
        <w:rPr>
          <w:rFonts w:ascii="Tahoma" w:hAnsi="Tahoma"/>
        </w:rPr>
        <w:t>is</w:t>
      </w:r>
      <w:r w:rsidR="0020684B" w:rsidRPr="00650F05">
        <w:rPr>
          <w:rFonts w:ascii="Tahoma" w:hAnsi="Tahoma"/>
        </w:rPr>
        <w:t xml:space="preserve"> </w:t>
      </w:r>
      <w:r w:rsidR="004852B5" w:rsidRPr="00650F05">
        <w:rPr>
          <w:rFonts w:ascii="Tahoma" w:hAnsi="Tahoma"/>
        </w:rPr>
        <w:t xml:space="preserve">also </w:t>
      </w:r>
      <w:r w:rsidR="0020684B" w:rsidRPr="00650F05">
        <w:rPr>
          <w:rFonts w:ascii="Tahoma" w:hAnsi="Tahoma"/>
        </w:rPr>
        <w:t>present</w:t>
      </w:r>
      <w:r w:rsidR="00A3693A" w:rsidRPr="00650F05">
        <w:rPr>
          <w:rFonts w:ascii="Tahoma" w:hAnsi="Tahoma"/>
        </w:rPr>
        <w:t xml:space="preserve"> when </w:t>
      </w:r>
      <w:r w:rsidR="007B3B9D" w:rsidRPr="00650F05">
        <w:rPr>
          <w:rFonts w:ascii="Tahoma" w:hAnsi="Tahoma"/>
        </w:rPr>
        <w:t xml:space="preserve">exploring </w:t>
      </w:r>
      <w:r w:rsidR="00902971" w:rsidRPr="00650F05">
        <w:rPr>
          <w:rFonts w:ascii="Tahoma" w:hAnsi="Tahoma"/>
        </w:rPr>
        <w:t xml:space="preserve">perceptions of </w:t>
      </w:r>
      <w:r w:rsidR="009C42FD" w:rsidRPr="00650F05">
        <w:rPr>
          <w:rFonts w:ascii="Tahoma" w:hAnsi="Tahoma"/>
        </w:rPr>
        <w:t xml:space="preserve">an upcoming </w:t>
      </w:r>
      <w:r w:rsidR="00090CD6" w:rsidRPr="00650F05">
        <w:rPr>
          <w:rFonts w:ascii="Tahoma" w:hAnsi="Tahoma"/>
        </w:rPr>
        <w:t>transition to work</w:t>
      </w:r>
      <w:r w:rsidR="00E83B70" w:rsidRPr="00650F05">
        <w:rPr>
          <w:rFonts w:ascii="Tahoma" w:hAnsi="Tahoma"/>
        </w:rPr>
        <w:t xml:space="preserve">. </w:t>
      </w:r>
      <w:r w:rsidR="00082846" w:rsidRPr="00650F05">
        <w:rPr>
          <w:rFonts w:ascii="Tahoma" w:hAnsi="Tahoma"/>
        </w:rPr>
        <w:t xml:space="preserve">The </w:t>
      </w:r>
      <w:r w:rsidR="007E4C78" w:rsidRPr="00650F05">
        <w:rPr>
          <w:rFonts w:ascii="Tahoma" w:hAnsi="Tahoma"/>
        </w:rPr>
        <w:t>participants</w:t>
      </w:r>
      <w:r w:rsidR="00082846" w:rsidRPr="00650F05">
        <w:rPr>
          <w:rFonts w:ascii="Tahoma" w:hAnsi="Tahoma"/>
        </w:rPr>
        <w:t xml:space="preserve"> </w:t>
      </w:r>
      <w:r w:rsidRPr="00650F05">
        <w:rPr>
          <w:rFonts w:ascii="Tahoma" w:hAnsi="Tahoma"/>
        </w:rPr>
        <w:t>had mixed views about their readiness to progress into the labour market</w:t>
      </w:r>
      <w:r w:rsidR="006E68E9" w:rsidRPr="00650F05">
        <w:rPr>
          <w:rFonts w:ascii="Tahoma" w:hAnsi="Tahoma"/>
        </w:rPr>
        <w:t xml:space="preserve">, with </w:t>
      </w:r>
      <w:r w:rsidR="00D95B6B" w:rsidRPr="00650F05">
        <w:rPr>
          <w:rFonts w:ascii="Tahoma" w:hAnsi="Tahoma"/>
        </w:rPr>
        <w:t xml:space="preserve">nerves, worry or apprehension </w:t>
      </w:r>
      <w:r w:rsidR="00AF2351" w:rsidRPr="00650F05">
        <w:rPr>
          <w:rFonts w:ascii="Tahoma" w:hAnsi="Tahoma"/>
        </w:rPr>
        <w:t xml:space="preserve">surrounding </w:t>
      </w:r>
      <w:r w:rsidR="00FC0039" w:rsidRPr="00650F05">
        <w:rPr>
          <w:rFonts w:ascii="Tahoma" w:hAnsi="Tahoma"/>
        </w:rPr>
        <w:t>progression</w:t>
      </w:r>
      <w:r w:rsidR="00294B2D" w:rsidRPr="00650F05">
        <w:rPr>
          <w:rFonts w:ascii="Tahoma" w:hAnsi="Tahoma"/>
        </w:rPr>
        <w:t xml:space="preserve"> </w:t>
      </w:r>
      <w:r w:rsidR="00A419FE" w:rsidRPr="00650F05">
        <w:rPr>
          <w:rFonts w:ascii="Tahoma" w:hAnsi="Tahoma"/>
        </w:rPr>
        <w:t>into industry</w:t>
      </w:r>
      <w:r w:rsidR="00925A24" w:rsidRPr="00650F05">
        <w:rPr>
          <w:rFonts w:ascii="Tahoma" w:hAnsi="Tahoma"/>
        </w:rPr>
        <w:t xml:space="preserve"> related roles.</w:t>
      </w:r>
      <w:r w:rsidR="00961D43" w:rsidRPr="00650F05">
        <w:rPr>
          <w:rFonts w:ascii="Tahoma" w:hAnsi="Tahoma"/>
        </w:rPr>
        <w:t xml:space="preserve"> </w:t>
      </w:r>
      <w:r w:rsidR="007E4C78" w:rsidRPr="00650F05">
        <w:rPr>
          <w:rFonts w:ascii="Tahoma" w:hAnsi="Tahoma"/>
        </w:rPr>
        <w:t>Participants</w:t>
      </w:r>
      <w:r w:rsidR="00961D43" w:rsidRPr="00650F05">
        <w:rPr>
          <w:rFonts w:ascii="Tahoma" w:hAnsi="Tahoma"/>
        </w:rPr>
        <w:t xml:space="preserve"> noted,</w:t>
      </w:r>
    </w:p>
    <w:p w14:paraId="0D0675D4" w14:textId="4BE2F6F2" w:rsidR="00961D43" w:rsidRPr="00650F05" w:rsidRDefault="00961D43" w:rsidP="000563CD">
      <w:pPr>
        <w:spacing w:line="480" w:lineRule="auto"/>
        <w:jc w:val="both"/>
        <w:rPr>
          <w:rFonts w:ascii="Tahoma" w:hAnsi="Tahoma"/>
        </w:rPr>
      </w:pPr>
    </w:p>
    <w:p w14:paraId="5D286CD7" w14:textId="331D01A4" w:rsidR="00961D43" w:rsidRPr="00650F05" w:rsidRDefault="002922E4" w:rsidP="000B6B32">
      <w:pPr>
        <w:spacing w:line="240" w:lineRule="auto"/>
        <w:ind w:left="567" w:right="521"/>
        <w:jc w:val="both"/>
        <w:rPr>
          <w:rFonts w:ascii="Tahoma" w:hAnsi="Tahoma"/>
        </w:rPr>
      </w:pPr>
      <w:r w:rsidRPr="00650F05">
        <w:rPr>
          <w:rFonts w:ascii="Tahoma" w:hAnsi="Tahoma"/>
        </w:rPr>
        <w:t>“</w:t>
      </w:r>
      <w:r w:rsidR="00887011" w:rsidRPr="00650F05">
        <w:rPr>
          <w:rFonts w:ascii="Tahoma" w:hAnsi="Tahoma"/>
        </w:rPr>
        <w:t xml:space="preserve">… whilst I came to university to improve my chances of getting </w:t>
      </w:r>
      <w:r w:rsidR="00AC55B6" w:rsidRPr="00650F05">
        <w:rPr>
          <w:rFonts w:ascii="Tahoma" w:hAnsi="Tahoma"/>
        </w:rPr>
        <w:t>a job in the future</w:t>
      </w:r>
      <w:r w:rsidR="00887011" w:rsidRPr="00650F05">
        <w:rPr>
          <w:rFonts w:ascii="Tahoma" w:hAnsi="Tahoma"/>
        </w:rPr>
        <w:t xml:space="preserve">, I am unsure whether I am </w:t>
      </w:r>
      <w:r w:rsidR="00902971" w:rsidRPr="00650F05">
        <w:rPr>
          <w:rFonts w:ascii="Tahoma" w:hAnsi="Tahoma"/>
        </w:rPr>
        <w:t>ready</w:t>
      </w:r>
      <w:r w:rsidR="00887011" w:rsidRPr="00650F05">
        <w:rPr>
          <w:rFonts w:ascii="Tahoma" w:hAnsi="Tahoma"/>
        </w:rPr>
        <w:t xml:space="preserve"> to </w:t>
      </w:r>
      <w:r w:rsidR="00AC55B6" w:rsidRPr="00650F05">
        <w:rPr>
          <w:rFonts w:ascii="Tahoma" w:hAnsi="Tahoma"/>
        </w:rPr>
        <w:t>leave and work full-time</w:t>
      </w:r>
      <w:r w:rsidR="003452B9" w:rsidRPr="00650F05">
        <w:rPr>
          <w:rFonts w:ascii="Tahoma" w:hAnsi="Tahoma"/>
        </w:rPr>
        <w:t>. … I’m just not ready for university to end</w:t>
      </w:r>
      <w:r w:rsidR="0093292F" w:rsidRPr="00650F05">
        <w:rPr>
          <w:rFonts w:ascii="Tahoma" w:hAnsi="Tahoma"/>
        </w:rPr>
        <w:t xml:space="preserve"> and don’t want to </w:t>
      </w:r>
      <w:r w:rsidR="006431FC" w:rsidRPr="00650F05">
        <w:rPr>
          <w:rFonts w:ascii="Tahoma" w:hAnsi="Tahoma"/>
        </w:rPr>
        <w:t>‘</w:t>
      </w:r>
      <w:r w:rsidR="0093292F" w:rsidRPr="00650F05">
        <w:rPr>
          <w:rFonts w:ascii="Tahoma" w:hAnsi="Tahoma"/>
        </w:rPr>
        <w:t>stress</w:t>
      </w:r>
      <w:r w:rsidR="006431FC" w:rsidRPr="00650F05">
        <w:rPr>
          <w:rFonts w:ascii="Tahoma" w:hAnsi="Tahoma"/>
        </w:rPr>
        <w:t>’</w:t>
      </w:r>
      <w:r w:rsidR="0093292F" w:rsidRPr="00650F05">
        <w:rPr>
          <w:rFonts w:ascii="Tahoma" w:hAnsi="Tahoma"/>
        </w:rPr>
        <w:t xml:space="preserve"> about jobs.”</w:t>
      </w:r>
    </w:p>
    <w:p w14:paraId="3F3DE42B" w14:textId="1BFDB5AD" w:rsidR="00961D43" w:rsidRPr="00650F05" w:rsidRDefault="00961D43" w:rsidP="000563CD">
      <w:pPr>
        <w:spacing w:line="480" w:lineRule="auto"/>
        <w:jc w:val="both"/>
        <w:rPr>
          <w:rFonts w:ascii="Tahoma" w:hAnsi="Tahoma"/>
        </w:rPr>
      </w:pPr>
    </w:p>
    <w:p w14:paraId="5BD461E0" w14:textId="47AE5F52" w:rsidR="007E4C78" w:rsidRPr="00650F05" w:rsidRDefault="000310D3" w:rsidP="007E4C78">
      <w:pPr>
        <w:spacing w:line="240" w:lineRule="auto"/>
        <w:ind w:left="567" w:right="521"/>
        <w:jc w:val="both"/>
        <w:rPr>
          <w:rFonts w:ascii="Tahoma" w:hAnsi="Tahoma"/>
        </w:rPr>
      </w:pPr>
      <w:r w:rsidRPr="00650F05">
        <w:rPr>
          <w:rFonts w:ascii="Tahoma" w:hAnsi="Tahoma"/>
        </w:rPr>
        <w:t>“To go from university to full-time work seems like a big jump</w:t>
      </w:r>
      <w:r w:rsidR="007212AE" w:rsidRPr="00650F05">
        <w:rPr>
          <w:rFonts w:ascii="Tahoma" w:hAnsi="Tahoma"/>
        </w:rPr>
        <w:t xml:space="preserve">… </w:t>
      </w:r>
      <w:r w:rsidR="007E4C78" w:rsidRPr="00650F05">
        <w:rPr>
          <w:rFonts w:ascii="Tahoma" w:hAnsi="Tahoma"/>
        </w:rPr>
        <w:t>do I have enough experience?</w:t>
      </w:r>
      <w:r w:rsidRPr="00650F05">
        <w:rPr>
          <w:rFonts w:ascii="Tahoma" w:hAnsi="Tahoma"/>
        </w:rPr>
        <w:t xml:space="preserve"> </w:t>
      </w:r>
      <w:r w:rsidR="007E4C78" w:rsidRPr="00650F05">
        <w:rPr>
          <w:rFonts w:ascii="Tahoma" w:hAnsi="Tahoma"/>
        </w:rPr>
        <w:t xml:space="preserve">… </w:t>
      </w:r>
      <w:r w:rsidR="006C2791" w:rsidRPr="00650F05">
        <w:rPr>
          <w:rFonts w:ascii="Tahoma" w:hAnsi="Tahoma"/>
        </w:rPr>
        <w:t xml:space="preserve">I want a good job </w:t>
      </w:r>
      <w:r w:rsidR="00387B8C" w:rsidRPr="00650F05">
        <w:rPr>
          <w:rFonts w:ascii="Tahoma" w:hAnsi="Tahoma"/>
        </w:rPr>
        <w:t xml:space="preserve">and I’m excited by </w:t>
      </w:r>
      <w:r w:rsidR="008A0953" w:rsidRPr="00650F05">
        <w:rPr>
          <w:rFonts w:ascii="Tahoma" w:hAnsi="Tahoma"/>
        </w:rPr>
        <w:t>it</w:t>
      </w:r>
      <w:r w:rsidR="006431FC" w:rsidRPr="00650F05">
        <w:rPr>
          <w:rFonts w:ascii="Tahoma" w:hAnsi="Tahoma"/>
        </w:rPr>
        <w:t xml:space="preserve"> </w:t>
      </w:r>
      <w:r w:rsidR="006C2791" w:rsidRPr="00650F05">
        <w:rPr>
          <w:rFonts w:ascii="Tahoma" w:hAnsi="Tahoma"/>
        </w:rPr>
        <w:t xml:space="preserve">but I’m not sure if I’m quite ready </w:t>
      </w:r>
      <w:r w:rsidR="002657B6" w:rsidRPr="00650F05">
        <w:rPr>
          <w:rFonts w:ascii="Tahoma" w:hAnsi="Tahoma"/>
        </w:rPr>
        <w:t xml:space="preserve">for it. … it’s a bit </w:t>
      </w:r>
      <w:r w:rsidR="006431FC" w:rsidRPr="00650F05">
        <w:rPr>
          <w:rFonts w:ascii="Tahoma" w:hAnsi="Tahoma"/>
        </w:rPr>
        <w:t xml:space="preserve">nerve wracking </w:t>
      </w:r>
      <w:r w:rsidR="00065FC6" w:rsidRPr="00650F05">
        <w:rPr>
          <w:rFonts w:ascii="Tahoma" w:hAnsi="Tahoma"/>
        </w:rPr>
        <w:t xml:space="preserve">but </w:t>
      </w:r>
      <w:r w:rsidR="009724A8" w:rsidRPr="00650F05">
        <w:rPr>
          <w:rFonts w:ascii="Tahoma" w:hAnsi="Tahoma"/>
        </w:rPr>
        <w:t xml:space="preserve">almost </w:t>
      </w:r>
      <w:r w:rsidR="00065FC6" w:rsidRPr="00650F05">
        <w:rPr>
          <w:rFonts w:ascii="Tahoma" w:hAnsi="Tahoma"/>
        </w:rPr>
        <w:t>everybody does it</w:t>
      </w:r>
      <w:r w:rsidR="002657B6" w:rsidRPr="00650F05">
        <w:rPr>
          <w:rFonts w:ascii="Tahoma" w:hAnsi="Tahoma"/>
        </w:rPr>
        <w:t>.”</w:t>
      </w:r>
      <w:r w:rsidR="007E4C78" w:rsidRPr="00650F05">
        <w:rPr>
          <w:rFonts w:ascii="Tahoma" w:hAnsi="Tahoma"/>
        </w:rPr>
        <w:t xml:space="preserve"> </w:t>
      </w:r>
    </w:p>
    <w:p w14:paraId="41CA5393" w14:textId="4349CE3E" w:rsidR="00961D43" w:rsidRPr="00650F05" w:rsidRDefault="00961D43" w:rsidP="000563CD">
      <w:pPr>
        <w:spacing w:line="480" w:lineRule="auto"/>
        <w:jc w:val="both"/>
        <w:rPr>
          <w:rFonts w:ascii="Tahoma" w:hAnsi="Tahoma"/>
        </w:rPr>
      </w:pPr>
    </w:p>
    <w:p w14:paraId="0179F6B2" w14:textId="20F2E3B3" w:rsidR="007212AE" w:rsidRPr="00650F05" w:rsidRDefault="007E4C78" w:rsidP="000563CD">
      <w:pPr>
        <w:spacing w:line="480" w:lineRule="auto"/>
        <w:jc w:val="both"/>
        <w:rPr>
          <w:rFonts w:ascii="Tahoma" w:hAnsi="Tahoma"/>
        </w:rPr>
      </w:pPr>
      <w:r w:rsidRPr="00650F05">
        <w:rPr>
          <w:rFonts w:ascii="Tahoma" w:hAnsi="Tahoma"/>
        </w:rPr>
        <w:t xml:space="preserve">Despite the prevalence of anxiety </w:t>
      </w:r>
      <w:r w:rsidR="00437AC4" w:rsidRPr="00650F05">
        <w:rPr>
          <w:rFonts w:ascii="Tahoma" w:hAnsi="Tahoma"/>
        </w:rPr>
        <w:t>for</w:t>
      </w:r>
      <w:r w:rsidRPr="00650F05">
        <w:rPr>
          <w:rFonts w:ascii="Tahoma" w:hAnsi="Tahoma"/>
        </w:rPr>
        <w:t xml:space="preserve"> </w:t>
      </w:r>
      <w:r w:rsidR="00C557A0" w:rsidRPr="00650F05">
        <w:rPr>
          <w:rFonts w:ascii="Tahoma" w:hAnsi="Tahoma"/>
        </w:rPr>
        <w:t>some</w:t>
      </w:r>
      <w:r w:rsidR="009724A8" w:rsidRPr="00650F05">
        <w:rPr>
          <w:rFonts w:ascii="Tahoma" w:hAnsi="Tahoma"/>
        </w:rPr>
        <w:t xml:space="preserve"> participants</w:t>
      </w:r>
      <w:r w:rsidRPr="00650F05">
        <w:rPr>
          <w:rFonts w:ascii="Tahoma" w:hAnsi="Tahoma"/>
        </w:rPr>
        <w:t xml:space="preserve">, it did not significantly dampen spirits </w:t>
      </w:r>
      <w:r w:rsidR="008348E8" w:rsidRPr="00650F05">
        <w:rPr>
          <w:rFonts w:ascii="Tahoma" w:hAnsi="Tahoma"/>
        </w:rPr>
        <w:t xml:space="preserve">surrounding </w:t>
      </w:r>
      <w:r w:rsidRPr="00650F05">
        <w:rPr>
          <w:rFonts w:ascii="Tahoma" w:hAnsi="Tahoma"/>
        </w:rPr>
        <w:t>the</w:t>
      </w:r>
      <w:r w:rsidR="008348E8" w:rsidRPr="00650F05">
        <w:rPr>
          <w:rFonts w:ascii="Tahoma" w:hAnsi="Tahoma"/>
        </w:rPr>
        <w:t>ir</w:t>
      </w:r>
      <w:r w:rsidRPr="00650F05">
        <w:rPr>
          <w:rFonts w:ascii="Tahoma" w:hAnsi="Tahoma"/>
        </w:rPr>
        <w:t xml:space="preserve"> </w:t>
      </w:r>
      <w:r w:rsidR="009724A8" w:rsidRPr="00650F05">
        <w:rPr>
          <w:rFonts w:ascii="Tahoma" w:hAnsi="Tahoma"/>
        </w:rPr>
        <w:t>upcoming transition to work</w:t>
      </w:r>
      <w:r w:rsidRPr="00650F05">
        <w:rPr>
          <w:rFonts w:ascii="Tahoma" w:hAnsi="Tahoma"/>
        </w:rPr>
        <w:t xml:space="preserve">. </w:t>
      </w:r>
      <w:r w:rsidR="00FF41A1" w:rsidRPr="00650F05">
        <w:rPr>
          <w:rFonts w:ascii="Tahoma" w:hAnsi="Tahoma"/>
        </w:rPr>
        <w:t>Like</w:t>
      </w:r>
      <w:r w:rsidR="0042238B" w:rsidRPr="00650F05">
        <w:rPr>
          <w:rFonts w:ascii="Tahoma" w:hAnsi="Tahoma"/>
        </w:rPr>
        <w:t xml:space="preserve"> McSweeney and Williams (201</w:t>
      </w:r>
      <w:r w:rsidR="007A2875" w:rsidRPr="00650F05">
        <w:rPr>
          <w:rFonts w:ascii="Tahoma" w:hAnsi="Tahoma"/>
        </w:rPr>
        <w:t>9</w:t>
      </w:r>
      <w:r w:rsidR="0042238B" w:rsidRPr="00650F05">
        <w:rPr>
          <w:rFonts w:ascii="Tahoma" w:hAnsi="Tahoma"/>
        </w:rPr>
        <w:t>) findings, p</w:t>
      </w:r>
      <w:r w:rsidRPr="00650F05">
        <w:rPr>
          <w:rFonts w:ascii="Tahoma" w:hAnsi="Tahoma"/>
        </w:rPr>
        <w:t>articipants</w:t>
      </w:r>
      <w:r w:rsidR="009724A8" w:rsidRPr="00650F05">
        <w:rPr>
          <w:rFonts w:ascii="Tahoma" w:hAnsi="Tahoma"/>
        </w:rPr>
        <w:t xml:space="preserve"> expressed views of excitement and readiness, despite being unsure of what the future held for them.</w:t>
      </w:r>
      <w:r w:rsidR="0011514C" w:rsidRPr="00650F05">
        <w:rPr>
          <w:rFonts w:ascii="Tahoma" w:hAnsi="Tahoma"/>
        </w:rPr>
        <w:t xml:space="preserve"> The comments below support Muñiz and Eimerbrink (2018) view that universities play a crucial role in career readiness by preparing students with a blend of both knowledge and experience to further increase their employability and attractiveness to employers.</w:t>
      </w:r>
      <w:r w:rsidR="009724A8" w:rsidRPr="00650F05">
        <w:rPr>
          <w:rFonts w:ascii="Tahoma" w:hAnsi="Tahoma"/>
        </w:rPr>
        <w:t xml:space="preserve"> Participants noted,</w:t>
      </w:r>
    </w:p>
    <w:p w14:paraId="13E03C06" w14:textId="1C6B7ACA" w:rsidR="009724A8" w:rsidRPr="00650F05" w:rsidRDefault="009724A8" w:rsidP="000563CD">
      <w:pPr>
        <w:spacing w:line="480" w:lineRule="auto"/>
        <w:jc w:val="both"/>
        <w:rPr>
          <w:rFonts w:ascii="Tahoma" w:hAnsi="Tahoma"/>
        </w:rPr>
      </w:pPr>
    </w:p>
    <w:p w14:paraId="750B5467" w14:textId="77777777" w:rsidR="009724A8" w:rsidRPr="00650F05" w:rsidRDefault="009724A8" w:rsidP="009724A8">
      <w:pPr>
        <w:spacing w:line="240" w:lineRule="auto"/>
        <w:ind w:left="567" w:right="521"/>
        <w:jc w:val="both"/>
        <w:rPr>
          <w:rFonts w:ascii="Tahoma" w:hAnsi="Tahoma"/>
        </w:rPr>
      </w:pPr>
      <w:r w:rsidRPr="00650F05">
        <w:rPr>
          <w:rFonts w:ascii="Tahoma" w:hAnsi="Tahoma"/>
        </w:rPr>
        <w:t>“I’m looking forward to getting a full-time job but I’m still a bit unsure about what I want to do and where I want to go. … there’s a lot of competition for jobs…”.</w:t>
      </w:r>
    </w:p>
    <w:p w14:paraId="62524B3B" w14:textId="0A1D0AF3" w:rsidR="009724A8" w:rsidRPr="00650F05" w:rsidRDefault="009724A8" w:rsidP="000563CD">
      <w:pPr>
        <w:spacing w:line="480" w:lineRule="auto"/>
        <w:jc w:val="both"/>
        <w:rPr>
          <w:rFonts w:ascii="Tahoma" w:hAnsi="Tahoma"/>
        </w:rPr>
      </w:pPr>
    </w:p>
    <w:p w14:paraId="4F307351" w14:textId="1DA81577" w:rsidR="00C557A0" w:rsidRPr="00650F05" w:rsidRDefault="00C557A0" w:rsidP="00C557A0">
      <w:pPr>
        <w:spacing w:line="240" w:lineRule="auto"/>
        <w:ind w:left="567" w:right="521"/>
        <w:jc w:val="both"/>
        <w:rPr>
          <w:rFonts w:ascii="Tahoma" w:hAnsi="Tahoma"/>
        </w:rPr>
      </w:pPr>
      <w:r w:rsidRPr="00650F05">
        <w:rPr>
          <w:rFonts w:ascii="Tahoma" w:hAnsi="Tahoma"/>
        </w:rPr>
        <w:t>“… I feel ready for it [work]</w:t>
      </w:r>
      <w:r w:rsidR="0011514C" w:rsidRPr="00650F05">
        <w:rPr>
          <w:rFonts w:ascii="Tahoma" w:hAnsi="Tahoma"/>
        </w:rPr>
        <w:t>, I have skills that could be attractive to employers that I’ve developed at university</w:t>
      </w:r>
      <w:r w:rsidR="00AE6910" w:rsidRPr="00650F05">
        <w:rPr>
          <w:rFonts w:ascii="Tahoma" w:hAnsi="Tahoma"/>
        </w:rPr>
        <w:t xml:space="preserve"> and on placement</w:t>
      </w:r>
      <w:r w:rsidR="0011514C" w:rsidRPr="00650F05">
        <w:rPr>
          <w:rFonts w:ascii="Tahoma" w:hAnsi="Tahoma"/>
        </w:rPr>
        <w:t>…</w:t>
      </w:r>
      <w:r w:rsidRPr="00650F05">
        <w:rPr>
          <w:rFonts w:ascii="Tahoma" w:hAnsi="Tahoma"/>
        </w:rPr>
        <w:t xml:space="preserve"> and I’m looking forward to exploring my opportunities</w:t>
      </w:r>
      <w:r w:rsidR="0042238B" w:rsidRPr="00650F05">
        <w:rPr>
          <w:rFonts w:ascii="Tahoma" w:hAnsi="Tahoma"/>
        </w:rPr>
        <w:t xml:space="preserve"> soon</w:t>
      </w:r>
      <w:r w:rsidRPr="00650F05">
        <w:rPr>
          <w:rFonts w:ascii="Tahoma" w:hAnsi="Tahoma"/>
        </w:rPr>
        <w:t>”.</w:t>
      </w:r>
    </w:p>
    <w:p w14:paraId="397DC942" w14:textId="77777777" w:rsidR="0011514C" w:rsidRPr="00650F05" w:rsidRDefault="0011514C" w:rsidP="000563CD">
      <w:pPr>
        <w:spacing w:line="480" w:lineRule="auto"/>
        <w:jc w:val="both"/>
        <w:rPr>
          <w:rFonts w:ascii="Tahoma" w:hAnsi="Tahoma"/>
        </w:rPr>
      </w:pPr>
    </w:p>
    <w:p w14:paraId="004B8E8A" w14:textId="7FCD7893" w:rsidR="0042238B" w:rsidRPr="00650F05" w:rsidRDefault="0042238B" w:rsidP="000563CD">
      <w:pPr>
        <w:spacing w:line="480" w:lineRule="auto"/>
        <w:jc w:val="both"/>
        <w:rPr>
          <w:rFonts w:ascii="Tahoma" w:hAnsi="Tahoma"/>
        </w:rPr>
      </w:pPr>
      <w:r w:rsidRPr="00650F05">
        <w:rPr>
          <w:rFonts w:ascii="Tahoma" w:hAnsi="Tahoma"/>
        </w:rPr>
        <w:lastRenderedPageBreak/>
        <w:t xml:space="preserve">There was a feeling amongst some participants that industry employers had specific expectations of graduates within the workplace, which may have added to the anxiety felt by participants </w:t>
      </w:r>
      <w:r w:rsidR="00FB0589" w:rsidRPr="00650F05">
        <w:rPr>
          <w:rFonts w:ascii="Tahoma" w:hAnsi="Tahoma"/>
        </w:rPr>
        <w:t>and the</w:t>
      </w:r>
      <w:r w:rsidR="00CE37EA" w:rsidRPr="00650F05">
        <w:rPr>
          <w:rFonts w:ascii="Tahoma" w:hAnsi="Tahoma"/>
        </w:rPr>
        <w:t xml:space="preserve"> participants expressing views about not feeling ready</w:t>
      </w:r>
      <w:r w:rsidRPr="00650F05">
        <w:rPr>
          <w:rFonts w:ascii="Tahoma" w:hAnsi="Tahoma"/>
        </w:rPr>
        <w:t xml:space="preserve">. </w:t>
      </w:r>
      <w:r w:rsidR="00487A2E" w:rsidRPr="00650F05">
        <w:rPr>
          <w:rFonts w:ascii="Tahoma" w:hAnsi="Tahoma"/>
        </w:rPr>
        <w:t>Furthermore, the competitiveness of the graduate job market was something that participants</w:t>
      </w:r>
      <w:r w:rsidR="00962F62" w:rsidRPr="00650F05">
        <w:rPr>
          <w:rFonts w:ascii="Tahoma" w:hAnsi="Tahoma"/>
        </w:rPr>
        <w:t xml:space="preserve"> were acutely aware of</w:t>
      </w:r>
      <w:r w:rsidR="00487A2E" w:rsidRPr="00650F05">
        <w:rPr>
          <w:rFonts w:ascii="Tahoma" w:hAnsi="Tahoma"/>
        </w:rPr>
        <w:t xml:space="preserve">. </w:t>
      </w:r>
      <w:r w:rsidR="00C61518" w:rsidRPr="00650F05">
        <w:rPr>
          <w:rFonts w:ascii="Tahoma" w:hAnsi="Tahoma"/>
        </w:rPr>
        <w:t>Participants noted,</w:t>
      </w:r>
    </w:p>
    <w:p w14:paraId="7963F3A8" w14:textId="0A8764F4" w:rsidR="00C61518" w:rsidRPr="00650F05" w:rsidRDefault="00C61518" w:rsidP="000563CD">
      <w:pPr>
        <w:spacing w:line="480" w:lineRule="auto"/>
        <w:jc w:val="both"/>
        <w:rPr>
          <w:rFonts w:ascii="Tahoma" w:hAnsi="Tahoma"/>
        </w:rPr>
      </w:pPr>
    </w:p>
    <w:p w14:paraId="488BE14C" w14:textId="49690607" w:rsidR="00C61518" w:rsidRPr="00650F05" w:rsidRDefault="00C61518" w:rsidP="00C61518">
      <w:pPr>
        <w:spacing w:line="240" w:lineRule="auto"/>
        <w:ind w:left="567" w:right="521"/>
        <w:jc w:val="both"/>
        <w:rPr>
          <w:rFonts w:ascii="Tahoma" w:hAnsi="Tahoma"/>
        </w:rPr>
      </w:pPr>
      <w:r w:rsidRPr="00650F05">
        <w:rPr>
          <w:rFonts w:ascii="Tahoma" w:hAnsi="Tahoma"/>
        </w:rPr>
        <w:t>“I know that I’m ready to start my career, however, it is hard to get a job at the moment… there’s a lot of competition for graduate jobs…”.</w:t>
      </w:r>
    </w:p>
    <w:p w14:paraId="07388DEE" w14:textId="77777777" w:rsidR="00C61518" w:rsidRPr="00650F05" w:rsidRDefault="00C61518" w:rsidP="000563CD">
      <w:pPr>
        <w:spacing w:line="480" w:lineRule="auto"/>
        <w:jc w:val="both"/>
        <w:rPr>
          <w:rFonts w:ascii="Tahoma" w:hAnsi="Tahoma"/>
        </w:rPr>
      </w:pPr>
    </w:p>
    <w:p w14:paraId="394F089C" w14:textId="4C76773D" w:rsidR="00C61518" w:rsidRPr="00650F05" w:rsidRDefault="00C61518" w:rsidP="00C61518">
      <w:pPr>
        <w:spacing w:line="240" w:lineRule="auto"/>
        <w:ind w:left="567" w:right="521"/>
        <w:jc w:val="both"/>
        <w:rPr>
          <w:rFonts w:ascii="Tahoma" w:hAnsi="Tahoma"/>
        </w:rPr>
      </w:pPr>
      <w:r w:rsidRPr="00650F05">
        <w:rPr>
          <w:rFonts w:ascii="Tahoma" w:hAnsi="Tahoma"/>
        </w:rPr>
        <w:t xml:space="preserve">“Employers have high expectations for graduate’s, especially if you come in at a </w:t>
      </w:r>
      <w:r w:rsidR="00C151CC" w:rsidRPr="00650F05">
        <w:rPr>
          <w:rFonts w:ascii="Tahoma" w:hAnsi="Tahoma"/>
        </w:rPr>
        <w:t>graduate level</w:t>
      </w:r>
      <w:r w:rsidR="00487A2E" w:rsidRPr="00650F05">
        <w:rPr>
          <w:rFonts w:ascii="Tahoma" w:hAnsi="Tahoma"/>
        </w:rPr>
        <w:t>.</w:t>
      </w:r>
      <w:r w:rsidR="009D4F63" w:rsidRPr="00650F05">
        <w:rPr>
          <w:rFonts w:ascii="Tahoma" w:hAnsi="Tahoma"/>
        </w:rPr>
        <w:t xml:space="preserve"> </w:t>
      </w:r>
      <w:r w:rsidR="00487A2E" w:rsidRPr="00650F05">
        <w:rPr>
          <w:rFonts w:ascii="Tahoma" w:hAnsi="Tahoma"/>
        </w:rPr>
        <w:t xml:space="preserve">… </w:t>
      </w:r>
      <w:r w:rsidR="00F474F4" w:rsidRPr="00650F05">
        <w:rPr>
          <w:rFonts w:ascii="Tahoma" w:hAnsi="Tahoma"/>
        </w:rPr>
        <w:t>I’m</w:t>
      </w:r>
      <w:r w:rsidR="00487A2E" w:rsidRPr="00650F05">
        <w:rPr>
          <w:rFonts w:ascii="Tahoma" w:hAnsi="Tahoma"/>
        </w:rPr>
        <w:t xml:space="preserve"> confident but I’ll have to prove myself to others again…</w:t>
      </w:r>
      <w:r w:rsidRPr="00650F05">
        <w:rPr>
          <w:rFonts w:ascii="Tahoma" w:hAnsi="Tahoma"/>
        </w:rPr>
        <w:t>”.</w:t>
      </w:r>
    </w:p>
    <w:p w14:paraId="3E81E0FA" w14:textId="17A0BE00" w:rsidR="00C557A0" w:rsidRPr="00650F05" w:rsidRDefault="00C557A0" w:rsidP="000563CD">
      <w:pPr>
        <w:spacing w:line="480" w:lineRule="auto"/>
        <w:jc w:val="both"/>
        <w:rPr>
          <w:rFonts w:ascii="Tahoma" w:hAnsi="Tahoma"/>
        </w:rPr>
      </w:pPr>
    </w:p>
    <w:p w14:paraId="66174C69" w14:textId="43AB7C4F" w:rsidR="009549A4" w:rsidRPr="00650F05" w:rsidRDefault="002409E3" w:rsidP="000563CD">
      <w:pPr>
        <w:spacing w:line="480" w:lineRule="auto"/>
        <w:jc w:val="both"/>
        <w:rPr>
          <w:rFonts w:ascii="Tahoma" w:hAnsi="Tahoma"/>
        </w:rPr>
      </w:pPr>
      <w:r w:rsidRPr="00650F05">
        <w:rPr>
          <w:rFonts w:ascii="Tahoma" w:hAnsi="Tahoma"/>
        </w:rPr>
        <w:t>T</w:t>
      </w:r>
      <w:r w:rsidR="00874F40" w:rsidRPr="00650F05">
        <w:rPr>
          <w:rFonts w:ascii="Tahoma" w:hAnsi="Tahoma"/>
        </w:rPr>
        <w:t>he participants</w:t>
      </w:r>
      <w:r w:rsidR="00AC68FF" w:rsidRPr="00650F05">
        <w:rPr>
          <w:rFonts w:ascii="Tahoma" w:hAnsi="Tahoma"/>
        </w:rPr>
        <w:t xml:space="preserve"> demonstrated</w:t>
      </w:r>
      <w:r w:rsidR="003D2157" w:rsidRPr="00650F05">
        <w:rPr>
          <w:rFonts w:ascii="Tahoma" w:hAnsi="Tahoma"/>
        </w:rPr>
        <w:t xml:space="preserve"> </w:t>
      </w:r>
      <w:r w:rsidR="00874F40" w:rsidRPr="00650F05">
        <w:rPr>
          <w:rFonts w:ascii="Tahoma" w:hAnsi="Tahoma"/>
        </w:rPr>
        <w:t>c</w:t>
      </w:r>
      <w:r w:rsidR="00C80B72" w:rsidRPr="00650F05">
        <w:rPr>
          <w:rFonts w:ascii="Tahoma" w:hAnsi="Tahoma"/>
        </w:rPr>
        <w:t>areer readiness</w:t>
      </w:r>
      <w:r w:rsidR="00DF60D9" w:rsidRPr="00650F05">
        <w:rPr>
          <w:rFonts w:ascii="Tahoma" w:hAnsi="Tahoma"/>
        </w:rPr>
        <w:t xml:space="preserve"> when</w:t>
      </w:r>
      <w:r w:rsidR="00C80B72" w:rsidRPr="00650F05">
        <w:rPr>
          <w:rFonts w:ascii="Tahoma" w:hAnsi="Tahoma"/>
        </w:rPr>
        <w:t xml:space="preserve"> </w:t>
      </w:r>
      <w:r w:rsidR="00835026" w:rsidRPr="00650F05">
        <w:rPr>
          <w:rFonts w:ascii="Tahoma" w:hAnsi="Tahoma"/>
        </w:rPr>
        <w:t xml:space="preserve">referring to professional requirements, relevant </w:t>
      </w:r>
      <w:r w:rsidR="00F867D4" w:rsidRPr="00650F05">
        <w:rPr>
          <w:rFonts w:ascii="Tahoma" w:hAnsi="Tahoma"/>
        </w:rPr>
        <w:t>knowledge,</w:t>
      </w:r>
      <w:r w:rsidR="00835026" w:rsidRPr="00650F05">
        <w:rPr>
          <w:rFonts w:ascii="Tahoma" w:hAnsi="Tahoma"/>
        </w:rPr>
        <w:t xml:space="preserve"> and technical skills</w:t>
      </w:r>
      <w:r w:rsidR="00F26877" w:rsidRPr="00650F05">
        <w:rPr>
          <w:rFonts w:ascii="Tahoma" w:hAnsi="Tahoma"/>
        </w:rPr>
        <w:t>;</w:t>
      </w:r>
      <w:r w:rsidR="000659CC" w:rsidRPr="00650F05">
        <w:rPr>
          <w:rFonts w:ascii="Tahoma" w:hAnsi="Tahoma"/>
        </w:rPr>
        <w:t xml:space="preserve"> which were </w:t>
      </w:r>
      <w:r w:rsidR="009557F1" w:rsidRPr="00650F05">
        <w:rPr>
          <w:rFonts w:ascii="Tahoma" w:hAnsi="Tahoma"/>
        </w:rPr>
        <w:t>highlighted by Muñiz and Eimerbrink (2018) as ke</w:t>
      </w:r>
      <w:r w:rsidR="00B54C4C" w:rsidRPr="00650F05">
        <w:rPr>
          <w:rFonts w:ascii="Tahoma" w:hAnsi="Tahoma"/>
        </w:rPr>
        <w:t>y requirements for specific job roles in industry</w:t>
      </w:r>
      <w:r w:rsidR="006235AE" w:rsidRPr="00650F05">
        <w:rPr>
          <w:rFonts w:ascii="Tahoma" w:hAnsi="Tahoma"/>
        </w:rPr>
        <w:t>.</w:t>
      </w:r>
      <w:r w:rsidR="000D5BEE" w:rsidRPr="00650F05">
        <w:rPr>
          <w:rFonts w:ascii="Tahoma" w:hAnsi="Tahoma"/>
        </w:rPr>
        <w:t xml:space="preserve"> </w:t>
      </w:r>
      <w:r w:rsidR="00F4187C" w:rsidRPr="00650F05">
        <w:rPr>
          <w:rFonts w:ascii="Tahoma" w:hAnsi="Tahoma"/>
        </w:rPr>
        <w:t xml:space="preserve">The findings resoundingly echoed </w:t>
      </w:r>
      <w:r w:rsidR="006675FD" w:rsidRPr="00650F05">
        <w:rPr>
          <w:rFonts w:ascii="Tahoma" w:hAnsi="Tahoma"/>
        </w:rPr>
        <w:t xml:space="preserve">Mattern et al. (2014) </w:t>
      </w:r>
      <w:r w:rsidR="0063651C" w:rsidRPr="00650F05">
        <w:rPr>
          <w:rFonts w:ascii="Tahoma" w:hAnsi="Tahoma"/>
        </w:rPr>
        <w:t xml:space="preserve">career readiness </w:t>
      </w:r>
      <w:r w:rsidR="006675FD" w:rsidRPr="00650F05">
        <w:rPr>
          <w:rFonts w:ascii="Tahoma" w:hAnsi="Tahoma"/>
        </w:rPr>
        <w:t>definition</w:t>
      </w:r>
      <w:r w:rsidR="005F776C" w:rsidRPr="00650F05">
        <w:rPr>
          <w:rFonts w:ascii="Tahoma" w:hAnsi="Tahoma"/>
        </w:rPr>
        <w:t xml:space="preserve"> of </w:t>
      </w:r>
      <w:r w:rsidR="00C80B72" w:rsidRPr="00650F05">
        <w:rPr>
          <w:rFonts w:ascii="Tahoma" w:hAnsi="Tahoma"/>
        </w:rPr>
        <w:t>possessing skills presumed necessary for workforce success.</w:t>
      </w:r>
      <w:r w:rsidR="004170AC" w:rsidRPr="00650F05">
        <w:rPr>
          <w:rFonts w:ascii="Tahoma" w:hAnsi="Tahoma" w:cs="Tahoma"/>
        </w:rPr>
        <w:t xml:space="preserve"> </w:t>
      </w:r>
      <w:r w:rsidR="00F74948" w:rsidRPr="00650F05">
        <w:rPr>
          <w:rFonts w:ascii="Tahoma" w:hAnsi="Tahoma" w:cs="Tahoma"/>
        </w:rPr>
        <w:t>M</w:t>
      </w:r>
      <w:r w:rsidR="004170AC" w:rsidRPr="00650F05">
        <w:rPr>
          <w:rFonts w:ascii="Tahoma" w:hAnsi="Tahoma" w:cs="Tahoma"/>
        </w:rPr>
        <w:t xml:space="preserve">ost </w:t>
      </w:r>
      <w:r w:rsidR="004170AC" w:rsidRPr="00650F05">
        <w:rPr>
          <w:rFonts w:ascii="Tahoma" w:hAnsi="Tahoma"/>
        </w:rPr>
        <w:t xml:space="preserve">participants </w:t>
      </w:r>
      <w:r w:rsidR="00170AD2" w:rsidRPr="00650F05">
        <w:rPr>
          <w:rFonts w:ascii="Tahoma" w:hAnsi="Tahoma"/>
        </w:rPr>
        <w:t xml:space="preserve">appear to be </w:t>
      </w:r>
      <w:r w:rsidR="004170AC" w:rsidRPr="00650F05">
        <w:rPr>
          <w:rFonts w:ascii="Tahoma" w:hAnsi="Tahoma"/>
        </w:rPr>
        <w:t>aware of their inexperience</w:t>
      </w:r>
      <w:r w:rsidR="00B66779" w:rsidRPr="00650F05">
        <w:rPr>
          <w:rFonts w:ascii="Tahoma" w:hAnsi="Tahoma"/>
        </w:rPr>
        <w:t xml:space="preserve"> and </w:t>
      </w:r>
      <w:r w:rsidR="009549A4" w:rsidRPr="00650F05">
        <w:rPr>
          <w:rFonts w:ascii="Tahoma" w:hAnsi="Tahoma"/>
        </w:rPr>
        <w:t xml:space="preserve">that it is </w:t>
      </w:r>
      <w:r w:rsidR="00B66779" w:rsidRPr="00650F05">
        <w:rPr>
          <w:rFonts w:ascii="Tahoma" w:hAnsi="Tahoma"/>
        </w:rPr>
        <w:t xml:space="preserve">a </w:t>
      </w:r>
      <w:r w:rsidR="009549A4" w:rsidRPr="00650F05">
        <w:rPr>
          <w:rFonts w:ascii="Tahoma" w:hAnsi="Tahoma"/>
        </w:rPr>
        <w:t xml:space="preserve">very </w:t>
      </w:r>
      <w:r w:rsidR="003A0EAD" w:rsidRPr="00650F05">
        <w:rPr>
          <w:rFonts w:ascii="Tahoma" w:hAnsi="Tahoma"/>
        </w:rPr>
        <w:t>competitive</w:t>
      </w:r>
      <w:r w:rsidR="00B66779" w:rsidRPr="00650F05">
        <w:rPr>
          <w:rFonts w:ascii="Tahoma" w:hAnsi="Tahoma"/>
        </w:rPr>
        <w:t xml:space="preserve"> </w:t>
      </w:r>
      <w:r w:rsidR="00170AD2" w:rsidRPr="00650F05">
        <w:rPr>
          <w:rFonts w:ascii="Tahoma" w:hAnsi="Tahoma"/>
        </w:rPr>
        <w:t xml:space="preserve">graduate </w:t>
      </w:r>
      <w:r w:rsidR="00B66779" w:rsidRPr="00650F05">
        <w:rPr>
          <w:rFonts w:ascii="Tahoma" w:hAnsi="Tahoma"/>
        </w:rPr>
        <w:t>job market</w:t>
      </w:r>
      <w:r w:rsidR="00170AD2" w:rsidRPr="00650F05">
        <w:rPr>
          <w:rFonts w:ascii="Tahoma" w:hAnsi="Tahoma"/>
        </w:rPr>
        <w:t>, however,</w:t>
      </w:r>
      <w:r w:rsidR="004170AC" w:rsidRPr="00650F05">
        <w:rPr>
          <w:rFonts w:ascii="Tahoma" w:hAnsi="Tahoma"/>
        </w:rPr>
        <w:t xml:space="preserve"> </w:t>
      </w:r>
      <w:r w:rsidR="00D85469" w:rsidRPr="00650F05">
        <w:rPr>
          <w:rFonts w:ascii="Tahoma" w:hAnsi="Tahoma"/>
        </w:rPr>
        <w:t>there was a</w:t>
      </w:r>
      <w:r w:rsidR="002B009A" w:rsidRPr="00650F05">
        <w:rPr>
          <w:rFonts w:ascii="Tahoma" w:hAnsi="Tahoma"/>
        </w:rPr>
        <w:t>lso a</w:t>
      </w:r>
      <w:r w:rsidR="00D85469" w:rsidRPr="00650F05">
        <w:rPr>
          <w:rFonts w:ascii="Tahoma" w:hAnsi="Tahoma"/>
        </w:rPr>
        <w:t xml:space="preserve"> readiness amongst </w:t>
      </w:r>
      <w:r w:rsidR="00B6788D" w:rsidRPr="00650F05">
        <w:rPr>
          <w:rFonts w:ascii="Tahoma" w:hAnsi="Tahoma"/>
        </w:rPr>
        <w:t xml:space="preserve">participants </w:t>
      </w:r>
      <w:r w:rsidR="004170AC" w:rsidRPr="00650F05">
        <w:rPr>
          <w:rFonts w:ascii="Tahoma" w:hAnsi="Tahoma"/>
        </w:rPr>
        <w:t xml:space="preserve">to progress </w:t>
      </w:r>
      <w:r w:rsidR="002927AD" w:rsidRPr="00650F05">
        <w:rPr>
          <w:rFonts w:ascii="Tahoma" w:hAnsi="Tahoma"/>
        </w:rPr>
        <w:t>in</w:t>
      </w:r>
      <w:r w:rsidR="004170AC" w:rsidRPr="00650F05">
        <w:rPr>
          <w:rFonts w:ascii="Tahoma" w:hAnsi="Tahoma"/>
        </w:rPr>
        <w:t>to work</w:t>
      </w:r>
      <w:r w:rsidR="009549A4" w:rsidRPr="00650F05">
        <w:rPr>
          <w:rFonts w:ascii="Tahoma" w:hAnsi="Tahoma"/>
        </w:rPr>
        <w:t>,</w:t>
      </w:r>
      <w:r w:rsidR="009549A4" w:rsidRPr="00650F05">
        <w:rPr>
          <w:rFonts w:ascii="Tahoma" w:hAnsi="Tahoma" w:cs="Tahoma"/>
        </w:rPr>
        <w:t xml:space="preserve"> </w:t>
      </w:r>
      <w:r w:rsidR="00351848" w:rsidRPr="00650F05">
        <w:rPr>
          <w:rFonts w:ascii="Tahoma" w:hAnsi="Tahoma" w:cs="Tahoma"/>
        </w:rPr>
        <w:t xml:space="preserve">which are </w:t>
      </w:r>
      <w:r w:rsidR="00DB258F" w:rsidRPr="00650F05">
        <w:rPr>
          <w:rFonts w:ascii="Tahoma" w:hAnsi="Tahoma" w:cs="Tahoma"/>
        </w:rPr>
        <w:t xml:space="preserve">akin to </w:t>
      </w:r>
      <w:r w:rsidR="009549A4" w:rsidRPr="00650F05">
        <w:rPr>
          <w:rFonts w:ascii="Tahoma" w:hAnsi="Tahoma" w:cs="Tahoma"/>
        </w:rPr>
        <w:t>McSweeney’s (2014) findings</w:t>
      </w:r>
      <w:r w:rsidR="004170AC" w:rsidRPr="00650F05">
        <w:rPr>
          <w:rFonts w:ascii="Tahoma" w:hAnsi="Tahoma"/>
        </w:rPr>
        <w:t>.</w:t>
      </w:r>
    </w:p>
    <w:p w14:paraId="0CA5C984" w14:textId="5C169B10" w:rsidR="00C557A0" w:rsidRPr="00650F05" w:rsidRDefault="0058005B" w:rsidP="000563CD">
      <w:pPr>
        <w:spacing w:line="480" w:lineRule="auto"/>
        <w:jc w:val="both"/>
        <w:rPr>
          <w:rFonts w:ascii="Tahoma" w:hAnsi="Tahoma"/>
        </w:rPr>
      </w:pPr>
      <w:r w:rsidRPr="00650F05">
        <w:rPr>
          <w:rFonts w:ascii="Tahoma" w:hAnsi="Tahoma"/>
        </w:rPr>
        <w:t xml:space="preserve">Grounded in Bourdieu’s social theory, </w:t>
      </w:r>
      <w:r w:rsidR="00BD4785" w:rsidRPr="00650F05">
        <w:rPr>
          <w:rFonts w:ascii="Tahoma" w:hAnsi="Tahoma"/>
        </w:rPr>
        <w:t>most</w:t>
      </w:r>
      <w:r w:rsidRPr="00650F05">
        <w:rPr>
          <w:rFonts w:ascii="Tahoma" w:hAnsi="Tahoma"/>
        </w:rPr>
        <w:t xml:space="preserve"> participants demonstrated attitudes which supported what Tomlinson (2017, p.345) defines as ‘identity capital’, which is “the level of personal investment a graduate makes towards the development of their future career and employability”. With participants </w:t>
      </w:r>
      <w:r w:rsidR="00185EDC" w:rsidRPr="00650F05">
        <w:rPr>
          <w:rFonts w:ascii="Tahoma" w:hAnsi="Tahoma"/>
        </w:rPr>
        <w:t xml:space="preserve">(social agents) </w:t>
      </w:r>
      <w:r w:rsidR="006815F9" w:rsidRPr="00650F05">
        <w:rPr>
          <w:rFonts w:ascii="Tahoma" w:hAnsi="Tahoma"/>
        </w:rPr>
        <w:t xml:space="preserve">believing that the development of </w:t>
      </w:r>
      <w:r w:rsidRPr="00650F05">
        <w:rPr>
          <w:rFonts w:ascii="Tahoma" w:hAnsi="Tahoma"/>
        </w:rPr>
        <w:t>employability skills</w:t>
      </w:r>
      <w:r w:rsidR="00F6156A" w:rsidRPr="00650F05">
        <w:rPr>
          <w:rFonts w:ascii="Tahoma" w:hAnsi="Tahoma"/>
        </w:rPr>
        <w:t xml:space="preserve"> </w:t>
      </w:r>
      <w:r w:rsidR="003A6FEF" w:rsidRPr="00650F05">
        <w:rPr>
          <w:rFonts w:ascii="Tahoma" w:hAnsi="Tahoma"/>
        </w:rPr>
        <w:t xml:space="preserve">(habitus) </w:t>
      </w:r>
      <w:r w:rsidR="006815F9" w:rsidRPr="00650F05">
        <w:rPr>
          <w:rFonts w:ascii="Tahoma" w:hAnsi="Tahoma"/>
        </w:rPr>
        <w:t>at university</w:t>
      </w:r>
      <w:r w:rsidR="00862C18" w:rsidRPr="00650F05">
        <w:rPr>
          <w:rFonts w:ascii="Tahoma" w:hAnsi="Tahoma"/>
        </w:rPr>
        <w:t xml:space="preserve"> </w:t>
      </w:r>
      <w:r w:rsidR="006815F9" w:rsidRPr="00650F05">
        <w:rPr>
          <w:rFonts w:ascii="Tahoma" w:hAnsi="Tahoma"/>
        </w:rPr>
        <w:t xml:space="preserve">can be used as </w:t>
      </w:r>
      <w:r w:rsidRPr="00650F05">
        <w:rPr>
          <w:rFonts w:ascii="Tahoma" w:hAnsi="Tahoma"/>
        </w:rPr>
        <w:t>capital to progress within their chosen fields.</w:t>
      </w:r>
    </w:p>
    <w:p w14:paraId="228CDECA" w14:textId="77777777" w:rsidR="00B609A7" w:rsidRPr="00650F05" w:rsidRDefault="00B609A7" w:rsidP="000563CD">
      <w:pPr>
        <w:spacing w:line="480" w:lineRule="auto"/>
        <w:jc w:val="both"/>
        <w:rPr>
          <w:rFonts w:ascii="Tahoma" w:hAnsi="Tahoma"/>
        </w:rPr>
      </w:pPr>
    </w:p>
    <w:p w14:paraId="5DAC935C" w14:textId="2AE9635B" w:rsidR="00BC60ED" w:rsidRPr="00650F05" w:rsidRDefault="00163E6D" w:rsidP="000563CD">
      <w:pPr>
        <w:spacing w:line="480" w:lineRule="auto"/>
        <w:jc w:val="both"/>
        <w:rPr>
          <w:rFonts w:ascii="Tahoma" w:hAnsi="Tahoma"/>
        </w:rPr>
      </w:pPr>
      <w:r w:rsidRPr="00650F05">
        <w:rPr>
          <w:rFonts w:ascii="Tahoma" w:hAnsi="Tahoma"/>
          <w:b/>
          <w:bCs/>
        </w:rPr>
        <w:lastRenderedPageBreak/>
        <w:t>Key Theme:</w:t>
      </w:r>
      <w:r w:rsidRPr="00650F05">
        <w:rPr>
          <w:rFonts w:ascii="Tahoma" w:hAnsi="Tahoma"/>
        </w:rPr>
        <w:t xml:space="preserve"> </w:t>
      </w:r>
      <w:r w:rsidR="00BC60ED" w:rsidRPr="00650F05">
        <w:rPr>
          <w:rFonts w:ascii="Tahoma" w:hAnsi="Tahoma"/>
        </w:rPr>
        <w:t>Effective Preparation</w:t>
      </w:r>
    </w:p>
    <w:p w14:paraId="0133DB56" w14:textId="6DBCEDCF" w:rsidR="008F7C02" w:rsidRPr="00650F05" w:rsidRDefault="00AC1C3E" w:rsidP="00601053">
      <w:pPr>
        <w:spacing w:line="480" w:lineRule="auto"/>
        <w:jc w:val="both"/>
        <w:rPr>
          <w:rFonts w:ascii="Tahoma" w:hAnsi="Tahoma"/>
        </w:rPr>
      </w:pPr>
      <w:r w:rsidRPr="00650F05">
        <w:rPr>
          <w:rFonts w:ascii="Tahoma" w:hAnsi="Tahoma"/>
        </w:rPr>
        <w:t xml:space="preserve">The participants </w:t>
      </w:r>
      <w:r w:rsidR="007E189F" w:rsidRPr="00650F05">
        <w:rPr>
          <w:rFonts w:ascii="Tahoma" w:hAnsi="Tahoma"/>
        </w:rPr>
        <w:t>perceived themselves to be highly</w:t>
      </w:r>
      <w:r w:rsidR="00894B70" w:rsidRPr="00650F05">
        <w:rPr>
          <w:rFonts w:ascii="Tahoma" w:hAnsi="Tahoma"/>
        </w:rPr>
        <w:t xml:space="preserve"> self-efficacious</w:t>
      </w:r>
      <w:r w:rsidR="00601053" w:rsidRPr="00650F05">
        <w:rPr>
          <w:rFonts w:ascii="Tahoma" w:hAnsi="Tahoma"/>
        </w:rPr>
        <w:t xml:space="preserve"> in their preparedness for industry related roles</w:t>
      </w:r>
      <w:r w:rsidR="00962F62" w:rsidRPr="00650F05">
        <w:rPr>
          <w:rFonts w:ascii="Tahoma" w:hAnsi="Tahoma"/>
        </w:rPr>
        <w:t xml:space="preserve">, even if confidence in their readiness </w:t>
      </w:r>
      <w:r w:rsidR="005B242A" w:rsidRPr="00650F05">
        <w:rPr>
          <w:rFonts w:ascii="Tahoma" w:hAnsi="Tahoma"/>
        </w:rPr>
        <w:t xml:space="preserve">to leave university </w:t>
      </w:r>
      <w:r w:rsidR="00962F62" w:rsidRPr="00650F05">
        <w:rPr>
          <w:rFonts w:ascii="Tahoma" w:hAnsi="Tahoma"/>
        </w:rPr>
        <w:t xml:space="preserve">was in question. </w:t>
      </w:r>
      <w:r w:rsidR="00947733" w:rsidRPr="00650F05">
        <w:rPr>
          <w:rFonts w:ascii="Tahoma" w:hAnsi="Tahoma"/>
        </w:rPr>
        <w:t>All p</w:t>
      </w:r>
      <w:r w:rsidR="00962F62" w:rsidRPr="00650F05">
        <w:rPr>
          <w:rFonts w:ascii="Tahoma" w:hAnsi="Tahoma"/>
        </w:rPr>
        <w:t>articipants were complimentary of their courses’ c</w:t>
      </w:r>
      <w:r w:rsidR="006815F9" w:rsidRPr="00650F05">
        <w:rPr>
          <w:rFonts w:ascii="Tahoma" w:hAnsi="Tahoma"/>
        </w:rPr>
        <w:t>urriculum content</w:t>
      </w:r>
      <w:r w:rsidR="00962F62" w:rsidRPr="00650F05">
        <w:rPr>
          <w:rFonts w:ascii="Tahoma" w:hAnsi="Tahoma"/>
        </w:rPr>
        <w:t xml:space="preserve"> and </w:t>
      </w:r>
      <w:r w:rsidR="008F7C02" w:rsidRPr="00650F05">
        <w:rPr>
          <w:rFonts w:ascii="Tahoma" w:hAnsi="Tahoma"/>
        </w:rPr>
        <w:t>specifically the practice-based</w:t>
      </w:r>
      <w:r w:rsidR="00962F62" w:rsidRPr="00650F05">
        <w:rPr>
          <w:rFonts w:ascii="Tahoma" w:hAnsi="Tahoma"/>
        </w:rPr>
        <w:t xml:space="preserve"> elements of the curriculum (placements</w:t>
      </w:r>
      <w:r w:rsidR="008F7C02" w:rsidRPr="00650F05">
        <w:rPr>
          <w:rFonts w:ascii="Tahoma" w:hAnsi="Tahoma"/>
        </w:rPr>
        <w:t>, work experience and practical content) in preparing them with the necessary skills and understanding for work. Participants noted,</w:t>
      </w:r>
    </w:p>
    <w:p w14:paraId="5EB65A2C" w14:textId="77777777" w:rsidR="008F7C02" w:rsidRPr="00650F05" w:rsidRDefault="008F7C02" w:rsidP="008F7C02">
      <w:pPr>
        <w:spacing w:line="480" w:lineRule="auto"/>
        <w:jc w:val="both"/>
        <w:rPr>
          <w:rFonts w:ascii="Tahoma" w:hAnsi="Tahoma"/>
        </w:rPr>
      </w:pPr>
    </w:p>
    <w:p w14:paraId="6A747E6D" w14:textId="55050E4A" w:rsidR="008F7C02" w:rsidRPr="00650F05" w:rsidRDefault="008F7C02" w:rsidP="008F7C02">
      <w:pPr>
        <w:spacing w:line="240" w:lineRule="auto"/>
        <w:ind w:left="567" w:right="521"/>
        <w:jc w:val="both"/>
        <w:rPr>
          <w:rFonts w:ascii="Tahoma" w:hAnsi="Tahoma"/>
        </w:rPr>
      </w:pPr>
      <w:r w:rsidRPr="00650F05">
        <w:rPr>
          <w:rFonts w:ascii="Tahoma" w:hAnsi="Tahoma"/>
        </w:rPr>
        <w:t>“</w:t>
      </w:r>
      <w:r w:rsidR="00637558" w:rsidRPr="00650F05">
        <w:rPr>
          <w:rFonts w:ascii="Tahoma" w:hAnsi="Tahoma"/>
        </w:rPr>
        <w:t>The modules on my course are great, with lots of practical sessions to apply the things we learn in lectures. … I think that all of the practice we get [on our course] will only help me when it comes to getting a job after I graduate</w:t>
      </w:r>
      <w:r w:rsidRPr="00650F05">
        <w:rPr>
          <w:rFonts w:ascii="Tahoma" w:hAnsi="Tahoma"/>
        </w:rPr>
        <w:t>”.</w:t>
      </w:r>
    </w:p>
    <w:p w14:paraId="78843D1B" w14:textId="7F188FC6" w:rsidR="008F7C02" w:rsidRPr="00650F05" w:rsidRDefault="008F7C02" w:rsidP="008F7C02">
      <w:pPr>
        <w:spacing w:line="480" w:lineRule="auto"/>
        <w:jc w:val="both"/>
        <w:rPr>
          <w:rFonts w:ascii="Tahoma" w:hAnsi="Tahoma"/>
        </w:rPr>
      </w:pPr>
    </w:p>
    <w:p w14:paraId="12230B2B" w14:textId="4587264F" w:rsidR="008F7C02" w:rsidRPr="00650F05" w:rsidRDefault="008F7C02" w:rsidP="008F7C02">
      <w:pPr>
        <w:spacing w:line="240" w:lineRule="auto"/>
        <w:ind w:left="567" w:right="521"/>
        <w:jc w:val="both"/>
        <w:rPr>
          <w:rFonts w:ascii="Tahoma" w:hAnsi="Tahoma"/>
        </w:rPr>
      </w:pPr>
      <w:r w:rsidRPr="00650F05">
        <w:rPr>
          <w:rFonts w:ascii="Tahoma" w:hAnsi="Tahoma"/>
        </w:rPr>
        <w:t>“</w:t>
      </w:r>
      <w:r w:rsidR="00EB23E5" w:rsidRPr="00650F05">
        <w:rPr>
          <w:rFonts w:ascii="Tahoma" w:hAnsi="Tahoma"/>
        </w:rPr>
        <w:t xml:space="preserve">… the amount of </w:t>
      </w:r>
      <w:r w:rsidR="00E11A8C" w:rsidRPr="00650F05">
        <w:rPr>
          <w:rFonts w:ascii="Tahoma" w:hAnsi="Tahoma"/>
        </w:rPr>
        <w:t xml:space="preserve">practical and workshop sessions </w:t>
      </w:r>
      <w:r w:rsidR="00E75BDF" w:rsidRPr="00650F05">
        <w:rPr>
          <w:rFonts w:ascii="Tahoma" w:hAnsi="Tahoma"/>
        </w:rPr>
        <w:t xml:space="preserve">that </w:t>
      </w:r>
      <w:r w:rsidR="00E11A8C" w:rsidRPr="00650F05">
        <w:rPr>
          <w:rFonts w:ascii="Tahoma" w:hAnsi="Tahoma"/>
        </w:rPr>
        <w:t>we have on the course</w:t>
      </w:r>
      <w:r w:rsidR="00E75BDF" w:rsidRPr="00650F05">
        <w:rPr>
          <w:rFonts w:ascii="Tahoma" w:hAnsi="Tahoma"/>
        </w:rPr>
        <w:t xml:space="preserve"> </w:t>
      </w:r>
      <w:r w:rsidR="00CA2373" w:rsidRPr="00650F05">
        <w:rPr>
          <w:rFonts w:ascii="Tahoma" w:hAnsi="Tahoma"/>
        </w:rPr>
        <w:t xml:space="preserve">is helping </w:t>
      </w:r>
      <w:r w:rsidR="00E75BDF" w:rsidRPr="00650F05">
        <w:rPr>
          <w:rFonts w:ascii="Tahoma" w:hAnsi="Tahoma"/>
        </w:rPr>
        <w:t xml:space="preserve">to prepare me for </w:t>
      </w:r>
      <w:r w:rsidR="00C73FF7" w:rsidRPr="00650F05">
        <w:rPr>
          <w:rFonts w:ascii="Tahoma" w:hAnsi="Tahoma"/>
        </w:rPr>
        <w:t xml:space="preserve">[future] </w:t>
      </w:r>
      <w:r w:rsidR="00E75BDF" w:rsidRPr="00650F05">
        <w:rPr>
          <w:rFonts w:ascii="Tahoma" w:hAnsi="Tahoma"/>
        </w:rPr>
        <w:t>work</w:t>
      </w:r>
      <w:r w:rsidR="00AC7691" w:rsidRPr="00650F05">
        <w:rPr>
          <w:rFonts w:ascii="Tahoma" w:hAnsi="Tahoma"/>
        </w:rPr>
        <w:t xml:space="preserve"> …</w:t>
      </w:r>
      <w:r w:rsidRPr="00650F05">
        <w:rPr>
          <w:rFonts w:ascii="Tahoma" w:hAnsi="Tahoma"/>
        </w:rPr>
        <w:t>”.</w:t>
      </w:r>
    </w:p>
    <w:p w14:paraId="52321C2E" w14:textId="77777777" w:rsidR="00947733" w:rsidRPr="00650F05" w:rsidRDefault="00947733" w:rsidP="008F7C02">
      <w:pPr>
        <w:spacing w:line="480" w:lineRule="auto"/>
        <w:jc w:val="both"/>
        <w:rPr>
          <w:rFonts w:ascii="Tahoma" w:hAnsi="Tahoma"/>
        </w:rPr>
      </w:pPr>
    </w:p>
    <w:p w14:paraId="11BC2E35" w14:textId="16E732DB" w:rsidR="008F7C02" w:rsidRPr="00650F05" w:rsidRDefault="00024C5D" w:rsidP="008F7C02">
      <w:pPr>
        <w:spacing w:line="480" w:lineRule="auto"/>
        <w:jc w:val="both"/>
        <w:rPr>
          <w:rFonts w:ascii="Tahoma" w:hAnsi="Tahoma"/>
        </w:rPr>
      </w:pPr>
      <w:r w:rsidRPr="00650F05">
        <w:rPr>
          <w:rFonts w:ascii="Tahoma" w:hAnsi="Tahoma"/>
        </w:rPr>
        <w:t xml:space="preserve">These findings support </w:t>
      </w:r>
      <w:r w:rsidR="008F7C02" w:rsidRPr="00650F05">
        <w:rPr>
          <w:rFonts w:ascii="Tahoma" w:hAnsi="Tahoma"/>
        </w:rPr>
        <w:t xml:space="preserve">García-Aracil et al. (2018, p.7) </w:t>
      </w:r>
      <w:r w:rsidRPr="00650F05">
        <w:rPr>
          <w:rFonts w:ascii="Tahoma" w:hAnsi="Tahoma"/>
        </w:rPr>
        <w:t>belief</w:t>
      </w:r>
      <w:r w:rsidR="00463E77">
        <w:rPr>
          <w:rFonts w:ascii="Tahoma" w:hAnsi="Tahoma"/>
        </w:rPr>
        <w:t>s</w:t>
      </w:r>
      <w:r w:rsidRPr="00650F05">
        <w:rPr>
          <w:rFonts w:ascii="Tahoma" w:hAnsi="Tahoma"/>
        </w:rPr>
        <w:t xml:space="preserve"> </w:t>
      </w:r>
      <w:r w:rsidR="008F7C02" w:rsidRPr="00650F05">
        <w:rPr>
          <w:rFonts w:ascii="Tahoma" w:hAnsi="Tahoma"/>
        </w:rPr>
        <w:t xml:space="preserve">that a practice-based </w:t>
      </w:r>
      <w:r w:rsidRPr="00650F05">
        <w:rPr>
          <w:rFonts w:ascii="Tahoma" w:hAnsi="Tahoma"/>
        </w:rPr>
        <w:t xml:space="preserve">curriculum </w:t>
      </w:r>
      <w:r w:rsidR="008F7C02" w:rsidRPr="00650F05">
        <w:rPr>
          <w:rFonts w:ascii="Tahoma" w:hAnsi="Tahoma"/>
        </w:rPr>
        <w:t>will have “a positive impact upon students’ perceptions of their preparedness for the transition to work”.</w:t>
      </w:r>
      <w:r w:rsidRPr="00650F05">
        <w:rPr>
          <w:rFonts w:ascii="Tahoma" w:hAnsi="Tahoma"/>
        </w:rPr>
        <w:t xml:space="preserve"> </w:t>
      </w:r>
      <w:r w:rsidR="009D7360" w:rsidRPr="00650F05">
        <w:rPr>
          <w:rFonts w:ascii="Tahoma" w:hAnsi="Tahoma"/>
        </w:rPr>
        <w:t>The</w:t>
      </w:r>
      <w:r w:rsidRPr="00650F05">
        <w:rPr>
          <w:rFonts w:ascii="Tahoma" w:hAnsi="Tahoma"/>
        </w:rPr>
        <w:t xml:space="preserve"> participants</w:t>
      </w:r>
      <w:r w:rsidR="00362AF2" w:rsidRPr="00650F05">
        <w:rPr>
          <w:rFonts w:ascii="Tahoma" w:hAnsi="Tahoma"/>
        </w:rPr>
        <w:t xml:space="preserve">’ sport </w:t>
      </w:r>
      <w:r w:rsidR="00463E77">
        <w:rPr>
          <w:rFonts w:ascii="Tahoma" w:hAnsi="Tahoma"/>
        </w:rPr>
        <w:t xml:space="preserve">related </w:t>
      </w:r>
      <w:r w:rsidR="00362AF2" w:rsidRPr="00650F05">
        <w:rPr>
          <w:rFonts w:ascii="Tahoma" w:hAnsi="Tahoma"/>
        </w:rPr>
        <w:t xml:space="preserve">courses </w:t>
      </w:r>
      <w:r w:rsidRPr="00650F05">
        <w:rPr>
          <w:rFonts w:ascii="Tahoma" w:hAnsi="Tahoma"/>
        </w:rPr>
        <w:t xml:space="preserve">are largely vocational, providing </w:t>
      </w:r>
      <w:r w:rsidR="00637558" w:rsidRPr="00650F05">
        <w:rPr>
          <w:rFonts w:ascii="Tahoma" w:hAnsi="Tahoma"/>
        </w:rPr>
        <w:t xml:space="preserve">modular learning with </w:t>
      </w:r>
      <w:r w:rsidRPr="00650F05">
        <w:rPr>
          <w:rFonts w:ascii="Tahoma" w:hAnsi="Tahoma"/>
        </w:rPr>
        <w:t>a blend</w:t>
      </w:r>
      <w:r w:rsidR="00A56133" w:rsidRPr="00650F05">
        <w:rPr>
          <w:rFonts w:ascii="Tahoma" w:hAnsi="Tahoma"/>
        </w:rPr>
        <w:t>ed</w:t>
      </w:r>
      <w:r w:rsidRPr="00650F05">
        <w:rPr>
          <w:rFonts w:ascii="Tahoma" w:hAnsi="Tahoma"/>
        </w:rPr>
        <w:t xml:space="preserve"> academic and vocation</w:t>
      </w:r>
      <w:r w:rsidR="00A56133" w:rsidRPr="00650F05">
        <w:rPr>
          <w:rFonts w:ascii="Tahoma" w:hAnsi="Tahoma"/>
        </w:rPr>
        <w:t>al</w:t>
      </w:r>
      <w:r w:rsidRPr="00650F05">
        <w:rPr>
          <w:rFonts w:ascii="Tahoma" w:hAnsi="Tahoma"/>
        </w:rPr>
        <w:t xml:space="preserve"> </w:t>
      </w:r>
      <w:r w:rsidR="00637558" w:rsidRPr="00650F05">
        <w:rPr>
          <w:rFonts w:ascii="Tahoma" w:hAnsi="Tahoma"/>
        </w:rPr>
        <w:t>curriculum, which may better prepare students for labour needs when compared to traditional academic curriculums found in Russel Group</w:t>
      </w:r>
      <w:r w:rsidR="004A56ED" w:rsidRPr="00650F05">
        <w:rPr>
          <w:rFonts w:ascii="Tahoma" w:hAnsi="Tahoma"/>
        </w:rPr>
        <w:t xml:space="preserve"> and Plate Glass</w:t>
      </w:r>
      <w:r w:rsidR="00637558" w:rsidRPr="00650F05">
        <w:rPr>
          <w:rFonts w:ascii="Tahoma" w:hAnsi="Tahoma"/>
        </w:rPr>
        <w:t xml:space="preserve"> universities</w:t>
      </w:r>
      <w:r w:rsidR="00384B69" w:rsidRPr="00650F05">
        <w:rPr>
          <w:rFonts w:ascii="Tahoma" w:hAnsi="Tahoma"/>
        </w:rPr>
        <w:t xml:space="preserve"> (Gill, 2019)</w:t>
      </w:r>
      <w:r w:rsidR="00637558" w:rsidRPr="00650F05">
        <w:rPr>
          <w:rFonts w:ascii="Tahoma" w:hAnsi="Tahoma"/>
        </w:rPr>
        <w:t>.</w:t>
      </w:r>
    </w:p>
    <w:p w14:paraId="03EC2816" w14:textId="5F4101E7" w:rsidR="0076658E" w:rsidRPr="00650F05" w:rsidRDefault="00300E1E" w:rsidP="00DE2990">
      <w:pPr>
        <w:spacing w:after="0" w:line="480" w:lineRule="auto"/>
        <w:jc w:val="both"/>
        <w:rPr>
          <w:rFonts w:ascii="Tahoma" w:hAnsi="Tahoma"/>
        </w:rPr>
      </w:pPr>
      <w:r w:rsidRPr="00650F05">
        <w:rPr>
          <w:rFonts w:ascii="Tahoma" w:hAnsi="Tahoma"/>
        </w:rPr>
        <w:t xml:space="preserve">There was </w:t>
      </w:r>
      <w:r w:rsidR="00441108" w:rsidRPr="00650F05">
        <w:rPr>
          <w:rFonts w:ascii="Tahoma" w:hAnsi="Tahoma"/>
        </w:rPr>
        <w:t xml:space="preserve">a </w:t>
      </w:r>
      <w:r w:rsidR="00707F4C" w:rsidRPr="00650F05">
        <w:rPr>
          <w:rFonts w:ascii="Tahoma" w:hAnsi="Tahoma"/>
        </w:rPr>
        <w:t>positive association</w:t>
      </w:r>
      <w:r w:rsidR="00441108" w:rsidRPr="00650F05">
        <w:rPr>
          <w:rFonts w:ascii="Tahoma" w:hAnsi="Tahoma"/>
        </w:rPr>
        <w:t xml:space="preserve"> amongst participants </w:t>
      </w:r>
      <w:r w:rsidR="00707F4C" w:rsidRPr="00650F05">
        <w:rPr>
          <w:rFonts w:ascii="Tahoma" w:hAnsi="Tahoma"/>
        </w:rPr>
        <w:t>between</w:t>
      </w:r>
      <w:r w:rsidR="005E3054" w:rsidRPr="00650F05">
        <w:rPr>
          <w:rFonts w:ascii="Tahoma" w:hAnsi="Tahoma"/>
        </w:rPr>
        <w:t xml:space="preserve"> attendance and</w:t>
      </w:r>
      <w:r w:rsidR="00707F4C" w:rsidRPr="00650F05">
        <w:rPr>
          <w:rFonts w:ascii="Tahoma" w:hAnsi="Tahoma"/>
        </w:rPr>
        <w:t xml:space="preserve"> </w:t>
      </w:r>
      <w:r w:rsidR="003D241A" w:rsidRPr="00650F05">
        <w:rPr>
          <w:rFonts w:ascii="Tahoma" w:hAnsi="Tahoma"/>
        </w:rPr>
        <w:t>engagement</w:t>
      </w:r>
      <w:r w:rsidR="000A73D0" w:rsidRPr="00650F05">
        <w:rPr>
          <w:rFonts w:ascii="Tahoma" w:hAnsi="Tahoma"/>
        </w:rPr>
        <w:t>,</w:t>
      </w:r>
      <w:r w:rsidR="00044FD8" w:rsidRPr="00650F05">
        <w:rPr>
          <w:rFonts w:ascii="Tahoma" w:hAnsi="Tahoma"/>
        </w:rPr>
        <w:t xml:space="preserve"> and </w:t>
      </w:r>
      <w:r w:rsidR="000A73D0" w:rsidRPr="00650F05">
        <w:rPr>
          <w:rFonts w:ascii="Tahoma" w:hAnsi="Tahoma"/>
        </w:rPr>
        <w:t xml:space="preserve">ultimately </w:t>
      </w:r>
      <w:r w:rsidR="00044FD8" w:rsidRPr="00650F05">
        <w:rPr>
          <w:rFonts w:ascii="Tahoma" w:hAnsi="Tahoma"/>
        </w:rPr>
        <w:t>preparedness for the transition to work</w:t>
      </w:r>
      <w:r w:rsidR="00FC5AFD" w:rsidRPr="00650F05">
        <w:rPr>
          <w:rFonts w:ascii="Tahoma" w:hAnsi="Tahoma"/>
        </w:rPr>
        <w:t>.</w:t>
      </w:r>
      <w:r w:rsidR="0076658E" w:rsidRPr="00650F05">
        <w:rPr>
          <w:rFonts w:ascii="Tahoma" w:hAnsi="Tahoma"/>
        </w:rPr>
        <w:t xml:space="preserve"> Participants noted,</w:t>
      </w:r>
    </w:p>
    <w:p w14:paraId="50207781" w14:textId="77777777" w:rsidR="008E09FC" w:rsidRPr="00650F05" w:rsidRDefault="008E09FC" w:rsidP="00DE2990">
      <w:pPr>
        <w:spacing w:after="0" w:line="480" w:lineRule="auto"/>
        <w:jc w:val="both"/>
        <w:rPr>
          <w:rFonts w:ascii="Tahoma" w:hAnsi="Tahoma"/>
        </w:rPr>
      </w:pPr>
    </w:p>
    <w:p w14:paraId="1D611550" w14:textId="5D2347B8" w:rsidR="008C30ED" w:rsidRPr="00650F05" w:rsidRDefault="008C30ED" w:rsidP="007F26B0">
      <w:pPr>
        <w:spacing w:before="240" w:line="240" w:lineRule="auto"/>
        <w:ind w:left="567" w:right="521"/>
        <w:jc w:val="both"/>
        <w:rPr>
          <w:rFonts w:ascii="Tahoma" w:hAnsi="Tahoma"/>
        </w:rPr>
      </w:pPr>
      <w:r w:rsidRPr="00650F05">
        <w:rPr>
          <w:rFonts w:ascii="Tahoma" w:hAnsi="Tahoma"/>
        </w:rPr>
        <w:t>“</w:t>
      </w:r>
      <w:r w:rsidR="00B13F3E" w:rsidRPr="00650F05">
        <w:rPr>
          <w:rFonts w:ascii="Tahoma" w:hAnsi="Tahoma"/>
        </w:rPr>
        <w:t xml:space="preserve">I have worked hard to attend </w:t>
      </w:r>
      <w:r w:rsidR="00DB4401" w:rsidRPr="00650F05">
        <w:rPr>
          <w:rFonts w:ascii="Tahoma" w:hAnsi="Tahoma"/>
        </w:rPr>
        <w:t xml:space="preserve">and contribute to </w:t>
      </w:r>
      <w:r w:rsidR="00B13F3E" w:rsidRPr="00650F05">
        <w:rPr>
          <w:rFonts w:ascii="Tahoma" w:hAnsi="Tahoma"/>
        </w:rPr>
        <w:t xml:space="preserve">as </w:t>
      </w:r>
      <w:r w:rsidR="00C36C11" w:rsidRPr="00650F05">
        <w:rPr>
          <w:rFonts w:ascii="Tahoma" w:hAnsi="Tahoma"/>
        </w:rPr>
        <w:t xml:space="preserve">many </w:t>
      </w:r>
      <w:r w:rsidR="00B13F3E" w:rsidRPr="00650F05">
        <w:rPr>
          <w:rFonts w:ascii="Tahoma" w:hAnsi="Tahoma"/>
        </w:rPr>
        <w:t>of my lessons as I can</w:t>
      </w:r>
      <w:r w:rsidR="00C36C11" w:rsidRPr="00650F05">
        <w:rPr>
          <w:rFonts w:ascii="Tahoma" w:hAnsi="Tahoma"/>
        </w:rPr>
        <w:t>… which will hopefully</w:t>
      </w:r>
      <w:r w:rsidR="00DB4401" w:rsidRPr="00650F05">
        <w:rPr>
          <w:rFonts w:ascii="Tahoma" w:hAnsi="Tahoma"/>
        </w:rPr>
        <w:t xml:space="preserve"> </w:t>
      </w:r>
      <w:r w:rsidR="002B579A" w:rsidRPr="00650F05">
        <w:rPr>
          <w:rFonts w:ascii="Tahoma" w:hAnsi="Tahoma"/>
        </w:rPr>
        <w:t xml:space="preserve">prepare </w:t>
      </w:r>
      <w:r w:rsidR="00DB4401" w:rsidRPr="00650F05">
        <w:rPr>
          <w:rFonts w:ascii="Tahoma" w:hAnsi="Tahoma"/>
        </w:rPr>
        <w:t xml:space="preserve">me </w:t>
      </w:r>
      <w:r w:rsidR="00F07AFE" w:rsidRPr="00650F05">
        <w:rPr>
          <w:rFonts w:ascii="Tahoma" w:hAnsi="Tahoma"/>
        </w:rPr>
        <w:t xml:space="preserve">well </w:t>
      </w:r>
      <w:r w:rsidR="002B579A" w:rsidRPr="00650F05">
        <w:rPr>
          <w:rFonts w:ascii="Tahoma" w:hAnsi="Tahoma"/>
        </w:rPr>
        <w:t xml:space="preserve">for </w:t>
      </w:r>
      <w:r w:rsidR="00D87BBA" w:rsidRPr="00650F05">
        <w:rPr>
          <w:rFonts w:ascii="Tahoma" w:hAnsi="Tahoma"/>
        </w:rPr>
        <w:t>after graduation [</w:t>
      </w:r>
      <w:r w:rsidR="00DB4401" w:rsidRPr="00650F05">
        <w:rPr>
          <w:rFonts w:ascii="Tahoma" w:hAnsi="Tahoma"/>
        </w:rPr>
        <w:t>when I start work</w:t>
      </w:r>
      <w:r w:rsidR="00D87BBA" w:rsidRPr="00650F05">
        <w:rPr>
          <w:rFonts w:ascii="Tahoma" w:hAnsi="Tahoma"/>
        </w:rPr>
        <w:t>]</w:t>
      </w:r>
      <w:r w:rsidRPr="00650F05">
        <w:rPr>
          <w:rFonts w:ascii="Tahoma" w:hAnsi="Tahoma"/>
        </w:rPr>
        <w:t>”.</w:t>
      </w:r>
    </w:p>
    <w:p w14:paraId="14462915" w14:textId="307B671E" w:rsidR="0076658E" w:rsidRPr="00650F05" w:rsidRDefault="0076658E" w:rsidP="000B626E">
      <w:pPr>
        <w:spacing w:line="480" w:lineRule="auto"/>
        <w:jc w:val="both"/>
        <w:rPr>
          <w:rFonts w:ascii="Tahoma" w:hAnsi="Tahoma"/>
        </w:rPr>
      </w:pPr>
    </w:p>
    <w:p w14:paraId="2E02B0A2" w14:textId="0DF886BB" w:rsidR="008C30ED" w:rsidRPr="00650F05" w:rsidRDefault="008C30ED" w:rsidP="008C30ED">
      <w:pPr>
        <w:spacing w:line="240" w:lineRule="auto"/>
        <w:ind w:left="567" w:right="521"/>
        <w:jc w:val="both"/>
        <w:rPr>
          <w:rFonts w:ascii="Tahoma" w:hAnsi="Tahoma"/>
        </w:rPr>
      </w:pPr>
      <w:r w:rsidRPr="00650F05">
        <w:rPr>
          <w:rFonts w:ascii="Tahoma" w:hAnsi="Tahoma"/>
        </w:rPr>
        <w:lastRenderedPageBreak/>
        <w:t>“</w:t>
      </w:r>
      <w:r w:rsidR="003516F9" w:rsidRPr="00650F05">
        <w:rPr>
          <w:rFonts w:ascii="Tahoma" w:hAnsi="Tahoma"/>
        </w:rPr>
        <w:t xml:space="preserve">… lessons and assessments have been useful in enabling me to understand the requirements </w:t>
      </w:r>
      <w:r w:rsidR="004D4633" w:rsidRPr="00650F05">
        <w:rPr>
          <w:rFonts w:ascii="Tahoma" w:hAnsi="Tahoma"/>
        </w:rPr>
        <w:t>of</w:t>
      </w:r>
      <w:r w:rsidR="00CE0931" w:rsidRPr="00650F05">
        <w:rPr>
          <w:rFonts w:ascii="Tahoma" w:hAnsi="Tahoma"/>
        </w:rPr>
        <w:t xml:space="preserve"> employers. </w:t>
      </w:r>
      <w:r w:rsidR="00D17CF1" w:rsidRPr="00650F05">
        <w:rPr>
          <w:rFonts w:ascii="Tahoma" w:hAnsi="Tahoma"/>
        </w:rPr>
        <w:t>…</w:t>
      </w:r>
      <w:r w:rsidR="009913C2" w:rsidRPr="00650F05">
        <w:rPr>
          <w:rFonts w:ascii="Tahoma" w:hAnsi="Tahoma"/>
        </w:rPr>
        <w:t xml:space="preserve">my attendance has been good </w:t>
      </w:r>
      <w:r w:rsidR="00E85432" w:rsidRPr="00650F05">
        <w:rPr>
          <w:rFonts w:ascii="Tahoma" w:hAnsi="Tahoma"/>
        </w:rPr>
        <w:t xml:space="preserve">this year </w:t>
      </w:r>
      <w:r w:rsidR="009913C2" w:rsidRPr="00650F05">
        <w:rPr>
          <w:rFonts w:ascii="Tahoma" w:hAnsi="Tahoma"/>
        </w:rPr>
        <w:t xml:space="preserve">because I don’t want to miss out on something </w:t>
      </w:r>
      <w:r w:rsidR="00210FFC" w:rsidRPr="00650F05">
        <w:rPr>
          <w:rFonts w:ascii="Tahoma" w:hAnsi="Tahoma"/>
        </w:rPr>
        <w:t>that will be needed [in employment]</w:t>
      </w:r>
      <w:r w:rsidRPr="00650F05">
        <w:rPr>
          <w:rFonts w:ascii="Tahoma" w:hAnsi="Tahoma"/>
        </w:rPr>
        <w:t>”.</w:t>
      </w:r>
    </w:p>
    <w:p w14:paraId="6D1BF1F2" w14:textId="77777777" w:rsidR="008C30ED" w:rsidRPr="00650F05" w:rsidRDefault="008C30ED" w:rsidP="000B626E">
      <w:pPr>
        <w:spacing w:line="480" w:lineRule="auto"/>
        <w:jc w:val="both"/>
        <w:rPr>
          <w:rFonts w:ascii="Tahoma" w:hAnsi="Tahoma"/>
        </w:rPr>
      </w:pPr>
    </w:p>
    <w:p w14:paraId="1BECCAB2" w14:textId="5CCC7B09" w:rsidR="003905B0" w:rsidRPr="00650F05" w:rsidRDefault="00FD3834" w:rsidP="000B626E">
      <w:pPr>
        <w:spacing w:line="480" w:lineRule="auto"/>
        <w:jc w:val="both"/>
        <w:rPr>
          <w:rFonts w:ascii="Tahoma" w:hAnsi="Tahoma"/>
        </w:rPr>
      </w:pPr>
      <w:r w:rsidRPr="00650F05">
        <w:rPr>
          <w:rFonts w:ascii="Tahoma" w:hAnsi="Tahoma"/>
        </w:rPr>
        <w:t xml:space="preserve">This </w:t>
      </w:r>
      <w:r w:rsidR="009A4CCE" w:rsidRPr="00650F05">
        <w:rPr>
          <w:rFonts w:ascii="Tahoma" w:hAnsi="Tahoma"/>
        </w:rPr>
        <w:t>contradict</w:t>
      </w:r>
      <w:r w:rsidRPr="00650F05">
        <w:rPr>
          <w:rFonts w:ascii="Tahoma" w:hAnsi="Tahoma"/>
        </w:rPr>
        <w:t>s</w:t>
      </w:r>
      <w:r w:rsidR="009A4CCE" w:rsidRPr="00650F05">
        <w:rPr>
          <w:rFonts w:ascii="Tahoma" w:hAnsi="Tahoma"/>
        </w:rPr>
        <w:t xml:space="preserve"> </w:t>
      </w:r>
      <w:r w:rsidR="00615B61" w:rsidRPr="00650F05">
        <w:rPr>
          <w:rFonts w:ascii="Tahoma" w:hAnsi="Tahoma"/>
        </w:rPr>
        <w:t xml:space="preserve">Garcia-Aracil </w:t>
      </w:r>
      <w:r w:rsidR="00B24B9F" w:rsidRPr="00650F05">
        <w:rPr>
          <w:rFonts w:ascii="Tahoma" w:hAnsi="Tahoma"/>
        </w:rPr>
        <w:t>et al. (2018)</w:t>
      </w:r>
      <w:r w:rsidR="008E7ED5" w:rsidRPr="00650F05">
        <w:rPr>
          <w:rFonts w:ascii="Tahoma" w:hAnsi="Tahoma"/>
        </w:rPr>
        <w:t xml:space="preserve">, </w:t>
      </w:r>
      <w:r w:rsidR="00FC5AFD" w:rsidRPr="00650F05">
        <w:rPr>
          <w:rFonts w:ascii="Tahoma" w:hAnsi="Tahoma"/>
        </w:rPr>
        <w:t xml:space="preserve">where </w:t>
      </w:r>
      <w:r w:rsidR="008E7ED5" w:rsidRPr="00650F05">
        <w:rPr>
          <w:rFonts w:ascii="Tahoma" w:hAnsi="Tahoma"/>
        </w:rPr>
        <w:t>a negative association</w:t>
      </w:r>
      <w:r w:rsidR="00FC5AFD" w:rsidRPr="00650F05">
        <w:rPr>
          <w:rFonts w:ascii="Tahoma" w:hAnsi="Tahoma"/>
        </w:rPr>
        <w:t xml:space="preserve"> </w:t>
      </w:r>
      <w:r w:rsidR="0070044F" w:rsidRPr="00650F05">
        <w:rPr>
          <w:rFonts w:ascii="Tahoma" w:hAnsi="Tahoma"/>
        </w:rPr>
        <w:t xml:space="preserve">was found </w:t>
      </w:r>
      <w:r w:rsidR="00FC5AFD" w:rsidRPr="00650F05">
        <w:rPr>
          <w:rFonts w:ascii="Tahoma" w:hAnsi="Tahoma"/>
        </w:rPr>
        <w:t xml:space="preserve">between </w:t>
      </w:r>
      <w:r w:rsidR="008057C0" w:rsidRPr="00650F05">
        <w:rPr>
          <w:rFonts w:ascii="Tahoma" w:hAnsi="Tahoma"/>
        </w:rPr>
        <w:t>students’</w:t>
      </w:r>
      <w:r w:rsidR="00FC5AFD" w:rsidRPr="00650F05">
        <w:rPr>
          <w:rFonts w:ascii="Tahoma" w:hAnsi="Tahoma"/>
        </w:rPr>
        <w:t xml:space="preserve"> perception </w:t>
      </w:r>
      <w:r w:rsidR="00E8464B" w:rsidRPr="00650F05">
        <w:rPr>
          <w:rFonts w:ascii="Tahoma" w:hAnsi="Tahoma"/>
        </w:rPr>
        <w:t>of</w:t>
      </w:r>
      <w:r w:rsidR="00FC5AFD" w:rsidRPr="00650F05">
        <w:rPr>
          <w:rFonts w:ascii="Tahoma" w:hAnsi="Tahoma"/>
        </w:rPr>
        <w:t xml:space="preserve"> regular attendance and preparedness for the transition to work.</w:t>
      </w:r>
      <w:r w:rsidR="009539C6" w:rsidRPr="00650F05">
        <w:rPr>
          <w:rFonts w:ascii="Tahoma" w:hAnsi="Tahoma"/>
        </w:rPr>
        <w:t xml:space="preserve"> </w:t>
      </w:r>
      <w:r w:rsidR="00AE2DA0" w:rsidRPr="00650F05">
        <w:rPr>
          <w:rFonts w:ascii="Tahoma" w:hAnsi="Tahoma"/>
        </w:rPr>
        <w:t>However,</w:t>
      </w:r>
      <w:r w:rsidR="004D081B" w:rsidRPr="00650F05">
        <w:rPr>
          <w:rFonts w:ascii="Tahoma" w:hAnsi="Tahoma"/>
        </w:rPr>
        <w:t xml:space="preserve"> </w:t>
      </w:r>
      <w:r w:rsidR="006137E4" w:rsidRPr="00650F05">
        <w:rPr>
          <w:rFonts w:ascii="Tahoma" w:hAnsi="Tahoma"/>
        </w:rPr>
        <w:t xml:space="preserve">the </w:t>
      </w:r>
      <w:r w:rsidR="006F0154" w:rsidRPr="00650F05">
        <w:rPr>
          <w:rFonts w:ascii="Tahoma" w:hAnsi="Tahoma"/>
        </w:rPr>
        <w:t xml:space="preserve">positive association </w:t>
      </w:r>
      <w:r w:rsidR="00AE2DA0" w:rsidRPr="00650F05">
        <w:rPr>
          <w:rFonts w:ascii="Tahoma" w:hAnsi="Tahoma"/>
        </w:rPr>
        <w:t xml:space="preserve">may </w:t>
      </w:r>
      <w:r w:rsidR="004D081B" w:rsidRPr="00650F05">
        <w:rPr>
          <w:rFonts w:ascii="Tahoma" w:hAnsi="Tahoma"/>
        </w:rPr>
        <w:t xml:space="preserve">potentially </w:t>
      </w:r>
      <w:r w:rsidR="00AE2DA0" w:rsidRPr="00650F05">
        <w:rPr>
          <w:rFonts w:ascii="Tahoma" w:hAnsi="Tahoma"/>
        </w:rPr>
        <w:t xml:space="preserve">come </w:t>
      </w:r>
      <w:r w:rsidR="004C3FC7" w:rsidRPr="00650F05">
        <w:rPr>
          <w:rFonts w:ascii="Tahoma" w:hAnsi="Tahoma"/>
        </w:rPr>
        <w:t xml:space="preserve">from the </w:t>
      </w:r>
      <w:r w:rsidR="00231707" w:rsidRPr="00650F05">
        <w:rPr>
          <w:rFonts w:ascii="Tahoma" w:hAnsi="Tahoma"/>
        </w:rPr>
        <w:t>students’</w:t>
      </w:r>
      <w:r w:rsidR="004C3FC7" w:rsidRPr="00650F05">
        <w:rPr>
          <w:rFonts w:ascii="Tahoma" w:hAnsi="Tahoma"/>
        </w:rPr>
        <w:t xml:space="preserve"> </w:t>
      </w:r>
      <w:r w:rsidR="009E7AD8" w:rsidRPr="00650F05">
        <w:rPr>
          <w:rFonts w:ascii="Tahoma" w:hAnsi="Tahoma"/>
        </w:rPr>
        <w:t>non-traditional backgrounds</w:t>
      </w:r>
      <w:r w:rsidR="00680EEA" w:rsidRPr="00650F05">
        <w:rPr>
          <w:rFonts w:ascii="Tahoma" w:hAnsi="Tahoma"/>
        </w:rPr>
        <w:t xml:space="preserve">, </w:t>
      </w:r>
      <w:r w:rsidR="00664D7D" w:rsidRPr="00650F05">
        <w:rPr>
          <w:rFonts w:ascii="Tahoma" w:hAnsi="Tahoma"/>
        </w:rPr>
        <w:t xml:space="preserve">who </w:t>
      </w:r>
      <w:r w:rsidR="00680EEA" w:rsidRPr="00650F05">
        <w:rPr>
          <w:rFonts w:ascii="Tahoma" w:hAnsi="Tahoma"/>
        </w:rPr>
        <w:t>specifically</w:t>
      </w:r>
      <w:r w:rsidR="009E7AD8" w:rsidRPr="00650F05">
        <w:rPr>
          <w:rFonts w:ascii="Tahoma" w:hAnsi="Tahoma"/>
        </w:rPr>
        <w:t xml:space="preserve"> </w:t>
      </w:r>
      <w:r w:rsidR="00664D7D" w:rsidRPr="00650F05">
        <w:rPr>
          <w:rFonts w:ascii="Tahoma" w:hAnsi="Tahoma"/>
        </w:rPr>
        <w:t xml:space="preserve">reside in </w:t>
      </w:r>
      <w:r w:rsidR="006F7C29" w:rsidRPr="00650F05">
        <w:rPr>
          <w:rFonts w:ascii="Tahoma" w:hAnsi="Tahoma"/>
        </w:rPr>
        <w:t xml:space="preserve">an </w:t>
      </w:r>
      <w:r w:rsidR="009E7AD8" w:rsidRPr="00650F05">
        <w:rPr>
          <w:rFonts w:ascii="Tahoma" w:hAnsi="Tahoma"/>
        </w:rPr>
        <w:t>area of high soci</w:t>
      </w:r>
      <w:r w:rsidR="00680EEA" w:rsidRPr="00650F05">
        <w:rPr>
          <w:rFonts w:ascii="Tahoma" w:hAnsi="Tahoma"/>
        </w:rPr>
        <w:t>o</w:t>
      </w:r>
      <w:r w:rsidR="009E7AD8" w:rsidRPr="00650F05">
        <w:rPr>
          <w:rFonts w:ascii="Tahoma" w:hAnsi="Tahoma"/>
        </w:rPr>
        <w:t>-economic deprivation</w:t>
      </w:r>
      <w:r w:rsidR="00F071D4" w:rsidRPr="00650F05">
        <w:rPr>
          <w:rFonts w:ascii="Tahoma" w:hAnsi="Tahoma"/>
        </w:rPr>
        <w:t xml:space="preserve">, </w:t>
      </w:r>
      <w:r w:rsidR="00AE2DA0" w:rsidRPr="00650F05">
        <w:rPr>
          <w:rFonts w:ascii="Tahoma" w:hAnsi="Tahoma"/>
        </w:rPr>
        <w:t xml:space="preserve">therefore, </w:t>
      </w:r>
      <w:r w:rsidR="000B626E" w:rsidRPr="00650F05">
        <w:rPr>
          <w:rFonts w:ascii="Tahoma" w:hAnsi="Tahoma"/>
        </w:rPr>
        <w:t xml:space="preserve">students </w:t>
      </w:r>
      <w:r w:rsidR="00797C42" w:rsidRPr="00650F05">
        <w:rPr>
          <w:rFonts w:ascii="Tahoma" w:hAnsi="Tahoma"/>
        </w:rPr>
        <w:t>are often working</w:t>
      </w:r>
      <w:r w:rsidR="00B1610B" w:rsidRPr="00650F05">
        <w:rPr>
          <w:rFonts w:ascii="Tahoma" w:hAnsi="Tahoma"/>
        </w:rPr>
        <w:t xml:space="preserve"> </w:t>
      </w:r>
      <w:r w:rsidR="00D012C2" w:rsidRPr="00650F05">
        <w:rPr>
          <w:rFonts w:ascii="Tahoma" w:hAnsi="Tahoma"/>
        </w:rPr>
        <w:t>to support themselves</w:t>
      </w:r>
      <w:r w:rsidR="000B626E" w:rsidRPr="00650F05">
        <w:rPr>
          <w:rFonts w:ascii="Tahoma" w:hAnsi="Tahoma"/>
        </w:rPr>
        <w:t>,</w:t>
      </w:r>
      <w:r w:rsidR="00413B4D" w:rsidRPr="00650F05">
        <w:rPr>
          <w:rFonts w:ascii="Tahoma" w:hAnsi="Tahoma"/>
        </w:rPr>
        <w:t xml:space="preserve"> sometimes </w:t>
      </w:r>
      <w:r w:rsidR="00D012C2" w:rsidRPr="00650F05">
        <w:rPr>
          <w:rFonts w:ascii="Tahoma" w:hAnsi="Tahoma"/>
        </w:rPr>
        <w:t>families</w:t>
      </w:r>
      <w:r w:rsidR="000B626E" w:rsidRPr="00650F05">
        <w:rPr>
          <w:rFonts w:ascii="Tahoma" w:hAnsi="Tahoma"/>
        </w:rPr>
        <w:t>,</w:t>
      </w:r>
      <w:r w:rsidR="00D012C2" w:rsidRPr="00650F05">
        <w:rPr>
          <w:rFonts w:ascii="Tahoma" w:hAnsi="Tahoma"/>
        </w:rPr>
        <w:t xml:space="preserve"> </w:t>
      </w:r>
      <w:r w:rsidR="00413B4D" w:rsidRPr="00650F05">
        <w:rPr>
          <w:rFonts w:ascii="Tahoma" w:hAnsi="Tahoma"/>
        </w:rPr>
        <w:t xml:space="preserve">whilst </w:t>
      </w:r>
      <w:r w:rsidR="000B626E" w:rsidRPr="00650F05">
        <w:rPr>
          <w:rFonts w:ascii="Tahoma" w:hAnsi="Tahoma"/>
        </w:rPr>
        <w:t>simultaneously studying</w:t>
      </w:r>
      <w:r w:rsidR="0055547A" w:rsidRPr="00650F05">
        <w:rPr>
          <w:rFonts w:ascii="Tahoma" w:hAnsi="Tahoma"/>
        </w:rPr>
        <w:t xml:space="preserve"> (Gill, 2021</w:t>
      </w:r>
      <w:r w:rsidR="003B4E1E">
        <w:rPr>
          <w:rFonts w:ascii="Tahoma" w:hAnsi="Tahoma"/>
        </w:rPr>
        <w:t>,</w:t>
      </w:r>
      <w:r w:rsidR="0055547A" w:rsidRPr="00650F05">
        <w:rPr>
          <w:rFonts w:ascii="Tahoma" w:hAnsi="Tahoma"/>
        </w:rPr>
        <w:t xml:space="preserve"> 2017; Moreau and Leathwood 2006</w:t>
      </w:r>
      <w:r w:rsidR="00BB12F5" w:rsidRPr="00650F05">
        <w:rPr>
          <w:rFonts w:ascii="Tahoma" w:hAnsi="Tahoma"/>
        </w:rPr>
        <w:t>)</w:t>
      </w:r>
      <w:r w:rsidR="00413B4D" w:rsidRPr="00650F05">
        <w:rPr>
          <w:rFonts w:ascii="Tahoma" w:hAnsi="Tahoma"/>
        </w:rPr>
        <w:t>.</w:t>
      </w:r>
      <w:r w:rsidR="000B626E" w:rsidRPr="00650F05">
        <w:rPr>
          <w:rFonts w:ascii="Tahoma" w:hAnsi="Tahoma"/>
        </w:rPr>
        <w:t xml:space="preserve"> </w:t>
      </w:r>
      <w:r w:rsidR="00B1610B" w:rsidRPr="00650F05">
        <w:rPr>
          <w:rFonts w:ascii="Tahoma" w:hAnsi="Tahoma"/>
        </w:rPr>
        <w:t xml:space="preserve">These prior experiences </w:t>
      </w:r>
      <w:r w:rsidR="00AE2DA0" w:rsidRPr="00650F05">
        <w:rPr>
          <w:rFonts w:ascii="Tahoma" w:hAnsi="Tahoma"/>
        </w:rPr>
        <w:t xml:space="preserve">of work </w:t>
      </w:r>
      <w:r w:rsidR="00B1610B" w:rsidRPr="00650F05">
        <w:rPr>
          <w:rFonts w:ascii="Tahoma" w:hAnsi="Tahoma"/>
        </w:rPr>
        <w:t xml:space="preserve">may </w:t>
      </w:r>
      <w:r w:rsidR="00952F8A" w:rsidRPr="00650F05">
        <w:rPr>
          <w:rFonts w:ascii="Tahoma" w:hAnsi="Tahoma"/>
        </w:rPr>
        <w:t xml:space="preserve">contribute to a </w:t>
      </w:r>
      <w:r w:rsidR="00262DA4" w:rsidRPr="00650F05">
        <w:rPr>
          <w:rFonts w:ascii="Tahoma" w:hAnsi="Tahoma"/>
        </w:rPr>
        <w:t xml:space="preserve">positive </w:t>
      </w:r>
      <w:r w:rsidR="00952F8A" w:rsidRPr="00650F05">
        <w:rPr>
          <w:rFonts w:ascii="Tahoma" w:hAnsi="Tahoma"/>
        </w:rPr>
        <w:t>perception of their preparedness for transition to work</w:t>
      </w:r>
      <w:r w:rsidR="0062020D" w:rsidRPr="00650F05">
        <w:rPr>
          <w:rFonts w:ascii="Tahoma" w:hAnsi="Tahoma"/>
        </w:rPr>
        <w:t xml:space="preserve">, </w:t>
      </w:r>
      <w:r w:rsidR="00262DA4" w:rsidRPr="00650F05">
        <w:rPr>
          <w:rFonts w:ascii="Tahoma" w:hAnsi="Tahoma"/>
        </w:rPr>
        <w:t xml:space="preserve">which is </w:t>
      </w:r>
      <w:r w:rsidR="0062020D" w:rsidRPr="00650F05">
        <w:rPr>
          <w:rFonts w:ascii="Tahoma" w:hAnsi="Tahoma"/>
        </w:rPr>
        <w:t xml:space="preserve">supported by </w:t>
      </w:r>
      <w:r w:rsidR="00952F8A" w:rsidRPr="00650F05">
        <w:rPr>
          <w:rFonts w:ascii="Tahoma" w:hAnsi="Tahoma"/>
        </w:rPr>
        <w:t>Almeida</w:t>
      </w:r>
      <w:r w:rsidR="003905B0" w:rsidRPr="00650F05">
        <w:rPr>
          <w:rFonts w:ascii="Tahoma" w:hAnsi="Tahoma"/>
        </w:rPr>
        <w:t xml:space="preserve"> </w:t>
      </w:r>
      <w:r w:rsidR="00952F8A" w:rsidRPr="00650F05">
        <w:rPr>
          <w:rFonts w:ascii="Tahoma" w:hAnsi="Tahoma"/>
        </w:rPr>
        <w:t>et al.</w:t>
      </w:r>
      <w:r w:rsidR="0062020D" w:rsidRPr="00650F05">
        <w:rPr>
          <w:rFonts w:ascii="Tahoma" w:hAnsi="Tahoma"/>
        </w:rPr>
        <w:t xml:space="preserve"> (</w:t>
      </w:r>
      <w:r w:rsidR="00952F8A" w:rsidRPr="00650F05">
        <w:rPr>
          <w:rFonts w:ascii="Tahoma" w:hAnsi="Tahoma"/>
        </w:rPr>
        <w:t>2012</w:t>
      </w:r>
      <w:r w:rsidR="0062020D" w:rsidRPr="00650F05">
        <w:rPr>
          <w:rFonts w:ascii="Tahoma" w:hAnsi="Tahoma"/>
        </w:rPr>
        <w:t>),</w:t>
      </w:r>
      <w:r w:rsidR="00952F8A" w:rsidRPr="00650F05">
        <w:rPr>
          <w:rFonts w:ascii="Tahoma" w:hAnsi="Tahoma"/>
        </w:rPr>
        <w:t xml:space="preserve"> Derous and Ryan</w:t>
      </w:r>
      <w:r w:rsidR="0062020D" w:rsidRPr="00650F05">
        <w:rPr>
          <w:rFonts w:ascii="Tahoma" w:hAnsi="Tahoma"/>
        </w:rPr>
        <w:t xml:space="preserve"> (</w:t>
      </w:r>
      <w:r w:rsidR="00952F8A" w:rsidRPr="00650F05">
        <w:rPr>
          <w:rFonts w:ascii="Tahoma" w:hAnsi="Tahoma"/>
        </w:rPr>
        <w:t>2008</w:t>
      </w:r>
      <w:r w:rsidR="0062020D" w:rsidRPr="00650F05">
        <w:rPr>
          <w:rFonts w:ascii="Tahoma" w:hAnsi="Tahoma"/>
        </w:rPr>
        <w:t>) and</w:t>
      </w:r>
      <w:r w:rsidR="00952F8A" w:rsidRPr="00650F05">
        <w:rPr>
          <w:rFonts w:ascii="Tahoma" w:hAnsi="Tahoma"/>
        </w:rPr>
        <w:t xml:space="preserve"> Thompson et al.</w:t>
      </w:r>
      <w:r w:rsidR="0062020D" w:rsidRPr="00650F05">
        <w:rPr>
          <w:rFonts w:ascii="Tahoma" w:hAnsi="Tahoma"/>
        </w:rPr>
        <w:t xml:space="preserve"> (</w:t>
      </w:r>
      <w:r w:rsidR="00952F8A" w:rsidRPr="00650F05">
        <w:rPr>
          <w:rFonts w:ascii="Tahoma" w:hAnsi="Tahoma"/>
        </w:rPr>
        <w:t>2013)</w:t>
      </w:r>
      <w:r w:rsidR="00B73826" w:rsidRPr="00650F05">
        <w:rPr>
          <w:rFonts w:ascii="Tahoma" w:hAnsi="Tahoma"/>
        </w:rPr>
        <w:t xml:space="preserve"> findings</w:t>
      </w:r>
      <w:r w:rsidR="00952F8A" w:rsidRPr="00650F05">
        <w:rPr>
          <w:rFonts w:ascii="Tahoma" w:hAnsi="Tahoma"/>
        </w:rPr>
        <w:t>.</w:t>
      </w:r>
    </w:p>
    <w:p w14:paraId="4FA2C64F" w14:textId="467C417E" w:rsidR="00E832BD" w:rsidRPr="00650F05" w:rsidRDefault="0039635B" w:rsidP="00ED0FB9">
      <w:pPr>
        <w:spacing w:after="0" w:line="480" w:lineRule="auto"/>
        <w:jc w:val="both"/>
        <w:rPr>
          <w:rFonts w:ascii="Tahoma" w:hAnsi="Tahoma"/>
        </w:rPr>
      </w:pPr>
      <w:r w:rsidRPr="00650F05">
        <w:rPr>
          <w:rFonts w:ascii="Tahoma" w:hAnsi="Tahoma"/>
        </w:rPr>
        <w:t xml:space="preserve">The </w:t>
      </w:r>
      <w:r w:rsidR="00E115C8" w:rsidRPr="00650F05">
        <w:rPr>
          <w:rFonts w:ascii="Tahoma" w:hAnsi="Tahoma"/>
        </w:rPr>
        <w:t xml:space="preserve">participants </w:t>
      </w:r>
      <w:r w:rsidR="00E832BD" w:rsidRPr="00650F05">
        <w:rPr>
          <w:rFonts w:ascii="Tahoma" w:hAnsi="Tahoma"/>
        </w:rPr>
        <w:t xml:space="preserve">universally </w:t>
      </w:r>
      <w:r w:rsidR="00B74DDC" w:rsidRPr="00650F05">
        <w:rPr>
          <w:rFonts w:ascii="Tahoma" w:hAnsi="Tahoma"/>
        </w:rPr>
        <w:t>praised</w:t>
      </w:r>
      <w:r w:rsidR="00E115C8" w:rsidRPr="00650F05">
        <w:rPr>
          <w:rFonts w:ascii="Tahoma" w:hAnsi="Tahoma"/>
        </w:rPr>
        <w:t xml:space="preserve"> the </w:t>
      </w:r>
      <w:r w:rsidR="0026653F" w:rsidRPr="00650F05">
        <w:rPr>
          <w:rFonts w:ascii="Tahoma" w:hAnsi="Tahoma"/>
        </w:rPr>
        <w:t xml:space="preserve">high </w:t>
      </w:r>
      <w:r w:rsidRPr="00650F05">
        <w:rPr>
          <w:rFonts w:ascii="Tahoma" w:hAnsi="Tahoma"/>
        </w:rPr>
        <w:t xml:space="preserve">quality of </w:t>
      </w:r>
      <w:r w:rsidR="008A1E27" w:rsidRPr="00650F05">
        <w:rPr>
          <w:rFonts w:ascii="Tahoma" w:hAnsi="Tahoma"/>
        </w:rPr>
        <w:t xml:space="preserve">lecturing staff </w:t>
      </w:r>
      <w:r w:rsidR="0026653F" w:rsidRPr="00650F05">
        <w:rPr>
          <w:rFonts w:ascii="Tahoma" w:hAnsi="Tahoma"/>
        </w:rPr>
        <w:t>within the sport department</w:t>
      </w:r>
      <w:r w:rsidR="00EF4F97" w:rsidRPr="00650F05">
        <w:rPr>
          <w:rFonts w:ascii="Tahoma" w:hAnsi="Tahoma"/>
        </w:rPr>
        <w:t xml:space="preserve">, citing </w:t>
      </w:r>
      <w:r w:rsidR="00D02BC8" w:rsidRPr="00650F05">
        <w:rPr>
          <w:rFonts w:ascii="Tahoma" w:hAnsi="Tahoma"/>
        </w:rPr>
        <w:t xml:space="preserve">them as an effective resource in </w:t>
      </w:r>
      <w:r w:rsidR="003B6EDC" w:rsidRPr="00650F05">
        <w:rPr>
          <w:rFonts w:ascii="Tahoma" w:hAnsi="Tahoma"/>
        </w:rPr>
        <w:t xml:space="preserve">their preparation </w:t>
      </w:r>
      <w:r w:rsidR="00354361" w:rsidRPr="00650F05">
        <w:rPr>
          <w:rFonts w:ascii="Tahoma" w:hAnsi="Tahoma"/>
        </w:rPr>
        <w:t>for the transition into work</w:t>
      </w:r>
      <w:r w:rsidR="00191556" w:rsidRPr="00650F05">
        <w:rPr>
          <w:rFonts w:ascii="Tahoma" w:hAnsi="Tahoma"/>
        </w:rPr>
        <w:t>.</w:t>
      </w:r>
      <w:r w:rsidR="00AE4A32" w:rsidRPr="00650F05">
        <w:rPr>
          <w:rFonts w:ascii="Tahoma" w:hAnsi="Tahoma"/>
        </w:rPr>
        <w:t xml:space="preserve"> </w:t>
      </w:r>
      <w:r w:rsidR="00B3049B" w:rsidRPr="00650F05">
        <w:rPr>
          <w:rFonts w:ascii="Tahoma" w:hAnsi="Tahoma"/>
        </w:rPr>
        <w:t>The academic staff</w:t>
      </w:r>
      <w:r w:rsidR="00EF4F97" w:rsidRPr="00650F05">
        <w:rPr>
          <w:rFonts w:ascii="Tahoma" w:hAnsi="Tahoma"/>
        </w:rPr>
        <w:t>s</w:t>
      </w:r>
      <w:r w:rsidR="00207874">
        <w:rPr>
          <w:rFonts w:ascii="Tahoma" w:hAnsi="Tahoma"/>
        </w:rPr>
        <w:t>’</w:t>
      </w:r>
      <w:r w:rsidR="00B3049B" w:rsidRPr="00650F05">
        <w:rPr>
          <w:rFonts w:ascii="Tahoma" w:hAnsi="Tahoma"/>
        </w:rPr>
        <w:t xml:space="preserve"> industry experience</w:t>
      </w:r>
      <w:r w:rsidR="00ED0DC7" w:rsidRPr="00650F05">
        <w:rPr>
          <w:rFonts w:ascii="Tahoma" w:hAnsi="Tahoma"/>
        </w:rPr>
        <w:t xml:space="preserve"> </w:t>
      </w:r>
      <w:r w:rsidR="00465547" w:rsidRPr="00650F05">
        <w:rPr>
          <w:rFonts w:ascii="Tahoma" w:hAnsi="Tahoma"/>
        </w:rPr>
        <w:t xml:space="preserve">provided </w:t>
      </w:r>
      <w:r w:rsidR="006D75F2" w:rsidRPr="00650F05">
        <w:rPr>
          <w:rFonts w:ascii="Tahoma" w:hAnsi="Tahoma"/>
        </w:rPr>
        <w:t>a</w:t>
      </w:r>
      <w:r w:rsidR="008B11A1" w:rsidRPr="00650F05">
        <w:rPr>
          <w:rFonts w:ascii="Tahoma" w:hAnsi="Tahoma"/>
        </w:rPr>
        <w:t xml:space="preserve"> platform for </w:t>
      </w:r>
      <w:r w:rsidR="006D75F2" w:rsidRPr="00650F05">
        <w:rPr>
          <w:rFonts w:ascii="Tahoma" w:hAnsi="Tahoma"/>
        </w:rPr>
        <w:t xml:space="preserve">important knowledge exchange </w:t>
      </w:r>
      <w:r w:rsidR="008B11A1" w:rsidRPr="00650F05">
        <w:rPr>
          <w:rFonts w:ascii="Tahoma" w:hAnsi="Tahoma"/>
        </w:rPr>
        <w:t xml:space="preserve">and exploration of </w:t>
      </w:r>
      <w:r w:rsidR="00AE35C6" w:rsidRPr="00650F05">
        <w:rPr>
          <w:rFonts w:ascii="Tahoma" w:hAnsi="Tahoma"/>
        </w:rPr>
        <w:t>industry requirements</w:t>
      </w:r>
      <w:r w:rsidR="0039741F" w:rsidRPr="00650F05">
        <w:rPr>
          <w:rFonts w:ascii="Tahoma" w:hAnsi="Tahoma"/>
        </w:rPr>
        <w:t>. Participants noted,</w:t>
      </w:r>
    </w:p>
    <w:p w14:paraId="1C6CB3DC" w14:textId="77777777" w:rsidR="00ED0FB9" w:rsidRPr="00650F05" w:rsidRDefault="00ED0FB9" w:rsidP="00ED0FB9">
      <w:pPr>
        <w:spacing w:after="0" w:line="480" w:lineRule="auto"/>
        <w:jc w:val="both"/>
        <w:rPr>
          <w:rFonts w:ascii="Tahoma" w:hAnsi="Tahoma"/>
        </w:rPr>
      </w:pPr>
    </w:p>
    <w:p w14:paraId="0F8FFE0C" w14:textId="4786EECB" w:rsidR="005B34E9" w:rsidRPr="00650F05" w:rsidRDefault="005B34E9" w:rsidP="005B34E9">
      <w:pPr>
        <w:spacing w:before="240" w:line="240" w:lineRule="auto"/>
        <w:ind w:left="567" w:right="521"/>
        <w:jc w:val="both"/>
        <w:rPr>
          <w:rFonts w:ascii="Tahoma" w:hAnsi="Tahoma"/>
        </w:rPr>
      </w:pPr>
      <w:r w:rsidRPr="00650F05">
        <w:rPr>
          <w:rFonts w:ascii="Tahoma" w:hAnsi="Tahoma"/>
        </w:rPr>
        <w:t>“</w:t>
      </w:r>
      <w:r w:rsidR="0077109F" w:rsidRPr="00650F05">
        <w:rPr>
          <w:rFonts w:ascii="Tahoma" w:hAnsi="Tahoma"/>
        </w:rPr>
        <w:t>The lecturers at uni are</w:t>
      </w:r>
      <w:r w:rsidR="00DD3846" w:rsidRPr="00650F05">
        <w:rPr>
          <w:rFonts w:ascii="Tahoma" w:hAnsi="Tahoma"/>
        </w:rPr>
        <w:t xml:space="preserve"> great. </w:t>
      </w:r>
      <w:r w:rsidR="00C44E68" w:rsidRPr="00650F05">
        <w:rPr>
          <w:rFonts w:ascii="Tahoma" w:hAnsi="Tahoma"/>
        </w:rPr>
        <w:t>…t</w:t>
      </w:r>
      <w:r w:rsidR="00DD3846" w:rsidRPr="00650F05">
        <w:rPr>
          <w:rFonts w:ascii="Tahoma" w:hAnsi="Tahoma"/>
        </w:rPr>
        <w:t xml:space="preserve">hey have worked in sport at high levels and understand what is required to </w:t>
      </w:r>
      <w:r w:rsidR="00C44E68" w:rsidRPr="00650F05">
        <w:rPr>
          <w:rFonts w:ascii="Tahoma" w:hAnsi="Tahoma"/>
        </w:rPr>
        <w:t xml:space="preserve">succeed [in </w:t>
      </w:r>
      <w:r w:rsidR="00754E62" w:rsidRPr="00650F05">
        <w:rPr>
          <w:rFonts w:ascii="Tahoma" w:hAnsi="Tahoma"/>
        </w:rPr>
        <w:t>industry] …</w:t>
      </w:r>
      <w:r w:rsidRPr="00650F05">
        <w:rPr>
          <w:rFonts w:ascii="Tahoma" w:hAnsi="Tahoma"/>
        </w:rPr>
        <w:t>”.</w:t>
      </w:r>
    </w:p>
    <w:p w14:paraId="5790F0E1" w14:textId="2211DB57" w:rsidR="00655D21" w:rsidRPr="00650F05" w:rsidRDefault="00655D21" w:rsidP="00ED0FB9">
      <w:pPr>
        <w:spacing w:after="0" w:line="480" w:lineRule="auto"/>
        <w:jc w:val="both"/>
        <w:rPr>
          <w:rFonts w:ascii="Tahoma" w:hAnsi="Tahoma"/>
        </w:rPr>
      </w:pPr>
    </w:p>
    <w:p w14:paraId="1E729685" w14:textId="414C6B73" w:rsidR="005B34E9" w:rsidRPr="00650F05" w:rsidRDefault="005B34E9" w:rsidP="005B34E9">
      <w:pPr>
        <w:spacing w:before="240" w:line="240" w:lineRule="auto"/>
        <w:ind w:left="567" w:right="521"/>
        <w:jc w:val="both"/>
        <w:rPr>
          <w:rFonts w:ascii="Tahoma" w:hAnsi="Tahoma"/>
        </w:rPr>
      </w:pPr>
      <w:r w:rsidRPr="00650F05">
        <w:rPr>
          <w:rFonts w:ascii="Tahoma" w:hAnsi="Tahoma"/>
        </w:rPr>
        <w:t>“</w:t>
      </w:r>
      <w:r w:rsidR="00754E62" w:rsidRPr="00650F05">
        <w:rPr>
          <w:rFonts w:ascii="Tahoma" w:hAnsi="Tahoma"/>
        </w:rPr>
        <w:t>We learn so much from our lecturers</w:t>
      </w:r>
      <w:r w:rsidR="00EE3491" w:rsidRPr="00650F05">
        <w:rPr>
          <w:rFonts w:ascii="Tahoma" w:hAnsi="Tahoma"/>
        </w:rPr>
        <w:t xml:space="preserve"> about what skills and knowledge we must have as graduates</w:t>
      </w:r>
      <w:r w:rsidR="00921023" w:rsidRPr="00650F05">
        <w:rPr>
          <w:rFonts w:ascii="Tahoma" w:hAnsi="Tahoma"/>
        </w:rPr>
        <w:t xml:space="preserve">, going into the sport industry [after graduation]. </w:t>
      </w:r>
      <w:r w:rsidR="009E5F7A" w:rsidRPr="00650F05">
        <w:rPr>
          <w:rFonts w:ascii="Tahoma" w:hAnsi="Tahoma"/>
        </w:rPr>
        <w:t xml:space="preserve">…we are lucky that </w:t>
      </w:r>
      <w:r w:rsidR="00977EDC" w:rsidRPr="00650F05">
        <w:rPr>
          <w:rFonts w:ascii="Tahoma" w:hAnsi="Tahoma"/>
        </w:rPr>
        <w:t>such experts</w:t>
      </w:r>
      <w:r w:rsidR="009E5F7A" w:rsidRPr="00650F05">
        <w:rPr>
          <w:rFonts w:ascii="Tahoma" w:hAnsi="Tahoma"/>
        </w:rPr>
        <w:t xml:space="preserve"> </w:t>
      </w:r>
      <w:r w:rsidR="00831C97" w:rsidRPr="00650F05">
        <w:rPr>
          <w:rFonts w:ascii="Tahoma" w:hAnsi="Tahoma"/>
        </w:rPr>
        <w:t>are there to supervise and support</w:t>
      </w:r>
      <w:r w:rsidR="00D71200" w:rsidRPr="00650F05">
        <w:rPr>
          <w:rFonts w:ascii="Tahoma" w:hAnsi="Tahoma"/>
        </w:rPr>
        <w:t xml:space="preserve">. </w:t>
      </w:r>
      <w:r w:rsidR="005E26EB" w:rsidRPr="00650F05">
        <w:rPr>
          <w:rFonts w:ascii="Tahoma" w:hAnsi="Tahoma"/>
        </w:rPr>
        <w:t>…I know that I can apply what I have learnt into</w:t>
      </w:r>
      <w:r w:rsidR="002E3F3E" w:rsidRPr="00650F05">
        <w:rPr>
          <w:rFonts w:ascii="Tahoma" w:hAnsi="Tahoma"/>
        </w:rPr>
        <w:t xml:space="preserve"> a full-time [industry] role</w:t>
      </w:r>
      <w:r w:rsidR="00ED0DC7" w:rsidRPr="00650F05">
        <w:rPr>
          <w:rFonts w:ascii="Tahoma" w:hAnsi="Tahoma"/>
        </w:rPr>
        <w:t>…</w:t>
      </w:r>
      <w:r w:rsidRPr="00650F05">
        <w:rPr>
          <w:rFonts w:ascii="Tahoma" w:hAnsi="Tahoma"/>
        </w:rPr>
        <w:t>”.</w:t>
      </w:r>
    </w:p>
    <w:p w14:paraId="22186F4D" w14:textId="77777777" w:rsidR="005B34E9" w:rsidRPr="00650F05" w:rsidRDefault="005B34E9" w:rsidP="00E26BB4">
      <w:pPr>
        <w:spacing w:before="240" w:line="480" w:lineRule="auto"/>
        <w:jc w:val="both"/>
        <w:rPr>
          <w:rFonts w:ascii="Tahoma" w:hAnsi="Tahoma"/>
        </w:rPr>
      </w:pPr>
    </w:p>
    <w:p w14:paraId="3EDEC3A5" w14:textId="6D0756D0" w:rsidR="00224BE3" w:rsidRPr="00650F05" w:rsidRDefault="000A6EDF" w:rsidP="00E93CFF">
      <w:pPr>
        <w:spacing w:line="480" w:lineRule="auto"/>
        <w:jc w:val="both"/>
        <w:rPr>
          <w:rFonts w:ascii="Tahoma" w:hAnsi="Tahoma"/>
        </w:rPr>
      </w:pPr>
      <w:r w:rsidRPr="00650F05">
        <w:rPr>
          <w:rFonts w:ascii="Tahoma" w:hAnsi="Tahoma"/>
        </w:rPr>
        <w:t xml:space="preserve">Gill (2017) </w:t>
      </w:r>
      <w:r w:rsidR="00D347D0" w:rsidRPr="00650F05">
        <w:rPr>
          <w:rFonts w:ascii="Tahoma" w:hAnsi="Tahoma"/>
        </w:rPr>
        <w:t xml:space="preserve">previously </w:t>
      </w:r>
      <w:r w:rsidRPr="00650F05">
        <w:rPr>
          <w:rFonts w:ascii="Tahoma" w:hAnsi="Tahoma"/>
        </w:rPr>
        <w:t xml:space="preserve">identified self-efficacy as an issue </w:t>
      </w:r>
      <w:r w:rsidR="00577AD5" w:rsidRPr="00650F05">
        <w:rPr>
          <w:rFonts w:ascii="Tahoma" w:hAnsi="Tahoma"/>
        </w:rPr>
        <w:t xml:space="preserve">in </w:t>
      </w:r>
      <w:r w:rsidRPr="00650F05">
        <w:rPr>
          <w:rFonts w:ascii="Tahoma" w:hAnsi="Tahoma"/>
        </w:rPr>
        <w:t>roles that are new to student</w:t>
      </w:r>
      <w:r w:rsidR="00D17D23" w:rsidRPr="00650F05">
        <w:rPr>
          <w:rFonts w:ascii="Tahoma" w:hAnsi="Tahoma"/>
        </w:rPr>
        <w:t>s</w:t>
      </w:r>
      <w:r w:rsidR="00586636" w:rsidRPr="00650F05">
        <w:rPr>
          <w:rFonts w:ascii="Tahoma" w:hAnsi="Tahoma"/>
        </w:rPr>
        <w:t>, however, Gill</w:t>
      </w:r>
      <w:r w:rsidR="009019D5" w:rsidRPr="00650F05">
        <w:rPr>
          <w:rFonts w:ascii="Tahoma" w:hAnsi="Tahoma"/>
        </w:rPr>
        <w:t>’s</w:t>
      </w:r>
      <w:r w:rsidR="00586636" w:rsidRPr="00650F05">
        <w:rPr>
          <w:rFonts w:ascii="Tahoma" w:hAnsi="Tahoma"/>
        </w:rPr>
        <w:t xml:space="preserve"> (2021) assertion that </w:t>
      </w:r>
      <w:r w:rsidR="00A750A9" w:rsidRPr="00650F05">
        <w:rPr>
          <w:rFonts w:ascii="Tahoma" w:hAnsi="Tahoma"/>
        </w:rPr>
        <w:t>academic staff may be able to off-set the effect of this</w:t>
      </w:r>
      <w:r w:rsidR="002F5067" w:rsidRPr="00650F05">
        <w:rPr>
          <w:rFonts w:ascii="Tahoma" w:hAnsi="Tahoma"/>
        </w:rPr>
        <w:t xml:space="preserve"> </w:t>
      </w:r>
      <w:r w:rsidR="00A750A9" w:rsidRPr="00650F05">
        <w:rPr>
          <w:rFonts w:ascii="Tahoma" w:hAnsi="Tahoma"/>
        </w:rPr>
        <w:lastRenderedPageBreak/>
        <w:t xml:space="preserve">with </w:t>
      </w:r>
      <w:r w:rsidR="002F5067" w:rsidRPr="00650F05">
        <w:rPr>
          <w:rFonts w:ascii="Tahoma" w:hAnsi="Tahoma"/>
        </w:rPr>
        <w:t>high quality teaching</w:t>
      </w:r>
      <w:r w:rsidR="00FA15D2" w:rsidRPr="00650F05">
        <w:rPr>
          <w:rFonts w:ascii="Tahoma" w:hAnsi="Tahoma"/>
        </w:rPr>
        <w:t xml:space="preserve">, </w:t>
      </w:r>
      <w:r w:rsidR="00A750A9" w:rsidRPr="00650F05">
        <w:rPr>
          <w:rFonts w:ascii="Tahoma" w:hAnsi="Tahoma"/>
        </w:rPr>
        <w:t>information</w:t>
      </w:r>
      <w:r w:rsidR="00FA15D2" w:rsidRPr="00650F05">
        <w:rPr>
          <w:rFonts w:ascii="Tahoma" w:hAnsi="Tahoma"/>
        </w:rPr>
        <w:t xml:space="preserve"> </w:t>
      </w:r>
      <w:r w:rsidR="00A750A9" w:rsidRPr="00650F05">
        <w:rPr>
          <w:rFonts w:ascii="Tahoma" w:hAnsi="Tahoma"/>
        </w:rPr>
        <w:t>and guidance</w:t>
      </w:r>
      <w:r w:rsidR="00494921" w:rsidRPr="00650F05">
        <w:rPr>
          <w:rFonts w:ascii="Tahoma" w:hAnsi="Tahoma"/>
        </w:rPr>
        <w:t xml:space="preserve"> </w:t>
      </w:r>
      <w:r w:rsidR="006667CA" w:rsidRPr="00650F05">
        <w:rPr>
          <w:rFonts w:ascii="Tahoma" w:hAnsi="Tahoma"/>
        </w:rPr>
        <w:t xml:space="preserve">is validated further </w:t>
      </w:r>
      <w:r w:rsidR="00494921" w:rsidRPr="00650F05">
        <w:rPr>
          <w:rFonts w:ascii="Tahoma" w:hAnsi="Tahoma"/>
        </w:rPr>
        <w:t xml:space="preserve">based on </w:t>
      </w:r>
      <w:r w:rsidR="00E8056A" w:rsidRPr="00650F05">
        <w:rPr>
          <w:rFonts w:ascii="Tahoma" w:hAnsi="Tahoma"/>
        </w:rPr>
        <w:t>these</w:t>
      </w:r>
      <w:r w:rsidR="00494921" w:rsidRPr="00650F05">
        <w:rPr>
          <w:rFonts w:ascii="Tahoma" w:hAnsi="Tahoma"/>
        </w:rPr>
        <w:t xml:space="preserve"> findings.</w:t>
      </w:r>
      <w:r w:rsidR="004802BA" w:rsidRPr="00650F05">
        <w:rPr>
          <w:rFonts w:ascii="Tahoma" w:hAnsi="Tahoma"/>
        </w:rPr>
        <w:t xml:space="preserve"> </w:t>
      </w:r>
      <w:r w:rsidR="0064150E" w:rsidRPr="00650F05">
        <w:rPr>
          <w:rFonts w:ascii="Tahoma" w:hAnsi="Tahoma"/>
        </w:rPr>
        <w:t>McSweeney (2014) posit</w:t>
      </w:r>
      <w:r w:rsidR="00867914" w:rsidRPr="00650F05">
        <w:rPr>
          <w:rFonts w:ascii="Tahoma" w:hAnsi="Tahoma"/>
        </w:rPr>
        <w:t xml:space="preserve">ed that if </w:t>
      </w:r>
      <w:r w:rsidR="0064150E" w:rsidRPr="00650F05">
        <w:rPr>
          <w:rFonts w:ascii="Tahoma" w:hAnsi="Tahoma"/>
        </w:rPr>
        <w:t xml:space="preserve">instructions from academic staff </w:t>
      </w:r>
      <w:r w:rsidR="002E491E" w:rsidRPr="00650F05">
        <w:rPr>
          <w:rFonts w:ascii="Tahoma" w:hAnsi="Tahoma"/>
        </w:rPr>
        <w:t xml:space="preserve">are </w:t>
      </w:r>
      <w:r w:rsidR="0064150E" w:rsidRPr="00650F05">
        <w:rPr>
          <w:rFonts w:ascii="Tahoma" w:hAnsi="Tahoma"/>
        </w:rPr>
        <w:t>clear, relevant to goals and developmental to learning, it motivates students and makes them more optimistic about their learning</w:t>
      </w:r>
      <w:r w:rsidR="006667CA" w:rsidRPr="00650F05">
        <w:rPr>
          <w:rFonts w:ascii="Tahoma" w:hAnsi="Tahoma"/>
        </w:rPr>
        <w:t>;</w:t>
      </w:r>
      <w:r w:rsidR="0064150E" w:rsidRPr="00650F05">
        <w:rPr>
          <w:rFonts w:ascii="Tahoma" w:hAnsi="Tahoma"/>
        </w:rPr>
        <w:t xml:space="preserve"> </w:t>
      </w:r>
      <w:r w:rsidR="006667CA" w:rsidRPr="00650F05">
        <w:rPr>
          <w:rFonts w:ascii="Tahoma" w:hAnsi="Tahoma"/>
        </w:rPr>
        <w:t>consequently,</w:t>
      </w:r>
      <w:r w:rsidR="0064150E" w:rsidRPr="00650F05">
        <w:rPr>
          <w:rFonts w:ascii="Tahoma" w:hAnsi="Tahoma"/>
        </w:rPr>
        <w:t xml:space="preserve"> </w:t>
      </w:r>
      <w:r w:rsidR="0001574D" w:rsidRPr="00650F05">
        <w:rPr>
          <w:rFonts w:ascii="Tahoma" w:hAnsi="Tahoma"/>
        </w:rPr>
        <w:t>developing greater</w:t>
      </w:r>
      <w:r w:rsidR="0064150E" w:rsidRPr="00650F05">
        <w:rPr>
          <w:rFonts w:ascii="Tahoma" w:hAnsi="Tahoma"/>
        </w:rPr>
        <w:t xml:space="preserve"> self-efficacy.</w:t>
      </w:r>
      <w:r w:rsidR="0058424D" w:rsidRPr="00650F05">
        <w:rPr>
          <w:rFonts w:ascii="Tahoma" w:hAnsi="Tahoma"/>
        </w:rPr>
        <w:t xml:space="preserve"> </w:t>
      </w:r>
      <w:r w:rsidR="00080497">
        <w:rPr>
          <w:rFonts w:ascii="Tahoma" w:hAnsi="Tahoma"/>
        </w:rPr>
        <w:t>Perceived s</w:t>
      </w:r>
      <w:r w:rsidR="009772AF" w:rsidRPr="00650F05">
        <w:rPr>
          <w:rFonts w:ascii="Tahoma" w:hAnsi="Tahoma"/>
        </w:rPr>
        <w:t>elf-efficacy and resilience</w:t>
      </w:r>
      <w:r w:rsidR="004C0FDC" w:rsidRPr="00650F05">
        <w:rPr>
          <w:rFonts w:ascii="Tahoma" w:hAnsi="Tahoma"/>
        </w:rPr>
        <w:t xml:space="preserve"> </w:t>
      </w:r>
      <w:r w:rsidR="00243510" w:rsidRPr="00650F05">
        <w:rPr>
          <w:rFonts w:ascii="Tahoma" w:hAnsi="Tahoma"/>
        </w:rPr>
        <w:t>are seen by Dietrich et al. (2012), Koivisto et al. (2010), and Salmela-Aro and Vuori (2015) as</w:t>
      </w:r>
      <w:r w:rsidR="00EA2A6E" w:rsidRPr="00650F05">
        <w:rPr>
          <w:rFonts w:ascii="Tahoma" w:hAnsi="Tahoma"/>
        </w:rPr>
        <w:t xml:space="preserve"> key characteristics that contribute to an individuals adjustment to life transitions</w:t>
      </w:r>
      <w:r w:rsidR="00126183" w:rsidRPr="00650F05">
        <w:rPr>
          <w:rFonts w:ascii="Tahoma" w:hAnsi="Tahoma"/>
        </w:rPr>
        <w:t>.</w:t>
      </w:r>
    </w:p>
    <w:p w14:paraId="63A56AE1" w14:textId="36B60316" w:rsidR="00D2643E" w:rsidRPr="00650F05" w:rsidRDefault="00C06057" w:rsidP="00D2643E">
      <w:pPr>
        <w:spacing w:line="480" w:lineRule="auto"/>
        <w:jc w:val="both"/>
        <w:rPr>
          <w:rFonts w:ascii="Tahoma" w:hAnsi="Tahoma"/>
        </w:rPr>
      </w:pPr>
      <w:r w:rsidRPr="00650F05">
        <w:rPr>
          <w:rFonts w:ascii="Tahoma" w:hAnsi="Tahoma"/>
        </w:rPr>
        <w:t xml:space="preserve">Through the lens of </w:t>
      </w:r>
      <w:r w:rsidR="000E5755" w:rsidRPr="00650F05">
        <w:rPr>
          <w:rFonts w:ascii="Tahoma" w:hAnsi="Tahoma"/>
        </w:rPr>
        <w:t>Bourdieu (1977)</w:t>
      </w:r>
      <w:r w:rsidR="005C77AA" w:rsidRPr="00650F05">
        <w:rPr>
          <w:rFonts w:ascii="Tahoma" w:hAnsi="Tahoma"/>
        </w:rPr>
        <w:t xml:space="preserve">, </w:t>
      </w:r>
      <w:r w:rsidR="00D2643E" w:rsidRPr="00650F05">
        <w:rPr>
          <w:rFonts w:ascii="Tahoma" w:hAnsi="Tahoma"/>
        </w:rPr>
        <w:t>it is apparent that</w:t>
      </w:r>
      <w:r w:rsidR="00720BA2" w:rsidRPr="00650F05">
        <w:rPr>
          <w:rFonts w:ascii="Tahoma" w:hAnsi="Tahoma"/>
        </w:rPr>
        <w:t xml:space="preserve"> students have learned to secure capital in the form of </w:t>
      </w:r>
      <w:r w:rsidR="00654AB0" w:rsidRPr="00650F05">
        <w:rPr>
          <w:rFonts w:ascii="Tahoma" w:hAnsi="Tahoma"/>
        </w:rPr>
        <w:t xml:space="preserve">industry required knowledge and social </w:t>
      </w:r>
      <w:r w:rsidR="00F4568F" w:rsidRPr="00650F05">
        <w:rPr>
          <w:rFonts w:ascii="Tahoma" w:hAnsi="Tahoma"/>
        </w:rPr>
        <w:t>connections</w:t>
      </w:r>
      <w:r w:rsidR="008D5DE9" w:rsidRPr="00650F05">
        <w:rPr>
          <w:rFonts w:ascii="Tahoma" w:hAnsi="Tahoma"/>
        </w:rPr>
        <w:t xml:space="preserve"> with </w:t>
      </w:r>
      <w:r w:rsidR="00BB514A" w:rsidRPr="00650F05">
        <w:rPr>
          <w:rFonts w:ascii="Tahoma" w:hAnsi="Tahoma"/>
        </w:rPr>
        <w:t>university staff</w:t>
      </w:r>
      <w:r w:rsidR="00F4568F" w:rsidRPr="00650F05">
        <w:rPr>
          <w:rFonts w:ascii="Tahoma" w:hAnsi="Tahoma"/>
        </w:rPr>
        <w:t xml:space="preserve">, as well as capital in the form of </w:t>
      </w:r>
      <w:r w:rsidR="00F40A09" w:rsidRPr="00650F05">
        <w:rPr>
          <w:rFonts w:ascii="Tahoma" w:hAnsi="Tahoma"/>
        </w:rPr>
        <w:t xml:space="preserve">practical skills, which can be applied </w:t>
      </w:r>
      <w:r w:rsidR="00847EDA" w:rsidRPr="00650F05">
        <w:rPr>
          <w:rFonts w:ascii="Tahoma" w:hAnsi="Tahoma"/>
        </w:rPr>
        <w:t xml:space="preserve">to </w:t>
      </w:r>
      <w:r w:rsidR="00F40A09" w:rsidRPr="00650F05">
        <w:rPr>
          <w:rFonts w:ascii="Tahoma" w:hAnsi="Tahoma"/>
        </w:rPr>
        <w:t>specific job roles.</w:t>
      </w:r>
      <w:r w:rsidR="002F00AF" w:rsidRPr="00650F05">
        <w:rPr>
          <w:rFonts w:ascii="Tahoma" w:hAnsi="Tahoma"/>
        </w:rPr>
        <w:t xml:space="preserve"> </w:t>
      </w:r>
      <w:r w:rsidR="009F52EE" w:rsidRPr="00650F05">
        <w:rPr>
          <w:rFonts w:ascii="Tahoma" w:hAnsi="Tahoma"/>
        </w:rPr>
        <w:t xml:space="preserve">These </w:t>
      </w:r>
      <w:r w:rsidR="006139B6" w:rsidRPr="00650F05">
        <w:rPr>
          <w:rFonts w:ascii="Tahoma" w:hAnsi="Tahoma"/>
        </w:rPr>
        <w:t>capital gains</w:t>
      </w:r>
      <w:r w:rsidR="009F52EE" w:rsidRPr="00650F05">
        <w:rPr>
          <w:rFonts w:ascii="Tahoma" w:hAnsi="Tahoma"/>
        </w:rPr>
        <w:t xml:space="preserve"> </w:t>
      </w:r>
      <w:r w:rsidR="00125A15" w:rsidRPr="00650F05">
        <w:rPr>
          <w:rFonts w:ascii="Tahoma" w:hAnsi="Tahoma"/>
        </w:rPr>
        <w:t xml:space="preserve">appear to </w:t>
      </w:r>
      <w:r w:rsidR="008D7994" w:rsidRPr="00650F05">
        <w:rPr>
          <w:rFonts w:ascii="Tahoma" w:hAnsi="Tahoma"/>
        </w:rPr>
        <w:t xml:space="preserve">enhance </w:t>
      </w:r>
      <w:r w:rsidR="00E9044D" w:rsidRPr="00650F05">
        <w:rPr>
          <w:rFonts w:ascii="Tahoma" w:hAnsi="Tahoma"/>
        </w:rPr>
        <w:t>perceptions of</w:t>
      </w:r>
      <w:r w:rsidR="003963F7" w:rsidRPr="00650F05">
        <w:rPr>
          <w:rFonts w:ascii="Tahoma" w:hAnsi="Tahoma"/>
        </w:rPr>
        <w:t xml:space="preserve"> preparedness in students from </w:t>
      </w:r>
      <w:r w:rsidR="00171D9D" w:rsidRPr="00650F05">
        <w:rPr>
          <w:rFonts w:ascii="Tahoma" w:hAnsi="Tahoma"/>
        </w:rPr>
        <w:t>non-traditional backgrounds</w:t>
      </w:r>
      <w:r w:rsidR="009F52EE" w:rsidRPr="00650F05">
        <w:rPr>
          <w:rFonts w:ascii="Tahoma" w:hAnsi="Tahoma"/>
        </w:rPr>
        <w:t>.</w:t>
      </w:r>
      <w:r w:rsidR="00124F54" w:rsidRPr="00650F05">
        <w:rPr>
          <w:rFonts w:ascii="Tahoma" w:hAnsi="Tahoma"/>
        </w:rPr>
        <w:t xml:space="preserve"> </w:t>
      </w:r>
      <w:r w:rsidR="009A04D7" w:rsidRPr="00650F05">
        <w:rPr>
          <w:rFonts w:ascii="Tahoma" w:hAnsi="Tahoma"/>
        </w:rPr>
        <w:t xml:space="preserve">The findings </w:t>
      </w:r>
      <w:r w:rsidR="006B0416" w:rsidRPr="00650F05">
        <w:rPr>
          <w:rFonts w:ascii="Tahoma" w:hAnsi="Tahoma"/>
        </w:rPr>
        <w:t xml:space="preserve">are congruent with </w:t>
      </w:r>
      <w:r w:rsidR="009A04D7" w:rsidRPr="00650F05">
        <w:rPr>
          <w:rFonts w:ascii="Tahoma" w:hAnsi="Tahoma"/>
        </w:rPr>
        <w:t xml:space="preserve">Balmer et al. </w:t>
      </w:r>
      <w:r w:rsidR="00BA28F5" w:rsidRPr="00650F05">
        <w:rPr>
          <w:rFonts w:ascii="Tahoma" w:hAnsi="Tahoma"/>
        </w:rPr>
        <w:t>(</w:t>
      </w:r>
      <w:r w:rsidR="009A04D7" w:rsidRPr="00650F05">
        <w:rPr>
          <w:rFonts w:ascii="Tahoma" w:hAnsi="Tahoma"/>
        </w:rPr>
        <w:t>2015</w:t>
      </w:r>
      <w:r w:rsidR="00BA28F5" w:rsidRPr="00650F05">
        <w:rPr>
          <w:rFonts w:ascii="Tahoma" w:hAnsi="Tahoma"/>
        </w:rPr>
        <w:t xml:space="preserve">) assertions </w:t>
      </w:r>
      <w:r w:rsidR="008A51DF" w:rsidRPr="00650F05">
        <w:rPr>
          <w:rFonts w:ascii="Tahoma" w:hAnsi="Tahoma"/>
        </w:rPr>
        <w:t xml:space="preserve">that </w:t>
      </w:r>
      <w:r w:rsidR="00D2643E" w:rsidRPr="00650F05">
        <w:rPr>
          <w:rFonts w:ascii="Tahoma" w:hAnsi="Tahoma"/>
        </w:rPr>
        <w:t xml:space="preserve">students from non-traditional backgrounds </w:t>
      </w:r>
      <w:r w:rsidR="002F5DDB" w:rsidRPr="00650F05">
        <w:rPr>
          <w:rFonts w:ascii="Tahoma" w:hAnsi="Tahoma"/>
        </w:rPr>
        <w:t xml:space="preserve">have a greater </w:t>
      </w:r>
      <w:r w:rsidR="00331EC1" w:rsidRPr="00650F05">
        <w:rPr>
          <w:rFonts w:ascii="Tahoma" w:hAnsi="Tahoma"/>
        </w:rPr>
        <w:t xml:space="preserve">influence </w:t>
      </w:r>
      <w:r w:rsidR="002F5DDB" w:rsidRPr="00650F05">
        <w:rPr>
          <w:rFonts w:ascii="Tahoma" w:hAnsi="Tahoma"/>
        </w:rPr>
        <w:t xml:space="preserve">on shaping </w:t>
      </w:r>
      <w:r w:rsidR="00531423" w:rsidRPr="00650F05">
        <w:rPr>
          <w:rFonts w:ascii="Tahoma" w:hAnsi="Tahoma"/>
        </w:rPr>
        <w:t>their own habitus</w:t>
      </w:r>
      <w:r w:rsidR="00D2643E" w:rsidRPr="00650F05">
        <w:rPr>
          <w:rFonts w:ascii="Tahoma" w:hAnsi="Tahoma"/>
        </w:rPr>
        <w:t xml:space="preserve">, </w:t>
      </w:r>
      <w:r w:rsidR="002F5DDB" w:rsidRPr="00650F05">
        <w:rPr>
          <w:rFonts w:ascii="Tahoma" w:hAnsi="Tahoma"/>
        </w:rPr>
        <w:t xml:space="preserve">whilst </w:t>
      </w:r>
      <w:r w:rsidR="00D2643E" w:rsidRPr="00650F05">
        <w:rPr>
          <w:rFonts w:ascii="Tahoma" w:hAnsi="Tahoma"/>
        </w:rPr>
        <w:t>simultaneously shaping their social contexts</w:t>
      </w:r>
      <w:r w:rsidR="002F5DDB" w:rsidRPr="00650F05">
        <w:rPr>
          <w:rFonts w:ascii="Tahoma" w:hAnsi="Tahoma"/>
        </w:rPr>
        <w:t xml:space="preserve"> due to their nuanced background</w:t>
      </w:r>
      <w:r w:rsidR="00022655" w:rsidRPr="00650F05">
        <w:rPr>
          <w:rFonts w:ascii="Tahoma" w:hAnsi="Tahoma"/>
        </w:rPr>
        <w:t>s</w:t>
      </w:r>
      <w:r w:rsidR="00D2643E" w:rsidRPr="00650F05">
        <w:rPr>
          <w:rFonts w:ascii="Tahoma" w:hAnsi="Tahoma"/>
        </w:rPr>
        <w:t>.</w:t>
      </w:r>
    </w:p>
    <w:p w14:paraId="347C3C91" w14:textId="77777777" w:rsidR="005B34E9" w:rsidRPr="00650F05" w:rsidRDefault="005B34E9" w:rsidP="000563CD">
      <w:pPr>
        <w:spacing w:line="480" w:lineRule="auto"/>
        <w:jc w:val="both"/>
        <w:rPr>
          <w:rFonts w:ascii="Tahoma" w:hAnsi="Tahoma"/>
        </w:rPr>
      </w:pPr>
    </w:p>
    <w:p w14:paraId="18F178D0" w14:textId="0AAADA9A" w:rsidR="00BC60ED" w:rsidRPr="00650F05" w:rsidRDefault="00163E6D" w:rsidP="000563CD">
      <w:pPr>
        <w:spacing w:line="480" w:lineRule="auto"/>
        <w:jc w:val="both"/>
        <w:rPr>
          <w:rFonts w:ascii="Tahoma" w:hAnsi="Tahoma"/>
        </w:rPr>
      </w:pPr>
      <w:r w:rsidRPr="00650F05">
        <w:rPr>
          <w:rFonts w:ascii="Tahoma" w:hAnsi="Tahoma"/>
          <w:b/>
          <w:bCs/>
        </w:rPr>
        <w:t>Key Theme:</w:t>
      </w:r>
      <w:r w:rsidRPr="00650F05">
        <w:rPr>
          <w:rFonts w:ascii="Tahoma" w:hAnsi="Tahoma"/>
        </w:rPr>
        <w:t xml:space="preserve"> </w:t>
      </w:r>
      <w:r w:rsidR="00A44C26" w:rsidRPr="00650F05">
        <w:rPr>
          <w:rFonts w:ascii="Tahoma" w:hAnsi="Tahoma"/>
        </w:rPr>
        <w:t>Knowledge and Competencies</w:t>
      </w:r>
    </w:p>
    <w:p w14:paraId="3E0E6507" w14:textId="65B395F3" w:rsidR="0063722D" w:rsidRPr="00650F05" w:rsidRDefault="00B92926" w:rsidP="0063722D">
      <w:pPr>
        <w:spacing w:line="480" w:lineRule="auto"/>
        <w:jc w:val="both"/>
        <w:rPr>
          <w:rFonts w:ascii="Tahoma" w:hAnsi="Tahoma"/>
        </w:rPr>
      </w:pPr>
      <w:r w:rsidRPr="00650F05">
        <w:rPr>
          <w:rFonts w:ascii="Tahoma" w:hAnsi="Tahoma"/>
        </w:rPr>
        <w:t>Findings indicated that</w:t>
      </w:r>
      <w:r w:rsidR="00EF6229" w:rsidRPr="00650F05">
        <w:rPr>
          <w:rFonts w:ascii="Tahoma" w:hAnsi="Tahoma"/>
        </w:rPr>
        <w:t xml:space="preserve"> practical</w:t>
      </w:r>
      <w:r w:rsidR="00F71A90" w:rsidRPr="00650F05">
        <w:rPr>
          <w:rFonts w:ascii="Tahoma" w:hAnsi="Tahoma"/>
        </w:rPr>
        <w:t xml:space="preserve"> and</w:t>
      </w:r>
      <w:r w:rsidR="00EF6229" w:rsidRPr="00650F05">
        <w:rPr>
          <w:rFonts w:ascii="Tahoma" w:hAnsi="Tahoma"/>
        </w:rPr>
        <w:t xml:space="preserve"> </w:t>
      </w:r>
      <w:r w:rsidR="003E0827" w:rsidRPr="00650F05">
        <w:rPr>
          <w:rFonts w:ascii="Tahoma" w:hAnsi="Tahoma"/>
        </w:rPr>
        <w:t xml:space="preserve">theoretical </w:t>
      </w:r>
      <w:r w:rsidR="00F71A90" w:rsidRPr="00650F05">
        <w:rPr>
          <w:rFonts w:ascii="Tahoma" w:hAnsi="Tahoma"/>
        </w:rPr>
        <w:t xml:space="preserve">content of </w:t>
      </w:r>
      <w:r w:rsidR="004F3BD2" w:rsidRPr="00650F05">
        <w:rPr>
          <w:rFonts w:ascii="Tahoma" w:hAnsi="Tahoma"/>
        </w:rPr>
        <w:t xml:space="preserve">HE </w:t>
      </w:r>
      <w:r w:rsidR="00990D73" w:rsidRPr="00650F05">
        <w:rPr>
          <w:rFonts w:ascii="Tahoma" w:hAnsi="Tahoma"/>
        </w:rPr>
        <w:t>courses</w:t>
      </w:r>
      <w:r w:rsidR="00475C3A" w:rsidRPr="00650F05">
        <w:rPr>
          <w:rFonts w:ascii="Tahoma" w:hAnsi="Tahoma"/>
        </w:rPr>
        <w:t xml:space="preserve"> had a</w:t>
      </w:r>
      <w:r w:rsidR="003849D2" w:rsidRPr="00650F05">
        <w:rPr>
          <w:rFonts w:ascii="Tahoma" w:hAnsi="Tahoma"/>
        </w:rPr>
        <w:t>n</w:t>
      </w:r>
      <w:r w:rsidR="00326C0B" w:rsidRPr="00650F05">
        <w:rPr>
          <w:rFonts w:ascii="Tahoma" w:hAnsi="Tahoma"/>
        </w:rPr>
        <w:t xml:space="preserve"> impact on the </w:t>
      </w:r>
      <w:r w:rsidR="004F3BD2" w:rsidRPr="00650F05">
        <w:rPr>
          <w:rFonts w:ascii="Tahoma" w:hAnsi="Tahoma"/>
        </w:rPr>
        <w:t>participants</w:t>
      </w:r>
      <w:r w:rsidR="00326C0B" w:rsidRPr="00650F05">
        <w:rPr>
          <w:rFonts w:ascii="Tahoma" w:hAnsi="Tahoma"/>
        </w:rPr>
        <w:t xml:space="preserve"> perceptions </w:t>
      </w:r>
      <w:r w:rsidR="001411D9" w:rsidRPr="00650F05">
        <w:rPr>
          <w:rFonts w:ascii="Tahoma" w:hAnsi="Tahoma"/>
        </w:rPr>
        <w:t>of their readiness and preparedness for the transition into work after graduation.</w:t>
      </w:r>
      <w:r w:rsidR="009E5298" w:rsidRPr="00650F05">
        <w:rPr>
          <w:rFonts w:ascii="Tahoma" w:hAnsi="Tahoma"/>
        </w:rPr>
        <w:t xml:space="preserve"> </w:t>
      </w:r>
      <w:r w:rsidR="0063722D" w:rsidRPr="00650F05">
        <w:rPr>
          <w:rFonts w:ascii="Tahoma" w:hAnsi="Tahoma"/>
        </w:rPr>
        <w:t>Participants noted,</w:t>
      </w:r>
    </w:p>
    <w:p w14:paraId="49469C07" w14:textId="77777777" w:rsidR="0063722D" w:rsidRPr="00650F05" w:rsidRDefault="0063722D" w:rsidP="0063722D">
      <w:pPr>
        <w:spacing w:line="480" w:lineRule="auto"/>
        <w:jc w:val="both"/>
        <w:rPr>
          <w:rFonts w:ascii="Tahoma" w:hAnsi="Tahoma"/>
        </w:rPr>
      </w:pPr>
    </w:p>
    <w:p w14:paraId="27069477" w14:textId="77777777" w:rsidR="00B03970" w:rsidRPr="00650F05" w:rsidRDefault="00B03970" w:rsidP="00B03970">
      <w:pPr>
        <w:spacing w:line="240" w:lineRule="auto"/>
        <w:ind w:left="567" w:right="521"/>
        <w:jc w:val="both"/>
        <w:rPr>
          <w:rFonts w:ascii="Tahoma" w:hAnsi="Tahoma"/>
        </w:rPr>
      </w:pPr>
      <w:r w:rsidRPr="00650F05">
        <w:rPr>
          <w:rFonts w:ascii="Tahoma" w:hAnsi="Tahoma"/>
        </w:rPr>
        <w:t>“… the theory sessions have been really interesting and enabled me to break down my [coaching] practice and analyse my approach… this level of understanding is helping me be a much better coach [practitioner]”.</w:t>
      </w:r>
    </w:p>
    <w:p w14:paraId="300144F9" w14:textId="77777777" w:rsidR="005837BA" w:rsidRPr="00650F05" w:rsidRDefault="005837BA" w:rsidP="001B62F2">
      <w:pPr>
        <w:spacing w:line="240" w:lineRule="auto"/>
        <w:ind w:left="567" w:right="521"/>
        <w:jc w:val="both"/>
        <w:rPr>
          <w:rFonts w:ascii="Tahoma" w:hAnsi="Tahoma"/>
        </w:rPr>
      </w:pPr>
    </w:p>
    <w:p w14:paraId="6B4B0965" w14:textId="77777777" w:rsidR="00B03970" w:rsidRPr="00650F05" w:rsidRDefault="00B03970" w:rsidP="00B03970">
      <w:pPr>
        <w:spacing w:line="240" w:lineRule="auto"/>
        <w:ind w:left="567" w:right="521"/>
        <w:jc w:val="both"/>
        <w:rPr>
          <w:rFonts w:ascii="Tahoma" w:hAnsi="Tahoma"/>
        </w:rPr>
      </w:pPr>
      <w:r w:rsidRPr="00650F05">
        <w:rPr>
          <w:rFonts w:ascii="Tahoma" w:hAnsi="Tahoma"/>
        </w:rPr>
        <w:t>“My placement was great in preparing me for what comes next [work]. … I applied stuff I learnt from lectures and practical’s, which helped a lot.”</w:t>
      </w:r>
    </w:p>
    <w:p w14:paraId="14B67801" w14:textId="1EFB506B" w:rsidR="00A44C26" w:rsidRPr="00650F05" w:rsidRDefault="00A44C26" w:rsidP="009D23D2">
      <w:pPr>
        <w:spacing w:before="240" w:line="480" w:lineRule="auto"/>
        <w:jc w:val="both"/>
        <w:rPr>
          <w:rFonts w:ascii="Tahoma" w:hAnsi="Tahoma"/>
        </w:rPr>
      </w:pPr>
    </w:p>
    <w:p w14:paraId="0DA0D1E8" w14:textId="03E822C9" w:rsidR="007A28AB" w:rsidRPr="00650F05" w:rsidRDefault="008F6A27" w:rsidP="007A28AB">
      <w:pPr>
        <w:spacing w:line="480" w:lineRule="auto"/>
        <w:jc w:val="both"/>
        <w:rPr>
          <w:rFonts w:ascii="Tahoma" w:hAnsi="Tahoma"/>
        </w:rPr>
      </w:pPr>
      <w:r w:rsidRPr="00650F05">
        <w:rPr>
          <w:rFonts w:ascii="Tahoma" w:hAnsi="Tahoma"/>
        </w:rPr>
        <w:t>Regardless of background, t</w:t>
      </w:r>
      <w:r w:rsidR="009E5298" w:rsidRPr="00650F05">
        <w:rPr>
          <w:rFonts w:ascii="Tahoma" w:hAnsi="Tahoma"/>
        </w:rPr>
        <w:t xml:space="preserve">he findings were </w:t>
      </w:r>
      <w:r w:rsidR="003C1322" w:rsidRPr="00650F05">
        <w:rPr>
          <w:rFonts w:ascii="Tahoma" w:hAnsi="Tahoma"/>
        </w:rPr>
        <w:t>akin to</w:t>
      </w:r>
      <w:r w:rsidR="009E5298" w:rsidRPr="00650F05">
        <w:rPr>
          <w:rFonts w:ascii="Tahoma" w:hAnsi="Tahoma"/>
        </w:rPr>
        <w:t xml:space="preserve"> Garcia-Aracil </w:t>
      </w:r>
      <w:r w:rsidR="001B28B1" w:rsidRPr="00650F05">
        <w:rPr>
          <w:rFonts w:ascii="Tahoma" w:hAnsi="Tahoma"/>
        </w:rPr>
        <w:t xml:space="preserve">et al. </w:t>
      </w:r>
      <w:r w:rsidR="009E5298" w:rsidRPr="00650F05">
        <w:rPr>
          <w:rFonts w:ascii="Tahoma" w:hAnsi="Tahoma"/>
        </w:rPr>
        <w:t>(2018)</w:t>
      </w:r>
      <w:r w:rsidR="00234BFB" w:rsidRPr="00650F05">
        <w:rPr>
          <w:rFonts w:ascii="Tahoma" w:hAnsi="Tahoma"/>
        </w:rPr>
        <w:t xml:space="preserve"> and McSweeney and Williams (201</w:t>
      </w:r>
      <w:r w:rsidR="00987CD6" w:rsidRPr="00650F05">
        <w:rPr>
          <w:rFonts w:ascii="Tahoma" w:hAnsi="Tahoma"/>
        </w:rPr>
        <w:t>9</w:t>
      </w:r>
      <w:r w:rsidR="00234BFB" w:rsidRPr="00650F05">
        <w:rPr>
          <w:rFonts w:ascii="Tahoma" w:hAnsi="Tahoma"/>
        </w:rPr>
        <w:t>)</w:t>
      </w:r>
      <w:r w:rsidR="00CD6B7E" w:rsidRPr="00650F05">
        <w:rPr>
          <w:rFonts w:ascii="Tahoma" w:hAnsi="Tahoma"/>
        </w:rPr>
        <w:t xml:space="preserve">, where theoretical knowledge obtained from education </w:t>
      </w:r>
      <w:r w:rsidR="00E1547B" w:rsidRPr="00650F05">
        <w:rPr>
          <w:rFonts w:ascii="Tahoma" w:hAnsi="Tahoma"/>
        </w:rPr>
        <w:t xml:space="preserve">is considered the </w:t>
      </w:r>
      <w:r w:rsidR="003264FD" w:rsidRPr="00650F05">
        <w:rPr>
          <w:rFonts w:ascii="Tahoma" w:hAnsi="Tahoma"/>
        </w:rPr>
        <w:t xml:space="preserve">foundation </w:t>
      </w:r>
      <w:r w:rsidR="00E1547B" w:rsidRPr="00650F05">
        <w:rPr>
          <w:rFonts w:ascii="Tahoma" w:hAnsi="Tahoma"/>
        </w:rPr>
        <w:t>for development of practical competencies</w:t>
      </w:r>
      <w:r w:rsidR="001B6391" w:rsidRPr="00650F05">
        <w:rPr>
          <w:rFonts w:ascii="Tahoma" w:hAnsi="Tahoma"/>
        </w:rPr>
        <w:t xml:space="preserve"> </w:t>
      </w:r>
      <w:r w:rsidR="002458EE" w:rsidRPr="00650F05">
        <w:rPr>
          <w:rFonts w:ascii="Tahoma" w:hAnsi="Tahoma"/>
        </w:rPr>
        <w:t>(</w:t>
      </w:r>
      <w:r w:rsidR="001B6391" w:rsidRPr="00650F05">
        <w:rPr>
          <w:rFonts w:ascii="Tahoma" w:hAnsi="Tahoma"/>
        </w:rPr>
        <w:t xml:space="preserve">Garcia-Aracil </w:t>
      </w:r>
      <w:r w:rsidR="001B6391" w:rsidRPr="002B4276">
        <w:rPr>
          <w:rFonts w:ascii="Tahoma" w:hAnsi="Tahoma"/>
          <w:i/>
          <w:iCs/>
        </w:rPr>
        <w:t>et al.</w:t>
      </w:r>
      <w:r w:rsidR="002458EE" w:rsidRPr="002B4276">
        <w:rPr>
          <w:rFonts w:ascii="Tahoma" w:hAnsi="Tahoma"/>
          <w:i/>
          <w:iCs/>
        </w:rPr>
        <w:t>,</w:t>
      </w:r>
      <w:r w:rsidR="002458EE" w:rsidRPr="00650F05">
        <w:rPr>
          <w:rFonts w:ascii="Tahoma" w:hAnsi="Tahoma"/>
        </w:rPr>
        <w:t xml:space="preserve"> </w:t>
      </w:r>
      <w:r w:rsidR="001B6391" w:rsidRPr="00650F05">
        <w:rPr>
          <w:rFonts w:ascii="Tahoma" w:hAnsi="Tahoma"/>
        </w:rPr>
        <w:t>2018</w:t>
      </w:r>
      <w:r w:rsidR="002458EE" w:rsidRPr="00650F05">
        <w:rPr>
          <w:rFonts w:ascii="Tahoma" w:hAnsi="Tahoma"/>
        </w:rPr>
        <w:t>; Allen and Van der Velden, 2012)</w:t>
      </w:r>
      <w:r w:rsidR="00BB45FC" w:rsidRPr="00650F05">
        <w:rPr>
          <w:rFonts w:ascii="Tahoma" w:hAnsi="Tahoma"/>
        </w:rPr>
        <w:t>.</w:t>
      </w:r>
      <w:r w:rsidR="001174A8" w:rsidRPr="00650F05">
        <w:rPr>
          <w:rFonts w:ascii="Tahoma" w:hAnsi="Tahoma"/>
        </w:rPr>
        <w:t xml:space="preserve"> </w:t>
      </w:r>
      <w:r w:rsidR="00ED302D" w:rsidRPr="00650F05">
        <w:rPr>
          <w:rFonts w:ascii="Tahoma" w:hAnsi="Tahoma"/>
        </w:rPr>
        <w:t>The</w:t>
      </w:r>
      <w:r w:rsidR="00DD0111" w:rsidRPr="00650F05">
        <w:rPr>
          <w:rFonts w:ascii="Tahoma" w:hAnsi="Tahoma"/>
        </w:rPr>
        <w:t xml:space="preserve"> </w:t>
      </w:r>
      <w:r w:rsidR="00FA45F4" w:rsidRPr="00650F05">
        <w:rPr>
          <w:rFonts w:ascii="Tahoma" w:hAnsi="Tahoma"/>
        </w:rPr>
        <w:t>practical application of knowledge</w:t>
      </w:r>
      <w:r w:rsidR="00697791" w:rsidRPr="00650F05">
        <w:rPr>
          <w:rFonts w:ascii="Tahoma" w:hAnsi="Tahoma"/>
        </w:rPr>
        <w:t xml:space="preserve"> </w:t>
      </w:r>
      <w:r w:rsidR="00ED302D" w:rsidRPr="00650F05">
        <w:rPr>
          <w:rFonts w:ascii="Tahoma" w:hAnsi="Tahoma"/>
        </w:rPr>
        <w:t xml:space="preserve">and skill </w:t>
      </w:r>
      <w:r w:rsidR="00697791" w:rsidRPr="00650F05">
        <w:rPr>
          <w:rFonts w:ascii="Tahoma" w:hAnsi="Tahoma"/>
        </w:rPr>
        <w:t xml:space="preserve">in a learning environment </w:t>
      </w:r>
      <w:r w:rsidR="00251C83" w:rsidRPr="00650F05">
        <w:rPr>
          <w:rFonts w:ascii="Tahoma" w:hAnsi="Tahoma"/>
        </w:rPr>
        <w:t>develop</w:t>
      </w:r>
      <w:r w:rsidR="00ED302D" w:rsidRPr="00650F05">
        <w:rPr>
          <w:rFonts w:ascii="Tahoma" w:hAnsi="Tahoma"/>
        </w:rPr>
        <w:t>s</w:t>
      </w:r>
      <w:r w:rsidR="00251C83" w:rsidRPr="00650F05">
        <w:rPr>
          <w:rFonts w:ascii="Tahoma" w:hAnsi="Tahoma"/>
        </w:rPr>
        <w:t xml:space="preserve"> self-efficacy </w:t>
      </w:r>
      <w:r w:rsidR="003500F9" w:rsidRPr="00650F05">
        <w:rPr>
          <w:rFonts w:ascii="Tahoma" w:hAnsi="Tahoma"/>
        </w:rPr>
        <w:t xml:space="preserve">in </w:t>
      </w:r>
      <w:r w:rsidR="00580872" w:rsidRPr="00650F05">
        <w:rPr>
          <w:rFonts w:ascii="Tahoma" w:hAnsi="Tahoma"/>
        </w:rPr>
        <w:t>students</w:t>
      </w:r>
      <w:r w:rsidR="00CB2826" w:rsidRPr="00650F05">
        <w:rPr>
          <w:rFonts w:ascii="Tahoma" w:hAnsi="Tahoma"/>
        </w:rPr>
        <w:t xml:space="preserve">’ </w:t>
      </w:r>
      <w:r w:rsidR="00BE1848" w:rsidRPr="00650F05">
        <w:rPr>
          <w:rFonts w:ascii="Tahoma" w:hAnsi="Tahoma"/>
        </w:rPr>
        <w:t xml:space="preserve">perceptions of their </w:t>
      </w:r>
      <w:r w:rsidR="00CB2826" w:rsidRPr="00650F05">
        <w:rPr>
          <w:rFonts w:ascii="Tahoma" w:hAnsi="Tahoma"/>
        </w:rPr>
        <w:t>work competenc</w:t>
      </w:r>
      <w:r w:rsidR="00BE1848" w:rsidRPr="00650F05">
        <w:rPr>
          <w:rFonts w:ascii="Tahoma" w:hAnsi="Tahoma"/>
        </w:rPr>
        <w:t>ies</w:t>
      </w:r>
      <w:r w:rsidR="00897F87" w:rsidRPr="00650F05">
        <w:rPr>
          <w:rFonts w:ascii="Tahoma" w:hAnsi="Tahoma"/>
        </w:rPr>
        <w:t xml:space="preserve">, </w:t>
      </w:r>
      <w:r w:rsidR="00C54C51" w:rsidRPr="00650F05">
        <w:rPr>
          <w:rFonts w:ascii="Tahoma" w:hAnsi="Tahoma"/>
        </w:rPr>
        <w:t xml:space="preserve">which </w:t>
      </w:r>
      <w:r w:rsidR="005F6B53" w:rsidRPr="00650F05">
        <w:rPr>
          <w:rFonts w:ascii="Tahoma" w:hAnsi="Tahoma"/>
        </w:rPr>
        <w:t>is similar to those from</w:t>
      </w:r>
      <w:r w:rsidR="00897F87" w:rsidRPr="00650F05">
        <w:rPr>
          <w:rFonts w:ascii="Tahoma" w:hAnsi="Tahoma"/>
        </w:rPr>
        <w:t xml:space="preserve"> more traditional backgrounds (</w:t>
      </w:r>
      <w:r w:rsidR="00C54C51" w:rsidRPr="00650F05">
        <w:rPr>
          <w:rFonts w:ascii="Tahoma" w:hAnsi="Tahoma"/>
        </w:rPr>
        <w:t xml:space="preserve">Edwards, 2014; Illing </w:t>
      </w:r>
      <w:r w:rsidR="00C54C51" w:rsidRPr="002B4276">
        <w:rPr>
          <w:rFonts w:ascii="Tahoma" w:hAnsi="Tahoma"/>
          <w:i/>
          <w:iCs/>
        </w:rPr>
        <w:t>et al.,</w:t>
      </w:r>
      <w:r w:rsidR="00C54C51" w:rsidRPr="00650F05">
        <w:rPr>
          <w:rFonts w:ascii="Tahoma" w:hAnsi="Tahoma"/>
        </w:rPr>
        <w:t xml:space="preserve"> 2013</w:t>
      </w:r>
      <w:r w:rsidR="00CE22B8" w:rsidRPr="00650F05">
        <w:rPr>
          <w:rFonts w:ascii="Tahoma" w:hAnsi="Tahoma"/>
        </w:rPr>
        <w:t>; Turner, 2014</w:t>
      </w:r>
      <w:r w:rsidR="00897F87" w:rsidRPr="00650F05">
        <w:rPr>
          <w:rFonts w:ascii="Tahoma" w:hAnsi="Tahoma"/>
        </w:rPr>
        <w:t>).</w:t>
      </w:r>
    </w:p>
    <w:p w14:paraId="2A48D0D8" w14:textId="045A24AC" w:rsidR="001B62F2" w:rsidRPr="00650F05" w:rsidRDefault="00BA2D9A" w:rsidP="004F43E4">
      <w:pPr>
        <w:spacing w:line="480" w:lineRule="auto"/>
        <w:jc w:val="both"/>
        <w:rPr>
          <w:rFonts w:ascii="Tahoma" w:hAnsi="Tahoma"/>
        </w:rPr>
      </w:pPr>
      <w:r w:rsidRPr="00650F05">
        <w:rPr>
          <w:rFonts w:ascii="Tahoma" w:hAnsi="Tahoma"/>
        </w:rPr>
        <w:t xml:space="preserve">The practical content of the </w:t>
      </w:r>
      <w:r w:rsidR="00C56B4C" w:rsidRPr="00650F05">
        <w:rPr>
          <w:rFonts w:ascii="Tahoma" w:hAnsi="Tahoma"/>
        </w:rPr>
        <w:t xml:space="preserve">participants’ </w:t>
      </w:r>
      <w:r w:rsidR="00BE1848" w:rsidRPr="00650F05">
        <w:rPr>
          <w:rFonts w:ascii="Tahoma" w:hAnsi="Tahoma"/>
        </w:rPr>
        <w:t>s</w:t>
      </w:r>
      <w:r w:rsidR="00C0164F" w:rsidRPr="00650F05">
        <w:rPr>
          <w:rFonts w:ascii="Tahoma" w:hAnsi="Tahoma"/>
        </w:rPr>
        <w:t xml:space="preserve">port </w:t>
      </w:r>
      <w:r w:rsidR="00A26811">
        <w:rPr>
          <w:rFonts w:ascii="Tahoma" w:hAnsi="Tahoma"/>
        </w:rPr>
        <w:t>related</w:t>
      </w:r>
      <w:r w:rsidR="00C0164F" w:rsidRPr="00650F05">
        <w:rPr>
          <w:rFonts w:ascii="Tahoma" w:hAnsi="Tahoma"/>
        </w:rPr>
        <w:t xml:space="preserve"> </w:t>
      </w:r>
      <w:r w:rsidRPr="00650F05">
        <w:rPr>
          <w:rFonts w:ascii="Tahoma" w:hAnsi="Tahoma"/>
        </w:rPr>
        <w:t xml:space="preserve">courses offer </w:t>
      </w:r>
      <w:r w:rsidR="00224800" w:rsidRPr="00650F05">
        <w:rPr>
          <w:rFonts w:ascii="Tahoma" w:hAnsi="Tahoma"/>
        </w:rPr>
        <w:t xml:space="preserve">both work-experience and </w:t>
      </w:r>
      <w:r w:rsidR="00596A89" w:rsidRPr="00650F05">
        <w:rPr>
          <w:rFonts w:ascii="Tahoma" w:hAnsi="Tahoma"/>
        </w:rPr>
        <w:t>placement</w:t>
      </w:r>
      <w:r w:rsidR="00BE1848" w:rsidRPr="00650F05">
        <w:rPr>
          <w:rFonts w:ascii="Tahoma" w:hAnsi="Tahoma"/>
        </w:rPr>
        <w:t>s</w:t>
      </w:r>
      <w:r w:rsidR="00596A89" w:rsidRPr="00650F05">
        <w:rPr>
          <w:rFonts w:ascii="Tahoma" w:hAnsi="Tahoma"/>
        </w:rPr>
        <w:t xml:space="preserve"> in an industry related role.</w:t>
      </w:r>
      <w:r w:rsidR="00C56B4C" w:rsidRPr="00650F05">
        <w:rPr>
          <w:rFonts w:ascii="Tahoma" w:hAnsi="Tahoma"/>
        </w:rPr>
        <w:t xml:space="preserve"> Participants </w:t>
      </w:r>
      <w:r w:rsidR="00814790" w:rsidRPr="00650F05">
        <w:rPr>
          <w:rFonts w:ascii="Tahoma" w:hAnsi="Tahoma"/>
        </w:rPr>
        <w:t>noted that th</w:t>
      </w:r>
      <w:r w:rsidR="006C73BF" w:rsidRPr="00650F05">
        <w:rPr>
          <w:rFonts w:ascii="Tahoma" w:hAnsi="Tahoma"/>
        </w:rPr>
        <w:t>e</w:t>
      </w:r>
      <w:r w:rsidR="00C61C16" w:rsidRPr="00650F05">
        <w:rPr>
          <w:rFonts w:ascii="Tahoma" w:hAnsi="Tahoma"/>
        </w:rPr>
        <w:t>se</w:t>
      </w:r>
      <w:r w:rsidR="006C73BF" w:rsidRPr="00650F05">
        <w:rPr>
          <w:rFonts w:ascii="Tahoma" w:hAnsi="Tahoma"/>
        </w:rPr>
        <w:t xml:space="preserve"> </w:t>
      </w:r>
      <w:r w:rsidR="00C61C16" w:rsidRPr="00650F05">
        <w:rPr>
          <w:rFonts w:ascii="Tahoma" w:hAnsi="Tahoma"/>
        </w:rPr>
        <w:t>work-</w:t>
      </w:r>
      <w:r w:rsidR="00D34D88" w:rsidRPr="00650F05">
        <w:rPr>
          <w:rFonts w:ascii="Tahoma" w:hAnsi="Tahoma"/>
        </w:rPr>
        <w:t xml:space="preserve">based </w:t>
      </w:r>
      <w:r w:rsidR="00C61C16" w:rsidRPr="00650F05">
        <w:rPr>
          <w:rFonts w:ascii="Tahoma" w:hAnsi="Tahoma"/>
        </w:rPr>
        <w:t xml:space="preserve">experiences </w:t>
      </w:r>
      <w:r w:rsidR="00814790" w:rsidRPr="00650F05">
        <w:rPr>
          <w:rFonts w:ascii="Tahoma" w:hAnsi="Tahoma"/>
        </w:rPr>
        <w:t xml:space="preserve">provided an opportunity to </w:t>
      </w:r>
      <w:r w:rsidR="00EE3F7A" w:rsidRPr="00650F05">
        <w:rPr>
          <w:rFonts w:ascii="Tahoma" w:hAnsi="Tahoma"/>
        </w:rPr>
        <w:t xml:space="preserve">apply and </w:t>
      </w:r>
      <w:r w:rsidR="004E1477" w:rsidRPr="00650F05">
        <w:rPr>
          <w:rFonts w:ascii="Tahoma" w:hAnsi="Tahoma"/>
        </w:rPr>
        <w:t>practice what they had learned from both a theoretical and practical perspective</w:t>
      </w:r>
      <w:r w:rsidR="00224800" w:rsidRPr="00650F05">
        <w:rPr>
          <w:rFonts w:ascii="Tahoma" w:hAnsi="Tahoma"/>
        </w:rPr>
        <w:t>,</w:t>
      </w:r>
      <w:r w:rsidR="00EE3F7A" w:rsidRPr="00650F05">
        <w:rPr>
          <w:rFonts w:ascii="Tahoma" w:hAnsi="Tahoma"/>
        </w:rPr>
        <w:t xml:space="preserve"> </w:t>
      </w:r>
      <w:r w:rsidR="00224800" w:rsidRPr="00650F05">
        <w:rPr>
          <w:rFonts w:ascii="Tahoma" w:hAnsi="Tahoma"/>
        </w:rPr>
        <w:t xml:space="preserve">whilst developing </w:t>
      </w:r>
      <w:r w:rsidR="00074F72" w:rsidRPr="00650F05">
        <w:rPr>
          <w:rFonts w:ascii="Tahoma" w:hAnsi="Tahoma"/>
        </w:rPr>
        <w:t>additional knowledge relevant to the workplace</w:t>
      </w:r>
      <w:r w:rsidR="00FF398B" w:rsidRPr="00650F05">
        <w:rPr>
          <w:rFonts w:ascii="Tahoma" w:hAnsi="Tahoma"/>
        </w:rPr>
        <w:t xml:space="preserve"> (McSweeney and Williams, 201</w:t>
      </w:r>
      <w:r w:rsidR="00987CD6" w:rsidRPr="00650F05">
        <w:rPr>
          <w:rFonts w:ascii="Tahoma" w:hAnsi="Tahoma"/>
        </w:rPr>
        <w:t>9</w:t>
      </w:r>
      <w:r w:rsidR="00FF398B" w:rsidRPr="00650F05">
        <w:rPr>
          <w:rFonts w:ascii="Tahoma" w:hAnsi="Tahoma"/>
        </w:rPr>
        <w:t>)</w:t>
      </w:r>
      <w:r w:rsidR="00074F72" w:rsidRPr="00650F05">
        <w:rPr>
          <w:rFonts w:ascii="Tahoma" w:hAnsi="Tahoma"/>
        </w:rPr>
        <w:t>.</w:t>
      </w:r>
      <w:r w:rsidR="00EE3F7A" w:rsidRPr="00650F05">
        <w:rPr>
          <w:rFonts w:ascii="Tahoma" w:hAnsi="Tahoma"/>
        </w:rPr>
        <w:t xml:space="preserve"> </w:t>
      </w:r>
      <w:r w:rsidR="00061B69" w:rsidRPr="00650F05">
        <w:rPr>
          <w:rFonts w:ascii="Tahoma" w:hAnsi="Tahoma"/>
        </w:rPr>
        <w:t>Unlike previous literature, t</w:t>
      </w:r>
      <w:r w:rsidR="00081B1D" w:rsidRPr="00650F05">
        <w:rPr>
          <w:rFonts w:ascii="Tahoma" w:hAnsi="Tahoma"/>
        </w:rPr>
        <w:t xml:space="preserve">here wasn’t </w:t>
      </w:r>
      <w:r w:rsidR="009B23D6" w:rsidRPr="00650F05">
        <w:rPr>
          <w:rFonts w:ascii="Tahoma" w:hAnsi="Tahoma"/>
        </w:rPr>
        <w:t xml:space="preserve">a negative response from </w:t>
      </w:r>
      <w:r w:rsidR="00E46680" w:rsidRPr="00650F05">
        <w:rPr>
          <w:rFonts w:ascii="Tahoma" w:hAnsi="Tahoma"/>
        </w:rPr>
        <w:t>participants surrounding</w:t>
      </w:r>
      <w:r w:rsidR="009B23D6" w:rsidRPr="00650F05">
        <w:rPr>
          <w:rFonts w:ascii="Tahoma" w:hAnsi="Tahoma"/>
        </w:rPr>
        <w:t xml:space="preserve"> the work-related elements of courses</w:t>
      </w:r>
      <w:r w:rsidR="00E46680" w:rsidRPr="00650F05">
        <w:rPr>
          <w:rFonts w:ascii="Tahoma" w:hAnsi="Tahoma"/>
        </w:rPr>
        <w:t xml:space="preserve"> not full</w:t>
      </w:r>
      <w:r w:rsidR="00321BF7" w:rsidRPr="00650F05">
        <w:rPr>
          <w:rFonts w:ascii="Tahoma" w:hAnsi="Tahoma"/>
        </w:rPr>
        <w:t>y</w:t>
      </w:r>
      <w:r w:rsidR="00E46680" w:rsidRPr="00650F05">
        <w:rPr>
          <w:rFonts w:ascii="Tahoma" w:hAnsi="Tahoma"/>
        </w:rPr>
        <w:t xml:space="preserve"> replicating the workplace</w:t>
      </w:r>
      <w:r w:rsidR="00061B69" w:rsidRPr="00650F05">
        <w:rPr>
          <w:rFonts w:ascii="Tahoma" w:hAnsi="Tahoma"/>
        </w:rPr>
        <w:t xml:space="preserve"> (Agllias, 2010; Wilson, 2013; McSweeney and Williams, 2019)</w:t>
      </w:r>
      <w:r w:rsidR="00321BF7" w:rsidRPr="00650F05">
        <w:rPr>
          <w:rFonts w:ascii="Tahoma" w:hAnsi="Tahoma"/>
        </w:rPr>
        <w:t>. However,</w:t>
      </w:r>
      <w:r w:rsidR="00194223" w:rsidRPr="00650F05">
        <w:rPr>
          <w:rFonts w:ascii="Tahoma" w:hAnsi="Tahoma"/>
        </w:rPr>
        <w:t xml:space="preserve"> most of th</w:t>
      </w:r>
      <w:r w:rsidR="00CC60A7">
        <w:rPr>
          <w:rFonts w:ascii="Tahoma" w:hAnsi="Tahoma"/>
        </w:rPr>
        <w:t>e</w:t>
      </w:r>
      <w:r w:rsidR="00194223" w:rsidRPr="00650F05">
        <w:rPr>
          <w:rFonts w:ascii="Tahoma" w:hAnsi="Tahoma"/>
        </w:rPr>
        <w:t xml:space="preserve"> </w:t>
      </w:r>
      <w:r w:rsidR="00C87063" w:rsidRPr="00650F05">
        <w:rPr>
          <w:rFonts w:ascii="Tahoma" w:hAnsi="Tahoma"/>
        </w:rPr>
        <w:t xml:space="preserve">extant literature </w:t>
      </w:r>
      <w:r w:rsidR="00194223" w:rsidRPr="00650F05">
        <w:rPr>
          <w:rFonts w:ascii="Tahoma" w:hAnsi="Tahoma"/>
        </w:rPr>
        <w:t>focuses upon</w:t>
      </w:r>
      <w:r w:rsidR="00186074" w:rsidRPr="00650F05">
        <w:rPr>
          <w:rFonts w:ascii="Tahoma" w:hAnsi="Tahoma"/>
        </w:rPr>
        <w:t xml:space="preserve"> multiple</w:t>
      </w:r>
      <w:r w:rsidR="00CC60A7">
        <w:rPr>
          <w:rFonts w:ascii="Tahoma" w:hAnsi="Tahoma"/>
        </w:rPr>
        <w:t>/</w:t>
      </w:r>
      <w:r w:rsidR="00194223" w:rsidRPr="00650F05">
        <w:rPr>
          <w:rFonts w:ascii="Tahoma" w:hAnsi="Tahoma"/>
        </w:rPr>
        <w:t>extended placement experiences</w:t>
      </w:r>
      <w:r w:rsidR="00CC60A7">
        <w:rPr>
          <w:rFonts w:ascii="Tahoma" w:hAnsi="Tahoma"/>
        </w:rPr>
        <w:t>,</w:t>
      </w:r>
      <w:r w:rsidR="00194223" w:rsidRPr="00650F05">
        <w:rPr>
          <w:rFonts w:ascii="Tahoma" w:hAnsi="Tahoma"/>
        </w:rPr>
        <w:t xml:space="preserve"> which </w:t>
      </w:r>
      <w:r w:rsidR="00836679" w:rsidRPr="00650F05">
        <w:rPr>
          <w:rFonts w:ascii="Tahoma" w:hAnsi="Tahoma"/>
        </w:rPr>
        <w:t xml:space="preserve">are </w:t>
      </w:r>
      <w:r w:rsidR="00422BC7" w:rsidRPr="00650F05">
        <w:rPr>
          <w:rFonts w:ascii="Tahoma" w:hAnsi="Tahoma"/>
        </w:rPr>
        <w:t xml:space="preserve">often </w:t>
      </w:r>
      <w:r w:rsidR="008C526E" w:rsidRPr="00650F05">
        <w:rPr>
          <w:rFonts w:ascii="Tahoma" w:hAnsi="Tahoma"/>
        </w:rPr>
        <w:t>professional</w:t>
      </w:r>
      <w:r w:rsidR="00836679" w:rsidRPr="00650F05">
        <w:rPr>
          <w:rFonts w:ascii="Tahoma" w:hAnsi="Tahoma"/>
        </w:rPr>
        <w:t xml:space="preserve"> practice </w:t>
      </w:r>
      <w:r w:rsidR="008C526E" w:rsidRPr="00650F05">
        <w:rPr>
          <w:rFonts w:ascii="Tahoma" w:hAnsi="Tahoma"/>
        </w:rPr>
        <w:t>courses</w:t>
      </w:r>
      <w:r w:rsidR="00134D64">
        <w:rPr>
          <w:rFonts w:ascii="Tahoma" w:hAnsi="Tahoma"/>
        </w:rPr>
        <w:t>,</w:t>
      </w:r>
      <w:r w:rsidR="0087032B" w:rsidRPr="00650F05">
        <w:rPr>
          <w:rFonts w:ascii="Tahoma" w:hAnsi="Tahoma"/>
        </w:rPr>
        <w:t xml:space="preserve"> where students </w:t>
      </w:r>
      <w:r w:rsidR="00061B69" w:rsidRPr="00650F05">
        <w:rPr>
          <w:rFonts w:ascii="Tahoma" w:hAnsi="Tahoma"/>
        </w:rPr>
        <w:t xml:space="preserve">are required to meet </w:t>
      </w:r>
      <w:r w:rsidR="00C43E85" w:rsidRPr="00650F05">
        <w:rPr>
          <w:rFonts w:ascii="Tahoma" w:hAnsi="Tahoma"/>
        </w:rPr>
        <w:t>industry-</w:t>
      </w:r>
      <w:r w:rsidR="00061B69" w:rsidRPr="00650F05">
        <w:rPr>
          <w:rFonts w:ascii="Tahoma" w:hAnsi="Tahoma"/>
        </w:rPr>
        <w:t>set criteria/competencies</w:t>
      </w:r>
      <w:r w:rsidR="004F43E4" w:rsidRPr="00650F05">
        <w:rPr>
          <w:rFonts w:ascii="Tahoma" w:hAnsi="Tahoma"/>
        </w:rPr>
        <w:t xml:space="preserve"> both in simulated practice and</w:t>
      </w:r>
      <w:r w:rsidR="00C43E85" w:rsidRPr="00650F05">
        <w:rPr>
          <w:rFonts w:ascii="Tahoma" w:hAnsi="Tahoma"/>
        </w:rPr>
        <w:t xml:space="preserve"> through work experience</w:t>
      </w:r>
      <w:r w:rsidR="004F43E4" w:rsidRPr="00650F05">
        <w:rPr>
          <w:rFonts w:ascii="Tahoma" w:hAnsi="Tahoma"/>
        </w:rPr>
        <w:t xml:space="preserve">, which </w:t>
      </w:r>
      <w:r w:rsidR="001E2FFA" w:rsidRPr="00650F05">
        <w:rPr>
          <w:rFonts w:ascii="Tahoma" w:hAnsi="Tahoma"/>
        </w:rPr>
        <w:t xml:space="preserve">by design is much more rigid than sport </w:t>
      </w:r>
      <w:r w:rsidR="00577144">
        <w:rPr>
          <w:rFonts w:ascii="Tahoma" w:hAnsi="Tahoma"/>
        </w:rPr>
        <w:t>relat</w:t>
      </w:r>
      <w:r w:rsidR="00FF5966">
        <w:rPr>
          <w:rFonts w:ascii="Tahoma" w:hAnsi="Tahoma"/>
        </w:rPr>
        <w:t>ed</w:t>
      </w:r>
      <w:r w:rsidR="001E2FFA" w:rsidRPr="00650F05">
        <w:rPr>
          <w:rFonts w:ascii="Tahoma" w:hAnsi="Tahoma"/>
        </w:rPr>
        <w:t xml:space="preserve"> courses.</w:t>
      </w:r>
    </w:p>
    <w:p w14:paraId="382294C2" w14:textId="113D8C77" w:rsidR="002B1DD5" w:rsidRPr="00650F05" w:rsidRDefault="002078BC" w:rsidP="007A28AB">
      <w:pPr>
        <w:spacing w:line="480" w:lineRule="auto"/>
        <w:jc w:val="both"/>
        <w:rPr>
          <w:rFonts w:ascii="Tahoma" w:hAnsi="Tahoma"/>
        </w:rPr>
      </w:pPr>
      <w:r w:rsidRPr="00650F05">
        <w:rPr>
          <w:rFonts w:ascii="Tahoma" w:hAnsi="Tahoma"/>
        </w:rPr>
        <w:t>Aracil-Garcia et al. (2018</w:t>
      </w:r>
      <w:r w:rsidR="00682378" w:rsidRPr="00650F05">
        <w:rPr>
          <w:rFonts w:ascii="Tahoma" w:hAnsi="Tahoma"/>
        </w:rPr>
        <w:t>, p.9</w:t>
      </w:r>
      <w:r w:rsidRPr="00650F05">
        <w:rPr>
          <w:rFonts w:ascii="Tahoma" w:hAnsi="Tahoma"/>
        </w:rPr>
        <w:t>)</w:t>
      </w:r>
      <w:r w:rsidR="00833B83" w:rsidRPr="00650F05">
        <w:rPr>
          <w:rFonts w:ascii="Tahoma" w:hAnsi="Tahoma"/>
        </w:rPr>
        <w:t xml:space="preserve"> </w:t>
      </w:r>
      <w:r w:rsidR="00846EE6" w:rsidRPr="00650F05">
        <w:rPr>
          <w:rFonts w:ascii="Tahoma" w:hAnsi="Tahoma"/>
        </w:rPr>
        <w:t>posit</w:t>
      </w:r>
      <w:r w:rsidR="00833B83" w:rsidRPr="00650F05">
        <w:rPr>
          <w:rFonts w:ascii="Tahoma" w:hAnsi="Tahoma"/>
        </w:rPr>
        <w:t xml:space="preserve"> that work-related experiences may not be the </w:t>
      </w:r>
      <w:r w:rsidR="00306A36" w:rsidRPr="00650F05">
        <w:rPr>
          <w:rFonts w:ascii="Tahoma" w:hAnsi="Tahoma"/>
        </w:rPr>
        <w:t xml:space="preserve">most significant </w:t>
      </w:r>
      <w:r w:rsidR="00833B83" w:rsidRPr="00650F05">
        <w:rPr>
          <w:rFonts w:ascii="Tahoma" w:hAnsi="Tahoma"/>
        </w:rPr>
        <w:t>indicator</w:t>
      </w:r>
      <w:r w:rsidR="00306A36" w:rsidRPr="00650F05">
        <w:rPr>
          <w:rFonts w:ascii="Tahoma" w:hAnsi="Tahoma"/>
        </w:rPr>
        <w:t xml:space="preserve"> of how well prepared a student is for the transition to work,</w:t>
      </w:r>
      <w:r w:rsidR="00F6246E" w:rsidRPr="00650F05">
        <w:rPr>
          <w:rFonts w:ascii="Tahoma" w:hAnsi="Tahoma"/>
        </w:rPr>
        <w:t xml:space="preserve"> instead the </w:t>
      </w:r>
      <w:r w:rsidR="000A19CF" w:rsidRPr="00650F05">
        <w:rPr>
          <w:rFonts w:ascii="Tahoma" w:hAnsi="Tahoma"/>
        </w:rPr>
        <w:t>‘</w:t>
      </w:r>
      <w:r w:rsidR="00F6246E" w:rsidRPr="00650F05">
        <w:rPr>
          <w:rFonts w:ascii="Tahoma" w:hAnsi="Tahoma"/>
        </w:rPr>
        <w:t>meta-</w:t>
      </w:r>
      <w:r w:rsidR="00420DA2" w:rsidRPr="00650F05">
        <w:rPr>
          <w:rFonts w:ascii="Tahoma" w:hAnsi="Tahoma"/>
        </w:rPr>
        <w:t>competencies</w:t>
      </w:r>
      <w:r w:rsidR="000A19CF" w:rsidRPr="00650F05">
        <w:rPr>
          <w:rFonts w:ascii="Tahoma" w:hAnsi="Tahoma"/>
        </w:rPr>
        <w:t>’</w:t>
      </w:r>
      <w:r w:rsidR="00420DA2" w:rsidRPr="00650F05">
        <w:rPr>
          <w:rFonts w:ascii="Tahoma" w:hAnsi="Tahoma"/>
        </w:rPr>
        <w:t xml:space="preserve"> </w:t>
      </w:r>
      <w:r w:rsidR="00141202" w:rsidRPr="00650F05">
        <w:rPr>
          <w:rFonts w:ascii="Tahoma" w:hAnsi="Tahoma"/>
        </w:rPr>
        <w:t xml:space="preserve">(Sussman </w:t>
      </w:r>
      <w:r w:rsidR="00141202" w:rsidRPr="002B4276">
        <w:rPr>
          <w:rFonts w:ascii="Tahoma" w:hAnsi="Tahoma"/>
          <w:i/>
          <w:iCs/>
        </w:rPr>
        <w:t>et al.,</w:t>
      </w:r>
      <w:r w:rsidR="00141202" w:rsidRPr="00650F05">
        <w:rPr>
          <w:rFonts w:ascii="Tahoma" w:hAnsi="Tahoma"/>
        </w:rPr>
        <w:t xml:space="preserve"> 2014)</w:t>
      </w:r>
      <w:r w:rsidR="00BB0BCC" w:rsidRPr="00650F05">
        <w:rPr>
          <w:rFonts w:ascii="Tahoma" w:hAnsi="Tahoma"/>
        </w:rPr>
        <w:t xml:space="preserve"> which </w:t>
      </w:r>
      <w:r w:rsidR="003164EC" w:rsidRPr="00650F05">
        <w:rPr>
          <w:rFonts w:ascii="Tahoma" w:hAnsi="Tahoma"/>
        </w:rPr>
        <w:t>“</w:t>
      </w:r>
      <w:r w:rsidR="00BB0BCC" w:rsidRPr="00650F05">
        <w:rPr>
          <w:rFonts w:ascii="Tahoma" w:hAnsi="Tahoma"/>
        </w:rPr>
        <w:t xml:space="preserve">enhance an </w:t>
      </w:r>
      <w:r w:rsidR="001358E1" w:rsidRPr="00650F05">
        <w:rPr>
          <w:rFonts w:ascii="Tahoma" w:hAnsi="Tahoma"/>
        </w:rPr>
        <w:t>individual’s</w:t>
      </w:r>
      <w:r w:rsidR="00BB0BCC" w:rsidRPr="00650F05">
        <w:rPr>
          <w:rFonts w:ascii="Tahoma" w:hAnsi="Tahoma"/>
        </w:rPr>
        <w:t xml:space="preserve"> learning and self-evaluation through work experience (whether study related or not), could be more helpful for career development</w:t>
      </w:r>
      <w:r w:rsidR="001C37CC" w:rsidRPr="00650F05">
        <w:rPr>
          <w:rFonts w:ascii="Tahoma" w:hAnsi="Tahoma"/>
        </w:rPr>
        <w:t>”</w:t>
      </w:r>
      <w:r w:rsidR="00B472D6" w:rsidRPr="00650F05">
        <w:rPr>
          <w:rFonts w:ascii="Tahoma" w:hAnsi="Tahoma"/>
        </w:rPr>
        <w:t xml:space="preserve">; </w:t>
      </w:r>
      <w:r w:rsidR="009710A7" w:rsidRPr="00650F05">
        <w:rPr>
          <w:rFonts w:ascii="Tahoma" w:hAnsi="Tahoma"/>
        </w:rPr>
        <w:t xml:space="preserve">which is a </w:t>
      </w:r>
      <w:r w:rsidR="00B472D6" w:rsidRPr="00650F05">
        <w:rPr>
          <w:rFonts w:ascii="Tahoma" w:hAnsi="Tahoma"/>
        </w:rPr>
        <w:t xml:space="preserve">view also </w:t>
      </w:r>
      <w:r w:rsidR="009710A7" w:rsidRPr="00650F05">
        <w:rPr>
          <w:rFonts w:ascii="Tahoma" w:hAnsi="Tahoma"/>
        </w:rPr>
        <w:t xml:space="preserve">shared </w:t>
      </w:r>
      <w:r w:rsidR="00B472D6" w:rsidRPr="00650F05">
        <w:rPr>
          <w:rFonts w:ascii="Tahoma" w:hAnsi="Tahoma"/>
        </w:rPr>
        <w:t>by</w:t>
      </w:r>
      <w:r w:rsidR="00BB0BCC" w:rsidRPr="00650F05">
        <w:rPr>
          <w:rFonts w:ascii="Tahoma" w:hAnsi="Tahoma"/>
        </w:rPr>
        <w:t xml:space="preserve"> Yorke and Knight</w:t>
      </w:r>
      <w:r w:rsidR="00F91385" w:rsidRPr="00650F05">
        <w:rPr>
          <w:rFonts w:ascii="Tahoma" w:hAnsi="Tahoma"/>
        </w:rPr>
        <w:t xml:space="preserve"> (</w:t>
      </w:r>
      <w:r w:rsidR="00BB0BCC" w:rsidRPr="00650F05">
        <w:rPr>
          <w:rFonts w:ascii="Tahoma" w:hAnsi="Tahoma"/>
        </w:rPr>
        <w:t>200</w:t>
      </w:r>
      <w:r w:rsidR="0067643D" w:rsidRPr="00650F05">
        <w:rPr>
          <w:rFonts w:ascii="Tahoma" w:hAnsi="Tahoma"/>
        </w:rPr>
        <w:t>6</w:t>
      </w:r>
      <w:r w:rsidR="00BB0BCC" w:rsidRPr="00650F05">
        <w:rPr>
          <w:rFonts w:ascii="Tahoma" w:hAnsi="Tahoma"/>
        </w:rPr>
        <w:t>)</w:t>
      </w:r>
      <w:r w:rsidR="009C456E" w:rsidRPr="00650F05">
        <w:rPr>
          <w:rFonts w:ascii="Tahoma" w:hAnsi="Tahoma"/>
        </w:rPr>
        <w:t>.</w:t>
      </w:r>
      <w:r w:rsidR="00E24E1B" w:rsidRPr="00650F05">
        <w:rPr>
          <w:rFonts w:ascii="Tahoma" w:hAnsi="Tahoma"/>
        </w:rPr>
        <w:t xml:space="preserve"> </w:t>
      </w:r>
      <w:r w:rsidR="002B1DD5" w:rsidRPr="00650F05">
        <w:rPr>
          <w:rFonts w:ascii="Tahoma" w:hAnsi="Tahoma"/>
        </w:rPr>
        <w:t>Participants</w:t>
      </w:r>
      <w:r w:rsidR="001946FD" w:rsidRPr="00650F05">
        <w:rPr>
          <w:rFonts w:ascii="Tahoma" w:hAnsi="Tahoma"/>
        </w:rPr>
        <w:t xml:space="preserve"> </w:t>
      </w:r>
      <w:r w:rsidR="00897F07" w:rsidRPr="00650F05">
        <w:rPr>
          <w:rFonts w:ascii="Tahoma" w:hAnsi="Tahoma"/>
        </w:rPr>
        <w:lastRenderedPageBreak/>
        <w:t xml:space="preserve">mentioned </w:t>
      </w:r>
      <w:r w:rsidR="001946FD" w:rsidRPr="00650F05">
        <w:rPr>
          <w:rFonts w:ascii="Tahoma" w:hAnsi="Tahoma"/>
        </w:rPr>
        <w:t xml:space="preserve">the following </w:t>
      </w:r>
      <w:r w:rsidR="00236F24" w:rsidRPr="00650F05">
        <w:rPr>
          <w:rFonts w:ascii="Tahoma" w:hAnsi="Tahoma"/>
        </w:rPr>
        <w:t>meta-</w:t>
      </w:r>
      <w:r w:rsidR="00085638" w:rsidRPr="00650F05">
        <w:rPr>
          <w:rFonts w:ascii="Tahoma" w:hAnsi="Tahoma"/>
        </w:rPr>
        <w:t xml:space="preserve">competencies </w:t>
      </w:r>
      <w:r w:rsidR="00AF461B" w:rsidRPr="00650F05">
        <w:rPr>
          <w:rFonts w:ascii="Tahoma" w:hAnsi="Tahoma"/>
        </w:rPr>
        <w:t xml:space="preserve">as being </w:t>
      </w:r>
      <w:r w:rsidR="00582228" w:rsidRPr="00650F05">
        <w:rPr>
          <w:rFonts w:ascii="Tahoma" w:hAnsi="Tahoma"/>
        </w:rPr>
        <w:t>important</w:t>
      </w:r>
      <w:r w:rsidR="00085638" w:rsidRPr="00650F05">
        <w:rPr>
          <w:rFonts w:ascii="Tahoma" w:hAnsi="Tahoma"/>
        </w:rPr>
        <w:t xml:space="preserve"> </w:t>
      </w:r>
      <w:r w:rsidR="00236F24" w:rsidRPr="00650F05">
        <w:rPr>
          <w:rFonts w:ascii="Tahoma" w:hAnsi="Tahoma"/>
        </w:rPr>
        <w:t xml:space="preserve">to </w:t>
      </w:r>
      <w:r w:rsidR="009A630E" w:rsidRPr="00650F05">
        <w:rPr>
          <w:rFonts w:ascii="Tahoma" w:hAnsi="Tahoma"/>
        </w:rPr>
        <w:t>the</w:t>
      </w:r>
      <w:r w:rsidR="00246A3D" w:rsidRPr="00650F05">
        <w:rPr>
          <w:rFonts w:ascii="Tahoma" w:hAnsi="Tahoma"/>
        </w:rPr>
        <w:t>ir</w:t>
      </w:r>
      <w:r w:rsidR="009A630E" w:rsidRPr="00650F05">
        <w:rPr>
          <w:rFonts w:ascii="Tahoma" w:hAnsi="Tahoma"/>
        </w:rPr>
        <w:t xml:space="preserve"> </w:t>
      </w:r>
      <w:r w:rsidR="00CC66BA" w:rsidRPr="00650F05">
        <w:rPr>
          <w:rFonts w:ascii="Tahoma" w:hAnsi="Tahoma"/>
        </w:rPr>
        <w:t xml:space="preserve">transition </w:t>
      </w:r>
      <w:r w:rsidR="00947F66" w:rsidRPr="00650F05">
        <w:rPr>
          <w:rFonts w:ascii="Tahoma" w:hAnsi="Tahoma"/>
        </w:rPr>
        <w:t>in</w:t>
      </w:r>
      <w:r w:rsidR="00CC66BA" w:rsidRPr="00650F05">
        <w:rPr>
          <w:rFonts w:ascii="Tahoma" w:hAnsi="Tahoma"/>
        </w:rPr>
        <w:t>to</w:t>
      </w:r>
      <w:r w:rsidR="005144EF" w:rsidRPr="00650F05">
        <w:rPr>
          <w:rFonts w:ascii="Tahoma" w:hAnsi="Tahoma"/>
        </w:rPr>
        <w:t xml:space="preserve"> work: </w:t>
      </w:r>
      <w:r w:rsidR="00E24E1B" w:rsidRPr="00650F05">
        <w:rPr>
          <w:rFonts w:ascii="Tahoma" w:hAnsi="Tahoma"/>
        </w:rPr>
        <w:t>critical thinking</w:t>
      </w:r>
      <w:r w:rsidR="002A2C21" w:rsidRPr="00650F05">
        <w:rPr>
          <w:rFonts w:ascii="Tahoma" w:hAnsi="Tahoma"/>
        </w:rPr>
        <w:t xml:space="preserve">, </w:t>
      </w:r>
      <w:r w:rsidR="00A3691E" w:rsidRPr="00650F05">
        <w:rPr>
          <w:rFonts w:ascii="Tahoma" w:hAnsi="Tahoma"/>
        </w:rPr>
        <w:t>problem-solving</w:t>
      </w:r>
      <w:r w:rsidR="006E0691" w:rsidRPr="00650F05">
        <w:rPr>
          <w:rFonts w:ascii="Tahoma" w:hAnsi="Tahoma"/>
        </w:rPr>
        <w:t>, collaboration</w:t>
      </w:r>
      <w:r w:rsidR="00284797" w:rsidRPr="00650F05">
        <w:rPr>
          <w:rFonts w:ascii="Tahoma" w:hAnsi="Tahoma"/>
        </w:rPr>
        <w:t xml:space="preserve">, </w:t>
      </w:r>
      <w:r w:rsidR="006E0691" w:rsidRPr="00650F05">
        <w:rPr>
          <w:rFonts w:ascii="Tahoma" w:hAnsi="Tahoma"/>
        </w:rPr>
        <w:t>teamwork</w:t>
      </w:r>
      <w:r w:rsidR="005144EF" w:rsidRPr="00650F05">
        <w:rPr>
          <w:rFonts w:ascii="Tahoma" w:hAnsi="Tahoma"/>
        </w:rPr>
        <w:t>.</w:t>
      </w:r>
      <w:r w:rsidR="002B1DD5" w:rsidRPr="00650F05">
        <w:rPr>
          <w:rFonts w:ascii="Tahoma" w:hAnsi="Tahoma"/>
        </w:rPr>
        <w:t xml:space="preserve"> Student</w:t>
      </w:r>
      <w:r w:rsidR="008B387D" w:rsidRPr="00650F05">
        <w:rPr>
          <w:rFonts w:ascii="Tahoma" w:hAnsi="Tahoma"/>
        </w:rPr>
        <w:t>s</w:t>
      </w:r>
      <w:r w:rsidR="002B1DD5" w:rsidRPr="00650F05">
        <w:rPr>
          <w:rFonts w:ascii="Tahoma" w:hAnsi="Tahoma"/>
        </w:rPr>
        <w:t xml:space="preserve"> noted,</w:t>
      </w:r>
    </w:p>
    <w:p w14:paraId="5C0030A7" w14:textId="77777777" w:rsidR="002B1DD5" w:rsidRPr="00650F05" w:rsidRDefault="002B1DD5" w:rsidP="002B1DD5">
      <w:pPr>
        <w:spacing w:line="480" w:lineRule="auto"/>
        <w:jc w:val="both"/>
        <w:rPr>
          <w:rFonts w:ascii="Tahoma" w:hAnsi="Tahoma"/>
        </w:rPr>
      </w:pPr>
    </w:p>
    <w:p w14:paraId="0E5754B5" w14:textId="162FE9CF" w:rsidR="002B1DD5" w:rsidRPr="00650F05" w:rsidRDefault="002B1DD5" w:rsidP="002B1DD5">
      <w:pPr>
        <w:spacing w:line="240" w:lineRule="auto"/>
        <w:ind w:left="567" w:right="521"/>
        <w:jc w:val="both"/>
        <w:rPr>
          <w:rFonts w:ascii="Tahoma" w:hAnsi="Tahoma"/>
        </w:rPr>
      </w:pPr>
      <w:r w:rsidRPr="00650F05">
        <w:rPr>
          <w:rFonts w:ascii="Tahoma" w:hAnsi="Tahoma"/>
        </w:rPr>
        <w:t>“</w:t>
      </w:r>
      <w:r w:rsidR="00582228" w:rsidRPr="00650F05">
        <w:rPr>
          <w:rFonts w:ascii="Tahoma" w:hAnsi="Tahoma"/>
        </w:rPr>
        <w:t xml:space="preserve">… the skills I now have, such as problem-solving and </w:t>
      </w:r>
      <w:r w:rsidR="00842CD4" w:rsidRPr="00650F05">
        <w:rPr>
          <w:rFonts w:ascii="Tahoma" w:hAnsi="Tahoma"/>
        </w:rPr>
        <w:t>being able to critically analyse situations will really be helpful in the future</w:t>
      </w:r>
      <w:r w:rsidR="007D0B11" w:rsidRPr="00650F05">
        <w:rPr>
          <w:rFonts w:ascii="Tahoma" w:hAnsi="Tahoma"/>
        </w:rPr>
        <w:t>…</w:t>
      </w:r>
      <w:r w:rsidRPr="00650F05">
        <w:rPr>
          <w:rFonts w:ascii="Tahoma" w:hAnsi="Tahoma"/>
        </w:rPr>
        <w:t>”.</w:t>
      </w:r>
    </w:p>
    <w:p w14:paraId="475955A8" w14:textId="77777777" w:rsidR="002B1DD5" w:rsidRPr="00650F05" w:rsidRDefault="002B1DD5" w:rsidP="002B1DD5">
      <w:pPr>
        <w:spacing w:line="480" w:lineRule="auto"/>
        <w:jc w:val="both"/>
        <w:rPr>
          <w:rFonts w:ascii="Tahoma" w:hAnsi="Tahoma"/>
        </w:rPr>
      </w:pPr>
    </w:p>
    <w:p w14:paraId="4937E6D2" w14:textId="4355A0EC" w:rsidR="002B1DD5" w:rsidRPr="00650F05" w:rsidRDefault="002B1DD5" w:rsidP="002B1DD5">
      <w:pPr>
        <w:spacing w:line="240" w:lineRule="auto"/>
        <w:ind w:left="567" w:right="521"/>
        <w:jc w:val="both"/>
        <w:rPr>
          <w:rFonts w:ascii="Tahoma" w:hAnsi="Tahoma"/>
        </w:rPr>
      </w:pPr>
      <w:r w:rsidRPr="00650F05">
        <w:rPr>
          <w:rFonts w:ascii="Tahoma" w:hAnsi="Tahoma"/>
        </w:rPr>
        <w:t>“</w:t>
      </w:r>
      <w:r w:rsidR="007F597A" w:rsidRPr="00650F05">
        <w:rPr>
          <w:rFonts w:ascii="Tahoma" w:hAnsi="Tahoma"/>
        </w:rPr>
        <w:t xml:space="preserve">I </w:t>
      </w:r>
      <w:r w:rsidR="002D0429" w:rsidRPr="00650F05">
        <w:rPr>
          <w:rFonts w:ascii="Tahoma" w:hAnsi="Tahoma"/>
        </w:rPr>
        <w:t>work with people from a wide variety of backgrounds</w:t>
      </w:r>
      <w:r w:rsidR="00005814" w:rsidRPr="00650F05">
        <w:rPr>
          <w:rFonts w:ascii="Tahoma" w:hAnsi="Tahoma"/>
        </w:rPr>
        <w:t>… I have experience working with old people, young people… also those with learning difficulties</w:t>
      </w:r>
      <w:r w:rsidR="000B285D" w:rsidRPr="00650F05">
        <w:rPr>
          <w:rFonts w:ascii="Tahoma" w:hAnsi="Tahoma"/>
        </w:rPr>
        <w:t xml:space="preserve">. </w:t>
      </w:r>
      <w:r w:rsidR="00E639E8" w:rsidRPr="00650F05">
        <w:rPr>
          <w:rFonts w:ascii="Tahoma" w:hAnsi="Tahoma"/>
        </w:rPr>
        <w:t xml:space="preserve">Being able to assess what they need and adapt what I do </w:t>
      </w:r>
      <w:r w:rsidR="000B285D" w:rsidRPr="00650F05">
        <w:rPr>
          <w:rFonts w:ascii="Tahoma" w:hAnsi="Tahoma"/>
        </w:rPr>
        <w:t xml:space="preserve">is important to my </w:t>
      </w:r>
      <w:r w:rsidR="00AF756C" w:rsidRPr="00650F05">
        <w:rPr>
          <w:rFonts w:ascii="Tahoma" w:hAnsi="Tahoma"/>
        </w:rPr>
        <w:t xml:space="preserve">job </w:t>
      </w:r>
      <w:r w:rsidR="000B285D" w:rsidRPr="00650F05">
        <w:rPr>
          <w:rFonts w:ascii="Tahoma" w:hAnsi="Tahoma"/>
        </w:rPr>
        <w:t>success</w:t>
      </w:r>
      <w:r w:rsidRPr="00650F05">
        <w:rPr>
          <w:rFonts w:ascii="Tahoma" w:hAnsi="Tahoma"/>
        </w:rPr>
        <w:t>”.</w:t>
      </w:r>
    </w:p>
    <w:p w14:paraId="009EE980" w14:textId="77777777" w:rsidR="002B1DD5" w:rsidRPr="00650F05" w:rsidRDefault="002B1DD5" w:rsidP="002B1DD5">
      <w:pPr>
        <w:spacing w:line="480" w:lineRule="auto"/>
        <w:jc w:val="both"/>
        <w:rPr>
          <w:rFonts w:ascii="Tahoma" w:hAnsi="Tahoma"/>
        </w:rPr>
      </w:pPr>
    </w:p>
    <w:p w14:paraId="6B70737E" w14:textId="0EC18418" w:rsidR="002B1DD5" w:rsidRPr="00650F05" w:rsidRDefault="002B1DD5" w:rsidP="002B1DD5">
      <w:pPr>
        <w:spacing w:line="240" w:lineRule="auto"/>
        <w:ind w:left="567" w:right="521"/>
        <w:jc w:val="both"/>
        <w:rPr>
          <w:rFonts w:ascii="Tahoma" w:hAnsi="Tahoma"/>
        </w:rPr>
      </w:pPr>
      <w:r w:rsidRPr="00650F05">
        <w:rPr>
          <w:rFonts w:ascii="Tahoma" w:hAnsi="Tahoma"/>
        </w:rPr>
        <w:t>“</w:t>
      </w:r>
      <w:r w:rsidR="006B105C" w:rsidRPr="00650F05">
        <w:rPr>
          <w:rFonts w:ascii="Tahoma" w:hAnsi="Tahoma"/>
        </w:rPr>
        <w:t>… a lot of work</w:t>
      </w:r>
      <w:r w:rsidR="001F33F5" w:rsidRPr="00650F05">
        <w:rPr>
          <w:rFonts w:ascii="Tahoma" w:hAnsi="Tahoma"/>
        </w:rPr>
        <w:t>-experience</w:t>
      </w:r>
      <w:r w:rsidR="006B105C" w:rsidRPr="00650F05">
        <w:rPr>
          <w:rFonts w:ascii="Tahoma" w:hAnsi="Tahoma"/>
        </w:rPr>
        <w:t xml:space="preserve"> I have been involved in </w:t>
      </w:r>
      <w:r w:rsidR="001F33F5" w:rsidRPr="00650F05">
        <w:rPr>
          <w:rFonts w:ascii="Tahoma" w:hAnsi="Tahoma"/>
        </w:rPr>
        <w:t>means working in a team and</w:t>
      </w:r>
      <w:r w:rsidR="00130F25" w:rsidRPr="00650F05">
        <w:rPr>
          <w:rFonts w:ascii="Tahoma" w:hAnsi="Tahoma"/>
        </w:rPr>
        <w:t xml:space="preserve"> with other individuals. …</w:t>
      </w:r>
      <w:r w:rsidR="00DF3B74" w:rsidRPr="00650F05">
        <w:rPr>
          <w:rFonts w:ascii="Tahoma" w:hAnsi="Tahoma"/>
        </w:rPr>
        <w:t xml:space="preserve">having a deep interest in sport and </w:t>
      </w:r>
      <w:r w:rsidR="00130F25" w:rsidRPr="00650F05">
        <w:rPr>
          <w:rFonts w:ascii="Tahoma" w:hAnsi="Tahoma"/>
        </w:rPr>
        <w:t xml:space="preserve">studying a sports course has prepared me for </w:t>
      </w:r>
      <w:r w:rsidR="00DF3B74" w:rsidRPr="00650F05">
        <w:rPr>
          <w:rFonts w:ascii="Tahoma" w:hAnsi="Tahoma"/>
        </w:rPr>
        <w:t>working in a team…</w:t>
      </w:r>
      <w:r w:rsidRPr="00650F05">
        <w:rPr>
          <w:rFonts w:ascii="Tahoma" w:hAnsi="Tahoma"/>
        </w:rPr>
        <w:t>”.</w:t>
      </w:r>
    </w:p>
    <w:p w14:paraId="0DE8C60C" w14:textId="36027062" w:rsidR="009E631F" w:rsidRPr="00650F05" w:rsidRDefault="009E631F" w:rsidP="007A28AB">
      <w:pPr>
        <w:spacing w:line="480" w:lineRule="auto"/>
        <w:jc w:val="both"/>
        <w:rPr>
          <w:rFonts w:ascii="Tahoma" w:hAnsi="Tahoma"/>
        </w:rPr>
      </w:pPr>
    </w:p>
    <w:p w14:paraId="1ACFF7C1" w14:textId="0EEE793D" w:rsidR="002F55B8" w:rsidRPr="00650F05" w:rsidRDefault="00D40E5E" w:rsidP="003C4D40">
      <w:pPr>
        <w:spacing w:line="480" w:lineRule="auto"/>
        <w:jc w:val="both"/>
        <w:rPr>
          <w:rFonts w:ascii="Tahoma" w:hAnsi="Tahoma"/>
        </w:rPr>
      </w:pPr>
      <w:r w:rsidRPr="00650F05">
        <w:rPr>
          <w:rFonts w:ascii="Tahoma" w:hAnsi="Tahoma"/>
        </w:rPr>
        <w:t xml:space="preserve">It is likely that </w:t>
      </w:r>
      <w:r w:rsidR="0083092B" w:rsidRPr="00650F05">
        <w:rPr>
          <w:rFonts w:ascii="Tahoma" w:hAnsi="Tahoma"/>
        </w:rPr>
        <w:t xml:space="preserve">the </w:t>
      </w:r>
      <w:r w:rsidR="003E4C88" w:rsidRPr="00650F05">
        <w:rPr>
          <w:rFonts w:ascii="Tahoma" w:hAnsi="Tahoma"/>
        </w:rPr>
        <w:t xml:space="preserve">combined </w:t>
      </w:r>
      <w:r w:rsidR="0083092B" w:rsidRPr="00650F05">
        <w:rPr>
          <w:rFonts w:ascii="Tahoma" w:hAnsi="Tahoma"/>
        </w:rPr>
        <w:t xml:space="preserve">theoretical and practical </w:t>
      </w:r>
      <w:r w:rsidR="003E4C88" w:rsidRPr="00650F05">
        <w:rPr>
          <w:rFonts w:ascii="Tahoma" w:hAnsi="Tahoma"/>
        </w:rPr>
        <w:t xml:space="preserve">curriculum </w:t>
      </w:r>
      <w:r w:rsidR="0083092B" w:rsidRPr="00650F05">
        <w:rPr>
          <w:rFonts w:ascii="Tahoma" w:hAnsi="Tahoma"/>
        </w:rPr>
        <w:t>of course</w:t>
      </w:r>
      <w:r w:rsidR="00CC4B8F" w:rsidRPr="00650F05">
        <w:rPr>
          <w:rFonts w:ascii="Tahoma" w:hAnsi="Tahoma"/>
        </w:rPr>
        <w:t>s</w:t>
      </w:r>
      <w:r w:rsidR="0083092B" w:rsidRPr="00650F05">
        <w:rPr>
          <w:rFonts w:ascii="Tahoma" w:hAnsi="Tahoma"/>
        </w:rPr>
        <w:t xml:space="preserve"> </w:t>
      </w:r>
      <w:r w:rsidR="003E4C88" w:rsidRPr="00650F05">
        <w:rPr>
          <w:rFonts w:ascii="Tahoma" w:hAnsi="Tahoma"/>
        </w:rPr>
        <w:t>is</w:t>
      </w:r>
      <w:r w:rsidR="0083092B" w:rsidRPr="00650F05">
        <w:rPr>
          <w:rFonts w:ascii="Tahoma" w:hAnsi="Tahoma"/>
        </w:rPr>
        <w:t xml:space="preserve"> directly related to the develop</w:t>
      </w:r>
      <w:r w:rsidR="007D4235" w:rsidRPr="00650F05">
        <w:rPr>
          <w:rFonts w:ascii="Tahoma" w:hAnsi="Tahoma"/>
        </w:rPr>
        <w:t>ment of the</w:t>
      </w:r>
      <w:r w:rsidR="003E4C88" w:rsidRPr="00650F05">
        <w:rPr>
          <w:rFonts w:ascii="Tahoma" w:hAnsi="Tahoma"/>
        </w:rPr>
        <w:t>se</w:t>
      </w:r>
      <w:r w:rsidR="0083092B" w:rsidRPr="00650F05">
        <w:rPr>
          <w:rFonts w:ascii="Tahoma" w:hAnsi="Tahoma"/>
        </w:rPr>
        <w:t xml:space="preserve"> meta-competencies</w:t>
      </w:r>
      <w:r w:rsidR="00C15E52" w:rsidRPr="00650F05">
        <w:rPr>
          <w:rFonts w:ascii="Tahoma" w:hAnsi="Tahoma"/>
        </w:rPr>
        <w:t xml:space="preserve">. </w:t>
      </w:r>
      <w:r w:rsidR="00E63A61" w:rsidRPr="00650F05">
        <w:rPr>
          <w:rFonts w:ascii="Tahoma" w:hAnsi="Tahoma"/>
        </w:rPr>
        <w:t xml:space="preserve">Bakker et al. (2014) and Rocca (2010) found links between engagement with </w:t>
      </w:r>
      <w:r w:rsidR="00BE4517" w:rsidRPr="00650F05">
        <w:rPr>
          <w:rFonts w:ascii="Tahoma" w:hAnsi="Tahoma"/>
        </w:rPr>
        <w:t>lecture-based</w:t>
      </w:r>
      <w:r w:rsidR="00E63A61" w:rsidRPr="00650F05">
        <w:rPr>
          <w:rFonts w:ascii="Tahoma" w:hAnsi="Tahoma"/>
        </w:rPr>
        <w:t xml:space="preserve"> course content</w:t>
      </w:r>
      <w:r w:rsidR="009F6CB8" w:rsidRPr="00650F05">
        <w:rPr>
          <w:rFonts w:ascii="Tahoma" w:hAnsi="Tahoma"/>
        </w:rPr>
        <w:t xml:space="preserve"> </w:t>
      </w:r>
      <w:r w:rsidR="00212A3E" w:rsidRPr="00650F05">
        <w:rPr>
          <w:rFonts w:ascii="Tahoma" w:hAnsi="Tahoma"/>
        </w:rPr>
        <w:t>and critical thinking and problem-solving skills</w:t>
      </w:r>
      <w:r w:rsidR="00DB089F">
        <w:rPr>
          <w:rFonts w:ascii="Tahoma" w:hAnsi="Tahoma"/>
        </w:rPr>
        <w:t>.</w:t>
      </w:r>
      <w:r w:rsidR="00212A3E" w:rsidRPr="00650F05">
        <w:rPr>
          <w:rFonts w:ascii="Tahoma" w:hAnsi="Tahoma"/>
        </w:rPr>
        <w:t xml:space="preserve"> </w:t>
      </w:r>
      <w:r w:rsidR="00874F96" w:rsidRPr="00650F05">
        <w:rPr>
          <w:rFonts w:ascii="Tahoma" w:hAnsi="Tahoma"/>
        </w:rPr>
        <w:t xml:space="preserve">Furthermore, there is a </w:t>
      </w:r>
      <w:r w:rsidR="000E6D88" w:rsidRPr="00650F05">
        <w:rPr>
          <w:rFonts w:ascii="Tahoma" w:hAnsi="Tahoma"/>
        </w:rPr>
        <w:t xml:space="preserve">perspective </w:t>
      </w:r>
      <w:r w:rsidR="006C550A" w:rsidRPr="00650F05">
        <w:rPr>
          <w:rFonts w:ascii="Tahoma" w:hAnsi="Tahoma"/>
        </w:rPr>
        <w:t xml:space="preserve">shared by </w:t>
      </w:r>
      <w:r w:rsidR="000B66C4" w:rsidRPr="00650F05">
        <w:rPr>
          <w:rFonts w:ascii="Tahoma" w:hAnsi="Tahoma"/>
        </w:rPr>
        <w:t>Aracil-Garcia et al. (2018), Vinson et al. (2010)</w:t>
      </w:r>
      <w:r w:rsidR="0001122D" w:rsidRPr="00650F05">
        <w:rPr>
          <w:rFonts w:ascii="Tahoma" w:hAnsi="Tahoma"/>
        </w:rPr>
        <w:t xml:space="preserve"> and</w:t>
      </w:r>
      <w:r w:rsidR="000B66C4" w:rsidRPr="00650F05">
        <w:rPr>
          <w:rFonts w:ascii="Tahoma" w:hAnsi="Tahoma"/>
        </w:rPr>
        <w:t xml:space="preserve"> </w:t>
      </w:r>
      <w:r w:rsidR="00353DA6" w:rsidRPr="00650F05">
        <w:rPr>
          <w:rFonts w:ascii="Tahoma" w:hAnsi="Tahoma"/>
        </w:rPr>
        <w:t>Tomlinson</w:t>
      </w:r>
      <w:r w:rsidR="006C550A" w:rsidRPr="00650F05">
        <w:rPr>
          <w:rFonts w:ascii="Tahoma" w:hAnsi="Tahoma"/>
        </w:rPr>
        <w:t xml:space="preserve"> (2007)</w:t>
      </w:r>
      <w:r w:rsidR="0001122D" w:rsidRPr="00650F05">
        <w:rPr>
          <w:rFonts w:ascii="Tahoma" w:hAnsi="Tahoma"/>
        </w:rPr>
        <w:t xml:space="preserve"> </w:t>
      </w:r>
      <w:r w:rsidR="00C80571" w:rsidRPr="00650F05">
        <w:rPr>
          <w:rFonts w:ascii="Tahoma" w:hAnsi="Tahoma"/>
        </w:rPr>
        <w:t xml:space="preserve">that </w:t>
      </w:r>
      <w:r w:rsidR="0041258E" w:rsidRPr="00650F05">
        <w:rPr>
          <w:rFonts w:ascii="Tahoma" w:hAnsi="Tahoma"/>
        </w:rPr>
        <w:t xml:space="preserve">a </w:t>
      </w:r>
      <w:r w:rsidR="0072389D" w:rsidRPr="00650F05">
        <w:rPr>
          <w:rFonts w:ascii="Tahoma" w:hAnsi="Tahoma"/>
        </w:rPr>
        <w:t xml:space="preserve">collaborative </w:t>
      </w:r>
      <w:r w:rsidR="00D2467B" w:rsidRPr="00650F05">
        <w:rPr>
          <w:rFonts w:ascii="Tahoma" w:hAnsi="Tahoma"/>
        </w:rPr>
        <w:t xml:space="preserve">ethos </w:t>
      </w:r>
      <w:r w:rsidR="00AE3550" w:rsidRPr="00650F05">
        <w:rPr>
          <w:rFonts w:ascii="Tahoma" w:hAnsi="Tahoma"/>
        </w:rPr>
        <w:t>with</w:t>
      </w:r>
      <w:r w:rsidR="002C7960" w:rsidRPr="00650F05">
        <w:rPr>
          <w:rFonts w:ascii="Tahoma" w:hAnsi="Tahoma"/>
        </w:rPr>
        <w:t xml:space="preserve">in a practice-based curriculum </w:t>
      </w:r>
      <w:r w:rsidR="00AE3550" w:rsidRPr="00650F05">
        <w:rPr>
          <w:rFonts w:ascii="Tahoma" w:hAnsi="Tahoma"/>
        </w:rPr>
        <w:t xml:space="preserve">could </w:t>
      </w:r>
      <w:r w:rsidR="00220EA4" w:rsidRPr="00650F05">
        <w:rPr>
          <w:rFonts w:ascii="Tahoma" w:hAnsi="Tahoma"/>
        </w:rPr>
        <w:t xml:space="preserve">better replicate </w:t>
      </w:r>
      <w:r w:rsidR="001D69FD" w:rsidRPr="00650F05">
        <w:rPr>
          <w:rFonts w:ascii="Tahoma" w:hAnsi="Tahoma"/>
        </w:rPr>
        <w:t>industry roles</w:t>
      </w:r>
      <w:r w:rsidR="008C0308" w:rsidRPr="00650F05">
        <w:rPr>
          <w:rFonts w:ascii="Tahoma" w:hAnsi="Tahoma"/>
        </w:rPr>
        <w:t>.</w:t>
      </w:r>
      <w:r w:rsidR="001B11AB" w:rsidRPr="00650F05">
        <w:rPr>
          <w:rFonts w:ascii="Tahoma" w:hAnsi="Tahoma"/>
        </w:rPr>
        <w:t xml:space="preserve"> This </w:t>
      </w:r>
      <w:r w:rsidR="001D69FD" w:rsidRPr="00650F05">
        <w:rPr>
          <w:rFonts w:ascii="Tahoma" w:hAnsi="Tahoma"/>
        </w:rPr>
        <w:t xml:space="preserve">is </w:t>
      </w:r>
      <w:r w:rsidR="001B11AB" w:rsidRPr="00650F05">
        <w:rPr>
          <w:rFonts w:ascii="Tahoma" w:hAnsi="Tahoma"/>
        </w:rPr>
        <w:t xml:space="preserve">evident in the findings, with participants </w:t>
      </w:r>
      <w:r w:rsidR="00A500D8" w:rsidRPr="00650F05">
        <w:rPr>
          <w:rFonts w:ascii="Tahoma" w:hAnsi="Tahoma"/>
        </w:rPr>
        <w:t xml:space="preserve">noting the development of </w:t>
      </w:r>
      <w:r w:rsidR="003E46D6" w:rsidRPr="00650F05">
        <w:rPr>
          <w:rFonts w:ascii="Tahoma" w:hAnsi="Tahoma"/>
        </w:rPr>
        <w:t xml:space="preserve">collaboration and teamwork </w:t>
      </w:r>
      <w:r w:rsidR="000F53D4" w:rsidRPr="00650F05">
        <w:rPr>
          <w:rFonts w:ascii="Tahoma" w:hAnsi="Tahoma"/>
        </w:rPr>
        <w:t>competencies</w:t>
      </w:r>
      <w:r w:rsidR="009A13F2" w:rsidRPr="00650F05">
        <w:rPr>
          <w:rFonts w:ascii="Tahoma" w:hAnsi="Tahoma"/>
        </w:rPr>
        <w:t xml:space="preserve"> as key to their transition</w:t>
      </w:r>
      <w:r w:rsidR="008F4A5A" w:rsidRPr="00650F05">
        <w:rPr>
          <w:rFonts w:ascii="Tahoma" w:hAnsi="Tahoma"/>
        </w:rPr>
        <w:t xml:space="preserve">, which </w:t>
      </w:r>
      <w:r w:rsidR="00E55901" w:rsidRPr="00650F05">
        <w:rPr>
          <w:rFonts w:ascii="Tahoma" w:hAnsi="Tahoma"/>
        </w:rPr>
        <w:t xml:space="preserve">is likely </w:t>
      </w:r>
      <w:r w:rsidR="008F4A5A" w:rsidRPr="00650F05">
        <w:rPr>
          <w:rFonts w:ascii="Tahoma" w:hAnsi="Tahoma"/>
        </w:rPr>
        <w:t xml:space="preserve">a </w:t>
      </w:r>
      <w:r w:rsidR="00400B0C" w:rsidRPr="00650F05">
        <w:rPr>
          <w:rFonts w:ascii="Tahoma" w:hAnsi="Tahoma"/>
        </w:rPr>
        <w:t>product</w:t>
      </w:r>
      <w:r w:rsidR="008F4A5A" w:rsidRPr="00650F05">
        <w:rPr>
          <w:rFonts w:ascii="Tahoma" w:hAnsi="Tahoma"/>
        </w:rPr>
        <w:t xml:space="preserve"> </w:t>
      </w:r>
      <w:r w:rsidR="001D69FD" w:rsidRPr="00650F05">
        <w:rPr>
          <w:rFonts w:ascii="Tahoma" w:hAnsi="Tahoma"/>
        </w:rPr>
        <w:t xml:space="preserve">of </w:t>
      </w:r>
      <w:r w:rsidR="008F4A5A" w:rsidRPr="00650F05">
        <w:rPr>
          <w:rFonts w:ascii="Tahoma" w:hAnsi="Tahoma"/>
        </w:rPr>
        <w:t>their courses</w:t>
      </w:r>
      <w:r w:rsidR="00155F4B" w:rsidRPr="00650F05">
        <w:rPr>
          <w:rFonts w:ascii="Tahoma" w:hAnsi="Tahoma"/>
        </w:rPr>
        <w:t>’</w:t>
      </w:r>
      <w:r w:rsidR="008F4A5A" w:rsidRPr="00650F05">
        <w:rPr>
          <w:rFonts w:ascii="Tahoma" w:hAnsi="Tahoma"/>
        </w:rPr>
        <w:t xml:space="preserve"> vocational </w:t>
      </w:r>
      <w:r w:rsidR="00273E43" w:rsidRPr="00650F05">
        <w:rPr>
          <w:rFonts w:ascii="Tahoma" w:hAnsi="Tahoma"/>
        </w:rPr>
        <w:t>foc</w:t>
      </w:r>
      <w:r w:rsidR="00686FCC" w:rsidRPr="00650F05">
        <w:rPr>
          <w:rFonts w:ascii="Tahoma" w:hAnsi="Tahoma"/>
        </w:rPr>
        <w:t>i</w:t>
      </w:r>
      <w:r w:rsidR="00155F4B" w:rsidRPr="00650F05">
        <w:rPr>
          <w:rFonts w:ascii="Tahoma" w:hAnsi="Tahoma"/>
        </w:rPr>
        <w:t>.</w:t>
      </w:r>
      <w:r w:rsidR="003C4D40" w:rsidRPr="00650F05">
        <w:rPr>
          <w:rFonts w:ascii="Tahoma" w:hAnsi="Tahoma"/>
        </w:rPr>
        <w:t xml:space="preserve"> </w:t>
      </w:r>
      <w:r w:rsidR="002022C8">
        <w:rPr>
          <w:rFonts w:ascii="Tahoma" w:hAnsi="Tahoma"/>
        </w:rPr>
        <w:t>B</w:t>
      </w:r>
      <w:r w:rsidR="00D86B38" w:rsidRPr="00650F05">
        <w:rPr>
          <w:rFonts w:ascii="Tahoma" w:hAnsi="Tahoma"/>
        </w:rPr>
        <w:t xml:space="preserve">oth theoretical and practical elements </w:t>
      </w:r>
      <w:r w:rsidR="00DB4292" w:rsidRPr="00650F05">
        <w:rPr>
          <w:rFonts w:ascii="Tahoma" w:hAnsi="Tahoma"/>
        </w:rPr>
        <w:t xml:space="preserve">of a curriculum have a significant impact upon </w:t>
      </w:r>
      <w:r w:rsidR="00400B0C" w:rsidRPr="00650F05">
        <w:rPr>
          <w:rFonts w:ascii="Tahoma" w:hAnsi="Tahoma"/>
        </w:rPr>
        <w:t>the students’ perceptions of their preparedness to work</w:t>
      </w:r>
      <w:r w:rsidR="00AC6D09" w:rsidRPr="00650F05">
        <w:rPr>
          <w:rFonts w:ascii="Tahoma" w:hAnsi="Tahoma"/>
        </w:rPr>
        <w:t xml:space="preserve"> (Garcia-Aracil </w:t>
      </w:r>
      <w:r w:rsidR="00AC6D09" w:rsidRPr="002B4276">
        <w:rPr>
          <w:rFonts w:ascii="Tahoma" w:hAnsi="Tahoma"/>
          <w:i/>
          <w:iCs/>
        </w:rPr>
        <w:t>et al.,</w:t>
      </w:r>
      <w:r w:rsidR="00AC6D09" w:rsidRPr="00650F05">
        <w:rPr>
          <w:rFonts w:ascii="Tahoma" w:hAnsi="Tahoma"/>
        </w:rPr>
        <w:t xml:space="preserve"> 2018)</w:t>
      </w:r>
      <w:r w:rsidR="005C2DE1" w:rsidRPr="00650F05">
        <w:rPr>
          <w:rFonts w:ascii="Tahoma" w:hAnsi="Tahoma"/>
        </w:rPr>
        <w:t xml:space="preserve">, where </w:t>
      </w:r>
      <w:r w:rsidR="005A4DE0" w:rsidRPr="00650F05">
        <w:rPr>
          <w:rFonts w:ascii="Tahoma" w:hAnsi="Tahoma"/>
        </w:rPr>
        <w:t>t</w:t>
      </w:r>
      <w:r w:rsidR="00EC38FA" w:rsidRPr="00650F05">
        <w:rPr>
          <w:rFonts w:ascii="Tahoma" w:hAnsi="Tahoma"/>
        </w:rPr>
        <w:t xml:space="preserve">heoretical knowledge </w:t>
      </w:r>
      <w:r w:rsidR="00E576B0" w:rsidRPr="00650F05">
        <w:rPr>
          <w:rFonts w:ascii="Tahoma" w:hAnsi="Tahoma"/>
        </w:rPr>
        <w:t xml:space="preserve">enables the development of </w:t>
      </w:r>
      <w:r w:rsidR="00AD6958" w:rsidRPr="00650F05">
        <w:rPr>
          <w:rFonts w:ascii="Tahoma" w:hAnsi="Tahoma"/>
        </w:rPr>
        <w:t>specific</w:t>
      </w:r>
      <w:r w:rsidR="00527C32" w:rsidRPr="00650F05">
        <w:rPr>
          <w:rFonts w:ascii="Tahoma" w:hAnsi="Tahoma"/>
        </w:rPr>
        <w:t xml:space="preserve"> </w:t>
      </w:r>
      <w:r w:rsidR="00E576B0" w:rsidRPr="00650F05">
        <w:rPr>
          <w:rFonts w:ascii="Tahoma" w:hAnsi="Tahoma"/>
        </w:rPr>
        <w:t>meta-competencies</w:t>
      </w:r>
      <w:r w:rsidR="003509ED">
        <w:rPr>
          <w:rFonts w:ascii="Tahoma" w:hAnsi="Tahoma"/>
        </w:rPr>
        <w:t xml:space="preserve"> (</w:t>
      </w:r>
      <w:r w:rsidR="00537EC9" w:rsidRPr="00650F05">
        <w:rPr>
          <w:rFonts w:ascii="Tahoma" w:hAnsi="Tahoma"/>
        </w:rPr>
        <w:t xml:space="preserve">Bakker </w:t>
      </w:r>
      <w:r w:rsidR="00537EC9" w:rsidRPr="003509ED">
        <w:rPr>
          <w:rFonts w:ascii="Tahoma" w:hAnsi="Tahoma"/>
          <w:i/>
          <w:iCs/>
        </w:rPr>
        <w:t>et al</w:t>
      </w:r>
      <w:r w:rsidR="00537EC9" w:rsidRPr="00650F05">
        <w:rPr>
          <w:rFonts w:ascii="Tahoma" w:hAnsi="Tahoma"/>
        </w:rPr>
        <w:t>.</w:t>
      </w:r>
      <w:r w:rsidR="003509ED">
        <w:rPr>
          <w:rFonts w:ascii="Tahoma" w:hAnsi="Tahoma"/>
        </w:rPr>
        <w:t xml:space="preserve">, </w:t>
      </w:r>
      <w:r w:rsidR="00537EC9" w:rsidRPr="00650F05">
        <w:rPr>
          <w:rFonts w:ascii="Tahoma" w:hAnsi="Tahoma"/>
        </w:rPr>
        <w:t>2014</w:t>
      </w:r>
      <w:r w:rsidR="006216B6">
        <w:rPr>
          <w:rFonts w:ascii="Tahoma" w:hAnsi="Tahoma"/>
        </w:rPr>
        <w:t xml:space="preserve">; </w:t>
      </w:r>
      <w:r w:rsidR="00537EC9" w:rsidRPr="00650F05">
        <w:rPr>
          <w:rFonts w:ascii="Tahoma" w:hAnsi="Tahoma"/>
        </w:rPr>
        <w:t>Rocca</w:t>
      </w:r>
      <w:r w:rsidR="006216B6">
        <w:rPr>
          <w:rFonts w:ascii="Tahoma" w:hAnsi="Tahoma"/>
        </w:rPr>
        <w:t xml:space="preserve">, </w:t>
      </w:r>
      <w:r w:rsidR="00537EC9" w:rsidRPr="00650F05">
        <w:rPr>
          <w:rFonts w:ascii="Tahoma" w:hAnsi="Tahoma"/>
        </w:rPr>
        <w:t>2010)</w:t>
      </w:r>
      <w:r w:rsidR="000B55F0" w:rsidRPr="00650F05">
        <w:rPr>
          <w:rFonts w:ascii="Tahoma" w:hAnsi="Tahoma"/>
        </w:rPr>
        <w:t>.</w:t>
      </w:r>
      <w:r w:rsidR="00537EC9" w:rsidRPr="00650F05">
        <w:rPr>
          <w:rFonts w:ascii="Tahoma" w:hAnsi="Tahoma"/>
        </w:rPr>
        <w:t xml:space="preserve"> </w:t>
      </w:r>
      <w:r w:rsidR="00264A5F" w:rsidRPr="00650F05">
        <w:rPr>
          <w:rFonts w:ascii="Tahoma" w:hAnsi="Tahoma"/>
        </w:rPr>
        <w:t>These</w:t>
      </w:r>
      <w:r w:rsidR="000B55F0" w:rsidRPr="00650F05">
        <w:rPr>
          <w:rFonts w:ascii="Tahoma" w:hAnsi="Tahoma"/>
        </w:rPr>
        <w:t xml:space="preserve"> </w:t>
      </w:r>
      <w:r w:rsidR="005E55D5" w:rsidRPr="00650F05">
        <w:rPr>
          <w:rFonts w:ascii="Tahoma" w:hAnsi="Tahoma"/>
        </w:rPr>
        <w:t xml:space="preserve">meta-competencies </w:t>
      </w:r>
      <w:r w:rsidR="00B772F9">
        <w:rPr>
          <w:rFonts w:ascii="Tahoma" w:hAnsi="Tahoma"/>
        </w:rPr>
        <w:t>may be</w:t>
      </w:r>
      <w:r w:rsidR="00EC38FA" w:rsidRPr="00650F05">
        <w:rPr>
          <w:rFonts w:ascii="Tahoma" w:hAnsi="Tahoma"/>
        </w:rPr>
        <w:t xml:space="preserve"> the basis for the development of more specific and </w:t>
      </w:r>
      <w:r w:rsidR="005E55D5" w:rsidRPr="00650F05">
        <w:rPr>
          <w:rFonts w:ascii="Tahoma" w:hAnsi="Tahoma"/>
        </w:rPr>
        <w:t xml:space="preserve">nuanced </w:t>
      </w:r>
      <w:r w:rsidR="00EC38FA" w:rsidRPr="00650F05">
        <w:rPr>
          <w:rFonts w:ascii="Tahoma" w:hAnsi="Tahoma"/>
        </w:rPr>
        <w:t>practical competencies</w:t>
      </w:r>
      <w:r w:rsidR="00B772F9">
        <w:rPr>
          <w:rFonts w:ascii="Tahoma" w:hAnsi="Tahoma"/>
        </w:rPr>
        <w:t xml:space="preserve"> (</w:t>
      </w:r>
      <w:r w:rsidR="001E75C7" w:rsidRPr="00650F05">
        <w:rPr>
          <w:rFonts w:ascii="Tahoma" w:hAnsi="Tahoma"/>
        </w:rPr>
        <w:t xml:space="preserve">Aracil-Garcia </w:t>
      </w:r>
      <w:r w:rsidR="001E75C7" w:rsidRPr="001E75C7">
        <w:rPr>
          <w:rFonts w:ascii="Tahoma" w:hAnsi="Tahoma"/>
          <w:i/>
          <w:iCs/>
        </w:rPr>
        <w:t>et al</w:t>
      </w:r>
      <w:r w:rsidR="001E75C7" w:rsidRPr="00650F05">
        <w:rPr>
          <w:rFonts w:ascii="Tahoma" w:hAnsi="Tahoma"/>
        </w:rPr>
        <w:t>.</w:t>
      </w:r>
      <w:r w:rsidR="001E75C7">
        <w:rPr>
          <w:rFonts w:ascii="Tahoma" w:hAnsi="Tahoma"/>
        </w:rPr>
        <w:t xml:space="preserve">, </w:t>
      </w:r>
      <w:r w:rsidR="001E75C7" w:rsidRPr="00650F05">
        <w:rPr>
          <w:rFonts w:ascii="Tahoma" w:hAnsi="Tahoma"/>
        </w:rPr>
        <w:t>2018</w:t>
      </w:r>
      <w:r w:rsidR="001E75C7">
        <w:rPr>
          <w:rFonts w:ascii="Tahoma" w:hAnsi="Tahoma"/>
        </w:rPr>
        <w:t xml:space="preserve">; </w:t>
      </w:r>
      <w:r w:rsidR="00EC38FA" w:rsidRPr="00650F05">
        <w:rPr>
          <w:rFonts w:ascii="Tahoma" w:hAnsi="Tahoma"/>
        </w:rPr>
        <w:t xml:space="preserve">Allen and </w:t>
      </w:r>
      <w:r w:rsidR="00344723" w:rsidRPr="00650F05">
        <w:rPr>
          <w:rFonts w:ascii="Tahoma" w:hAnsi="Tahoma"/>
        </w:rPr>
        <w:t>V</w:t>
      </w:r>
      <w:r w:rsidR="00EC38FA" w:rsidRPr="00650F05">
        <w:rPr>
          <w:rFonts w:ascii="Tahoma" w:hAnsi="Tahoma"/>
        </w:rPr>
        <w:t>an der Velden</w:t>
      </w:r>
      <w:r w:rsidR="00B772F9">
        <w:rPr>
          <w:rFonts w:ascii="Tahoma" w:hAnsi="Tahoma"/>
        </w:rPr>
        <w:t xml:space="preserve">, </w:t>
      </w:r>
      <w:r w:rsidR="00EC38FA" w:rsidRPr="00650F05">
        <w:rPr>
          <w:rFonts w:ascii="Tahoma" w:hAnsi="Tahoma"/>
        </w:rPr>
        <w:t>2012)</w:t>
      </w:r>
      <w:r w:rsidR="001E75C7">
        <w:rPr>
          <w:rFonts w:ascii="Tahoma" w:hAnsi="Tahoma"/>
        </w:rPr>
        <w:t>.</w:t>
      </w:r>
    </w:p>
    <w:p w14:paraId="3DABE1F2" w14:textId="48C4D1E5" w:rsidR="004310B5" w:rsidRPr="00650F05" w:rsidRDefault="00711E39" w:rsidP="0039267E">
      <w:pPr>
        <w:spacing w:line="480" w:lineRule="auto"/>
        <w:jc w:val="both"/>
        <w:rPr>
          <w:rFonts w:ascii="Tahoma" w:hAnsi="Tahoma"/>
        </w:rPr>
      </w:pPr>
      <w:r w:rsidRPr="00650F05">
        <w:rPr>
          <w:rFonts w:ascii="Tahoma" w:hAnsi="Tahoma"/>
        </w:rPr>
        <w:lastRenderedPageBreak/>
        <w:t>The findings support</w:t>
      </w:r>
      <w:r w:rsidR="006174E5" w:rsidRPr="00650F05">
        <w:rPr>
          <w:rFonts w:ascii="Tahoma" w:hAnsi="Tahoma"/>
        </w:rPr>
        <w:t xml:space="preserve"> Holmes</w:t>
      </w:r>
      <w:r w:rsidRPr="00650F05">
        <w:rPr>
          <w:rFonts w:ascii="Tahoma" w:hAnsi="Tahoma"/>
        </w:rPr>
        <w:t>’</w:t>
      </w:r>
      <w:r w:rsidR="006174E5" w:rsidRPr="00650F05">
        <w:rPr>
          <w:rFonts w:ascii="Tahoma" w:hAnsi="Tahoma"/>
        </w:rPr>
        <w:t xml:space="preserve"> (2013) </w:t>
      </w:r>
      <w:r w:rsidR="002863A5" w:rsidRPr="00650F05">
        <w:rPr>
          <w:rFonts w:ascii="Tahoma" w:hAnsi="Tahoma"/>
        </w:rPr>
        <w:t>view of students having a</w:t>
      </w:r>
      <w:r w:rsidR="003A39E4" w:rsidRPr="00650F05">
        <w:rPr>
          <w:rFonts w:ascii="Tahoma" w:hAnsi="Tahoma"/>
        </w:rPr>
        <w:t xml:space="preserve"> </w:t>
      </w:r>
      <w:r w:rsidR="004D4E5B" w:rsidRPr="00650F05">
        <w:rPr>
          <w:rFonts w:ascii="Tahoma" w:hAnsi="Tahoma"/>
        </w:rPr>
        <w:t>‘</w:t>
      </w:r>
      <w:r w:rsidR="006174E5" w:rsidRPr="00650F05">
        <w:rPr>
          <w:rFonts w:ascii="Tahoma" w:hAnsi="Tahoma"/>
        </w:rPr>
        <w:t>possession</w:t>
      </w:r>
      <w:r w:rsidR="004D4E5B" w:rsidRPr="00650F05">
        <w:rPr>
          <w:rFonts w:ascii="Tahoma" w:hAnsi="Tahoma"/>
        </w:rPr>
        <w:t>’</w:t>
      </w:r>
      <w:r w:rsidR="006174E5" w:rsidRPr="00650F05">
        <w:rPr>
          <w:rFonts w:ascii="Tahoma" w:hAnsi="Tahoma"/>
        </w:rPr>
        <w:t xml:space="preserve"> approach</w:t>
      </w:r>
      <w:r w:rsidR="00CF69F0" w:rsidRPr="00650F05">
        <w:rPr>
          <w:rFonts w:ascii="Tahoma" w:hAnsi="Tahoma"/>
        </w:rPr>
        <w:t xml:space="preserve"> to HE</w:t>
      </w:r>
      <w:r w:rsidR="006174E5" w:rsidRPr="00650F05">
        <w:rPr>
          <w:rFonts w:ascii="Tahoma" w:hAnsi="Tahoma"/>
        </w:rPr>
        <w:t xml:space="preserve">, </w:t>
      </w:r>
      <w:r w:rsidR="00126C87" w:rsidRPr="00650F05">
        <w:rPr>
          <w:rFonts w:ascii="Tahoma" w:hAnsi="Tahoma"/>
        </w:rPr>
        <w:t xml:space="preserve">where students perceive </w:t>
      </w:r>
      <w:r w:rsidR="006174E5" w:rsidRPr="00650F05">
        <w:rPr>
          <w:rFonts w:ascii="Tahoma" w:hAnsi="Tahoma"/>
        </w:rPr>
        <w:t xml:space="preserve">graduate skills, </w:t>
      </w:r>
      <w:r w:rsidR="00BA05D8" w:rsidRPr="00650F05">
        <w:rPr>
          <w:rFonts w:ascii="Tahoma" w:hAnsi="Tahoma"/>
        </w:rPr>
        <w:t>competences,</w:t>
      </w:r>
      <w:r w:rsidR="006174E5" w:rsidRPr="00650F05">
        <w:rPr>
          <w:rFonts w:ascii="Tahoma" w:hAnsi="Tahoma"/>
        </w:rPr>
        <w:t xml:space="preserve"> and attributes as if they are </w:t>
      </w:r>
      <w:r w:rsidR="002863A5" w:rsidRPr="00650F05">
        <w:rPr>
          <w:rFonts w:ascii="Tahoma" w:hAnsi="Tahoma"/>
        </w:rPr>
        <w:t xml:space="preserve">tangible and </w:t>
      </w:r>
      <w:r w:rsidR="006174E5" w:rsidRPr="00650F05">
        <w:rPr>
          <w:rFonts w:ascii="Tahoma" w:hAnsi="Tahoma"/>
        </w:rPr>
        <w:t>capable of being acquired</w:t>
      </w:r>
      <w:r w:rsidR="008F2F62" w:rsidRPr="00650F05">
        <w:rPr>
          <w:rFonts w:ascii="Tahoma" w:hAnsi="Tahoma"/>
        </w:rPr>
        <w:t xml:space="preserve"> and</w:t>
      </w:r>
      <w:r w:rsidR="006174E5" w:rsidRPr="00650F05">
        <w:rPr>
          <w:rFonts w:ascii="Tahoma" w:hAnsi="Tahoma"/>
        </w:rPr>
        <w:t xml:space="preserve"> possessed </w:t>
      </w:r>
      <w:r w:rsidR="008B47F6" w:rsidRPr="00650F05">
        <w:rPr>
          <w:rFonts w:ascii="Tahoma" w:hAnsi="Tahoma"/>
        </w:rPr>
        <w:t>to</w:t>
      </w:r>
      <w:r w:rsidR="006174E5" w:rsidRPr="00650F05">
        <w:rPr>
          <w:rFonts w:ascii="Tahoma" w:hAnsi="Tahoma"/>
        </w:rPr>
        <w:t xml:space="preserve"> achieve labour market</w:t>
      </w:r>
      <w:r w:rsidR="00CB658E" w:rsidRPr="00650F05">
        <w:rPr>
          <w:rFonts w:ascii="Tahoma" w:hAnsi="Tahoma"/>
        </w:rPr>
        <w:t xml:space="preserve"> </w:t>
      </w:r>
      <w:r w:rsidR="006174E5" w:rsidRPr="00650F05">
        <w:rPr>
          <w:rFonts w:ascii="Tahoma" w:hAnsi="Tahoma"/>
        </w:rPr>
        <w:t>success</w:t>
      </w:r>
      <w:r w:rsidR="00CB658E" w:rsidRPr="00650F05">
        <w:rPr>
          <w:rFonts w:ascii="Tahoma" w:hAnsi="Tahoma"/>
        </w:rPr>
        <w:t>.</w:t>
      </w:r>
      <w:r w:rsidR="0039267E" w:rsidRPr="00650F05">
        <w:rPr>
          <w:rFonts w:ascii="Tahoma" w:hAnsi="Tahoma"/>
        </w:rPr>
        <w:t xml:space="preserve"> </w:t>
      </w:r>
      <w:r w:rsidR="002863A5" w:rsidRPr="00650F05">
        <w:rPr>
          <w:rFonts w:ascii="Tahoma" w:hAnsi="Tahoma"/>
        </w:rPr>
        <w:t xml:space="preserve">Through the lens of Bourdieu (1977), </w:t>
      </w:r>
      <w:r w:rsidR="006672BC" w:rsidRPr="00650F05">
        <w:rPr>
          <w:rFonts w:ascii="Tahoma" w:hAnsi="Tahoma"/>
        </w:rPr>
        <w:t>the practical</w:t>
      </w:r>
      <w:r w:rsidR="00C013A1" w:rsidRPr="00650F05">
        <w:rPr>
          <w:rFonts w:ascii="Tahoma" w:hAnsi="Tahoma"/>
        </w:rPr>
        <w:t xml:space="preserve"> and</w:t>
      </w:r>
      <w:r w:rsidR="006672BC" w:rsidRPr="00650F05">
        <w:rPr>
          <w:rFonts w:ascii="Tahoma" w:hAnsi="Tahoma"/>
        </w:rPr>
        <w:t xml:space="preserve"> </w:t>
      </w:r>
      <w:r w:rsidR="00C013A1" w:rsidRPr="00650F05">
        <w:rPr>
          <w:rFonts w:ascii="Tahoma" w:hAnsi="Tahoma"/>
        </w:rPr>
        <w:t>theoretical</w:t>
      </w:r>
      <w:r w:rsidR="006672BC" w:rsidRPr="00650F05">
        <w:rPr>
          <w:rFonts w:ascii="Tahoma" w:hAnsi="Tahoma"/>
        </w:rPr>
        <w:t xml:space="preserve"> </w:t>
      </w:r>
      <w:r w:rsidR="00BF15E3" w:rsidRPr="00650F05">
        <w:rPr>
          <w:rFonts w:ascii="Tahoma" w:hAnsi="Tahoma"/>
        </w:rPr>
        <w:t>learning</w:t>
      </w:r>
      <w:r w:rsidR="00C013A1" w:rsidRPr="00650F05">
        <w:rPr>
          <w:rFonts w:ascii="Tahoma" w:hAnsi="Tahoma"/>
        </w:rPr>
        <w:t xml:space="preserve">, as well as the competencies that are </w:t>
      </w:r>
      <w:r w:rsidR="00BF15E3" w:rsidRPr="00650F05">
        <w:rPr>
          <w:rFonts w:ascii="Tahoma" w:hAnsi="Tahoma"/>
        </w:rPr>
        <w:t xml:space="preserve">learned and </w:t>
      </w:r>
      <w:r w:rsidR="00C013A1" w:rsidRPr="00650F05">
        <w:rPr>
          <w:rFonts w:ascii="Tahoma" w:hAnsi="Tahoma"/>
        </w:rPr>
        <w:t xml:space="preserve">developed through these experiences, </w:t>
      </w:r>
      <w:r w:rsidR="0039267E" w:rsidRPr="00650F05">
        <w:rPr>
          <w:rFonts w:ascii="Tahoma" w:hAnsi="Tahoma"/>
        </w:rPr>
        <w:t>c</w:t>
      </w:r>
      <w:r w:rsidR="008B47F6" w:rsidRPr="00650F05">
        <w:rPr>
          <w:rFonts w:ascii="Tahoma" w:hAnsi="Tahoma"/>
        </w:rPr>
        <w:t>an</w:t>
      </w:r>
      <w:r w:rsidR="0039267E" w:rsidRPr="00650F05">
        <w:rPr>
          <w:rFonts w:ascii="Tahoma" w:hAnsi="Tahoma"/>
        </w:rPr>
        <w:t xml:space="preserve"> be understood as a set of </w:t>
      </w:r>
      <w:r w:rsidR="00920419" w:rsidRPr="00650F05">
        <w:rPr>
          <w:rFonts w:ascii="Tahoma" w:hAnsi="Tahoma"/>
        </w:rPr>
        <w:t>‘</w:t>
      </w:r>
      <w:r w:rsidR="0039267E" w:rsidRPr="00650F05">
        <w:rPr>
          <w:rFonts w:ascii="Tahoma" w:hAnsi="Tahoma"/>
        </w:rPr>
        <w:t>graduate capitals</w:t>
      </w:r>
      <w:r w:rsidR="00920419" w:rsidRPr="00650F05">
        <w:rPr>
          <w:rFonts w:ascii="Tahoma" w:hAnsi="Tahoma"/>
        </w:rPr>
        <w:t>’</w:t>
      </w:r>
      <w:r w:rsidR="000F2D26" w:rsidRPr="00650F05">
        <w:rPr>
          <w:rFonts w:ascii="Tahoma" w:hAnsi="Tahoma"/>
        </w:rPr>
        <w:t xml:space="preserve">, which </w:t>
      </w:r>
      <w:r w:rsidR="00BF15E3" w:rsidRPr="00650F05">
        <w:rPr>
          <w:rFonts w:ascii="Tahoma" w:hAnsi="Tahoma"/>
        </w:rPr>
        <w:t xml:space="preserve">significantly </w:t>
      </w:r>
      <w:r w:rsidR="000F2D26" w:rsidRPr="00650F05">
        <w:rPr>
          <w:rFonts w:ascii="Tahoma" w:hAnsi="Tahoma"/>
        </w:rPr>
        <w:t>influence habitus</w:t>
      </w:r>
      <w:r w:rsidR="005E2CEE" w:rsidRPr="00650F05">
        <w:rPr>
          <w:rFonts w:ascii="Tahoma" w:hAnsi="Tahoma"/>
        </w:rPr>
        <w:t xml:space="preserve"> within </w:t>
      </w:r>
      <w:r w:rsidR="005F3446" w:rsidRPr="00650F05">
        <w:rPr>
          <w:rFonts w:ascii="Tahoma" w:hAnsi="Tahoma"/>
        </w:rPr>
        <w:t xml:space="preserve">the </w:t>
      </w:r>
      <w:r w:rsidR="005E2CEE" w:rsidRPr="00650F05">
        <w:rPr>
          <w:rFonts w:ascii="Tahoma" w:hAnsi="Tahoma"/>
        </w:rPr>
        <w:t>field</w:t>
      </w:r>
      <w:r w:rsidR="005F3446" w:rsidRPr="00650F05">
        <w:rPr>
          <w:rFonts w:ascii="Tahoma" w:hAnsi="Tahoma"/>
        </w:rPr>
        <w:t xml:space="preserve"> </w:t>
      </w:r>
      <w:r w:rsidR="008576BF" w:rsidRPr="00650F05">
        <w:rPr>
          <w:rFonts w:ascii="Tahoma" w:hAnsi="Tahoma"/>
        </w:rPr>
        <w:t>(labour market)</w:t>
      </w:r>
      <w:r w:rsidR="005E2CEE" w:rsidRPr="00650F05">
        <w:rPr>
          <w:rFonts w:ascii="Tahoma" w:hAnsi="Tahoma"/>
        </w:rPr>
        <w:t>.</w:t>
      </w:r>
      <w:r w:rsidR="0039267E" w:rsidRPr="00650F05">
        <w:rPr>
          <w:rFonts w:ascii="Tahoma" w:hAnsi="Tahoma"/>
        </w:rPr>
        <w:t xml:space="preserve"> </w:t>
      </w:r>
      <w:r w:rsidR="00531837" w:rsidRPr="00650F05">
        <w:rPr>
          <w:rFonts w:ascii="Tahoma" w:hAnsi="Tahoma"/>
        </w:rPr>
        <w:t>Bathmaker (2021</w:t>
      </w:r>
      <w:r w:rsidR="00141BF3" w:rsidRPr="00650F05">
        <w:rPr>
          <w:rFonts w:ascii="Tahoma" w:hAnsi="Tahoma"/>
        </w:rPr>
        <w:t>, p.80</w:t>
      </w:r>
      <w:r w:rsidR="00531837" w:rsidRPr="00650F05">
        <w:rPr>
          <w:rFonts w:ascii="Tahoma" w:hAnsi="Tahoma"/>
        </w:rPr>
        <w:t xml:space="preserve">) </w:t>
      </w:r>
      <w:r w:rsidR="00525F2F" w:rsidRPr="00650F05">
        <w:rPr>
          <w:rFonts w:ascii="Tahoma" w:hAnsi="Tahoma"/>
        </w:rPr>
        <w:t>outlines s</w:t>
      </w:r>
      <w:r w:rsidR="005E2CEE" w:rsidRPr="00650F05">
        <w:rPr>
          <w:rFonts w:ascii="Tahoma" w:hAnsi="Tahoma"/>
        </w:rPr>
        <w:t xml:space="preserve">pecific </w:t>
      </w:r>
      <w:r w:rsidR="0039267E" w:rsidRPr="00650F05">
        <w:rPr>
          <w:rFonts w:ascii="Tahoma" w:hAnsi="Tahoma"/>
        </w:rPr>
        <w:t xml:space="preserve">resources </w:t>
      </w:r>
      <w:r w:rsidR="005E2CEE" w:rsidRPr="00650F05">
        <w:rPr>
          <w:rFonts w:ascii="Tahoma" w:hAnsi="Tahoma"/>
        </w:rPr>
        <w:t>present</w:t>
      </w:r>
      <w:r w:rsidR="0039267E" w:rsidRPr="00650F05">
        <w:rPr>
          <w:rFonts w:ascii="Tahoma" w:hAnsi="Tahoma"/>
        </w:rPr>
        <w:t xml:space="preserve"> benefits and advantages </w:t>
      </w:r>
      <w:r w:rsidR="00AB73B3" w:rsidRPr="00650F05">
        <w:rPr>
          <w:rFonts w:ascii="Tahoma" w:hAnsi="Tahoma"/>
        </w:rPr>
        <w:t>for</w:t>
      </w:r>
      <w:r w:rsidR="0039267E" w:rsidRPr="00650F05">
        <w:rPr>
          <w:rFonts w:ascii="Tahoma" w:hAnsi="Tahoma"/>
        </w:rPr>
        <w:t xml:space="preserve"> graduates, which include “a range of educational, social, cultural</w:t>
      </w:r>
      <w:r w:rsidR="00AA783A" w:rsidRPr="00650F05">
        <w:rPr>
          <w:rFonts w:ascii="Tahoma" w:hAnsi="Tahoma"/>
        </w:rPr>
        <w:t>,</w:t>
      </w:r>
      <w:r w:rsidR="0039267E" w:rsidRPr="00650F05">
        <w:rPr>
          <w:rFonts w:ascii="Tahoma" w:hAnsi="Tahoma"/>
        </w:rPr>
        <w:t xml:space="preserve"> and psycho-social dimensions and are acquired through graduates’ formal and informal experiences”</w:t>
      </w:r>
      <w:r w:rsidR="00525F2F" w:rsidRPr="00650F05">
        <w:rPr>
          <w:rFonts w:ascii="Tahoma" w:hAnsi="Tahoma"/>
        </w:rPr>
        <w:t>.</w:t>
      </w:r>
    </w:p>
    <w:p w14:paraId="13994946" w14:textId="77777777" w:rsidR="000433F1" w:rsidRPr="00650F05" w:rsidRDefault="000433F1" w:rsidP="000563CD">
      <w:pPr>
        <w:spacing w:line="480" w:lineRule="auto"/>
        <w:jc w:val="both"/>
        <w:rPr>
          <w:rFonts w:ascii="Tahoma" w:hAnsi="Tahoma"/>
        </w:rPr>
      </w:pPr>
    </w:p>
    <w:p w14:paraId="195310CA" w14:textId="77777777" w:rsidR="00A44C26" w:rsidRPr="00650F05" w:rsidRDefault="00163E6D" w:rsidP="00134F6B">
      <w:pPr>
        <w:spacing w:line="480" w:lineRule="auto"/>
        <w:jc w:val="both"/>
        <w:rPr>
          <w:rFonts w:ascii="Tahoma" w:hAnsi="Tahoma"/>
        </w:rPr>
      </w:pPr>
      <w:r w:rsidRPr="00650F05">
        <w:rPr>
          <w:rFonts w:ascii="Tahoma" w:hAnsi="Tahoma"/>
          <w:b/>
          <w:bCs/>
        </w:rPr>
        <w:t>Key Theme:</w:t>
      </w:r>
      <w:r w:rsidRPr="00650F05">
        <w:rPr>
          <w:rFonts w:ascii="Tahoma" w:hAnsi="Tahoma"/>
        </w:rPr>
        <w:t xml:space="preserve"> </w:t>
      </w:r>
      <w:r w:rsidR="00A44C26" w:rsidRPr="00650F05">
        <w:rPr>
          <w:rFonts w:ascii="Tahoma" w:hAnsi="Tahoma"/>
        </w:rPr>
        <w:t>Socio-demographic Characteristics</w:t>
      </w:r>
    </w:p>
    <w:p w14:paraId="2D4656CC" w14:textId="6783206B" w:rsidR="0014049D" w:rsidRPr="00650F05" w:rsidRDefault="00611BD3" w:rsidP="00134F6B">
      <w:pPr>
        <w:spacing w:line="480" w:lineRule="auto"/>
        <w:jc w:val="both"/>
        <w:rPr>
          <w:rFonts w:ascii="Tahoma" w:hAnsi="Tahoma"/>
        </w:rPr>
      </w:pPr>
      <w:r>
        <w:rPr>
          <w:rFonts w:ascii="Tahoma" w:hAnsi="Tahoma"/>
        </w:rPr>
        <w:t>P</w:t>
      </w:r>
      <w:r w:rsidR="002B210E" w:rsidRPr="00650F05">
        <w:rPr>
          <w:rFonts w:ascii="Tahoma" w:hAnsi="Tahoma"/>
        </w:rPr>
        <w:t>arti</w:t>
      </w:r>
      <w:r w:rsidR="00D9109B" w:rsidRPr="00650F05">
        <w:rPr>
          <w:rFonts w:ascii="Tahoma" w:hAnsi="Tahoma"/>
        </w:rPr>
        <w:t>cipants</w:t>
      </w:r>
      <w:r w:rsidR="002C3A31" w:rsidRPr="00650F05">
        <w:rPr>
          <w:rFonts w:ascii="Tahoma" w:hAnsi="Tahoma"/>
        </w:rPr>
        <w:t>’</w:t>
      </w:r>
      <w:r w:rsidR="00D9109B" w:rsidRPr="00650F05">
        <w:rPr>
          <w:rFonts w:ascii="Tahoma" w:hAnsi="Tahoma"/>
        </w:rPr>
        <w:t xml:space="preserve"> </w:t>
      </w:r>
      <w:r w:rsidR="0098280F" w:rsidRPr="00650F05">
        <w:rPr>
          <w:rFonts w:ascii="Tahoma" w:hAnsi="Tahoma"/>
        </w:rPr>
        <w:t xml:space="preserve">non-traditional </w:t>
      </w:r>
      <w:r w:rsidR="002C3A31" w:rsidRPr="00650F05">
        <w:rPr>
          <w:rFonts w:ascii="Tahoma" w:hAnsi="Tahoma"/>
        </w:rPr>
        <w:t xml:space="preserve">backgrounds </w:t>
      </w:r>
      <w:r w:rsidR="0098280F" w:rsidRPr="00650F05">
        <w:rPr>
          <w:rFonts w:ascii="Tahoma" w:hAnsi="Tahoma"/>
        </w:rPr>
        <w:t xml:space="preserve">influence </w:t>
      </w:r>
      <w:r w:rsidR="00134F6B" w:rsidRPr="00650F05">
        <w:rPr>
          <w:rFonts w:ascii="Tahoma" w:hAnsi="Tahoma"/>
        </w:rPr>
        <w:t>their</w:t>
      </w:r>
      <w:r w:rsidR="002C3A31" w:rsidRPr="00650F05">
        <w:rPr>
          <w:rFonts w:ascii="Tahoma" w:hAnsi="Tahoma"/>
        </w:rPr>
        <w:t xml:space="preserve"> </w:t>
      </w:r>
      <w:r w:rsidR="00CF50AC" w:rsidRPr="00650F05">
        <w:rPr>
          <w:rFonts w:ascii="Tahoma" w:hAnsi="Tahoma"/>
        </w:rPr>
        <w:t xml:space="preserve">HE </w:t>
      </w:r>
      <w:r w:rsidR="002C4A6D" w:rsidRPr="00650F05">
        <w:rPr>
          <w:rFonts w:ascii="Tahoma" w:hAnsi="Tahoma"/>
        </w:rPr>
        <w:t>experience and</w:t>
      </w:r>
      <w:r w:rsidR="00CF50AC" w:rsidRPr="00650F05">
        <w:rPr>
          <w:rFonts w:ascii="Tahoma" w:hAnsi="Tahoma"/>
        </w:rPr>
        <w:t xml:space="preserve"> inform perceptions </w:t>
      </w:r>
      <w:r w:rsidR="000F64EA" w:rsidRPr="00650F05">
        <w:rPr>
          <w:rFonts w:ascii="Tahoma" w:hAnsi="Tahoma"/>
        </w:rPr>
        <w:t xml:space="preserve">surrounding </w:t>
      </w:r>
      <w:r w:rsidR="00134F6B" w:rsidRPr="00650F05">
        <w:rPr>
          <w:rFonts w:ascii="Tahoma" w:hAnsi="Tahoma"/>
        </w:rPr>
        <w:t xml:space="preserve">their readiness and preparedness to transition to </w:t>
      </w:r>
      <w:r w:rsidR="00856306" w:rsidRPr="00650F05">
        <w:rPr>
          <w:rFonts w:ascii="Tahoma" w:hAnsi="Tahoma"/>
        </w:rPr>
        <w:t>work after graduation</w:t>
      </w:r>
      <w:r w:rsidR="00E95996" w:rsidRPr="00650F05">
        <w:rPr>
          <w:rFonts w:ascii="Tahoma" w:hAnsi="Tahoma"/>
        </w:rPr>
        <w:t>.</w:t>
      </w:r>
      <w:r w:rsidR="00946161" w:rsidRPr="00650F05">
        <w:rPr>
          <w:rFonts w:ascii="Tahoma" w:hAnsi="Tahoma"/>
        </w:rPr>
        <w:t xml:space="preserve"> </w:t>
      </w:r>
      <w:r w:rsidR="00B354D5" w:rsidRPr="00650F05">
        <w:rPr>
          <w:rFonts w:ascii="Tahoma" w:hAnsi="Tahoma"/>
        </w:rPr>
        <w:t xml:space="preserve">It was </w:t>
      </w:r>
      <w:r w:rsidR="00B62FAB" w:rsidRPr="00650F05">
        <w:rPr>
          <w:rFonts w:ascii="Tahoma" w:hAnsi="Tahoma"/>
        </w:rPr>
        <w:t>noticeable</w:t>
      </w:r>
      <w:r w:rsidR="00B354D5" w:rsidRPr="00650F05">
        <w:rPr>
          <w:rFonts w:ascii="Tahoma" w:hAnsi="Tahoma"/>
        </w:rPr>
        <w:t xml:space="preserve"> that age and maturity played a role in </w:t>
      </w:r>
      <w:r w:rsidR="00E128AD" w:rsidRPr="00650F05">
        <w:rPr>
          <w:rFonts w:ascii="Tahoma" w:hAnsi="Tahoma"/>
        </w:rPr>
        <w:t>the</w:t>
      </w:r>
      <w:r w:rsidR="00935C01">
        <w:rPr>
          <w:rFonts w:ascii="Tahoma" w:hAnsi="Tahoma"/>
        </w:rPr>
        <w:t>ir</w:t>
      </w:r>
      <w:r w:rsidR="00E128AD" w:rsidRPr="00650F05">
        <w:rPr>
          <w:rFonts w:ascii="Tahoma" w:hAnsi="Tahoma"/>
        </w:rPr>
        <w:t xml:space="preserve"> perceptions. </w:t>
      </w:r>
      <w:r w:rsidR="00855A9C" w:rsidRPr="00650F05">
        <w:rPr>
          <w:rFonts w:ascii="Tahoma" w:hAnsi="Tahoma"/>
        </w:rPr>
        <w:t>Participants</w:t>
      </w:r>
      <w:r w:rsidR="00E95996" w:rsidRPr="00650F05">
        <w:rPr>
          <w:rFonts w:ascii="Tahoma" w:hAnsi="Tahoma"/>
        </w:rPr>
        <w:t xml:space="preserve"> noted,</w:t>
      </w:r>
    </w:p>
    <w:p w14:paraId="046D0140" w14:textId="77777777" w:rsidR="00E95996" w:rsidRPr="00650F05" w:rsidRDefault="00E95996" w:rsidP="00E95996">
      <w:pPr>
        <w:spacing w:line="480" w:lineRule="auto"/>
        <w:jc w:val="both"/>
        <w:rPr>
          <w:rFonts w:ascii="Tahoma" w:hAnsi="Tahoma"/>
        </w:rPr>
      </w:pPr>
    </w:p>
    <w:p w14:paraId="64D5B13D" w14:textId="71D90520" w:rsidR="00E95996" w:rsidRPr="00650F05" w:rsidRDefault="00E95996" w:rsidP="00E95996">
      <w:pPr>
        <w:spacing w:line="240" w:lineRule="auto"/>
        <w:ind w:left="567" w:right="521"/>
        <w:jc w:val="both"/>
        <w:rPr>
          <w:rFonts w:ascii="Tahoma" w:hAnsi="Tahoma"/>
        </w:rPr>
      </w:pPr>
      <w:r w:rsidRPr="00650F05">
        <w:rPr>
          <w:rFonts w:ascii="Tahoma" w:hAnsi="Tahoma"/>
        </w:rPr>
        <w:t>“</w:t>
      </w:r>
      <w:r w:rsidR="005F1AB8" w:rsidRPr="00650F05">
        <w:rPr>
          <w:rFonts w:ascii="Tahoma" w:hAnsi="Tahoma"/>
        </w:rPr>
        <w:t xml:space="preserve">I </w:t>
      </w:r>
      <w:r w:rsidR="00646448" w:rsidRPr="00650F05">
        <w:rPr>
          <w:rFonts w:ascii="Tahoma" w:hAnsi="Tahoma"/>
        </w:rPr>
        <w:t xml:space="preserve">came to university </w:t>
      </w:r>
      <w:r w:rsidR="005F1AB8" w:rsidRPr="00650F05">
        <w:rPr>
          <w:rFonts w:ascii="Tahoma" w:hAnsi="Tahoma"/>
        </w:rPr>
        <w:t xml:space="preserve">later than </w:t>
      </w:r>
      <w:r w:rsidR="00646448" w:rsidRPr="00650F05">
        <w:rPr>
          <w:rFonts w:ascii="Tahoma" w:hAnsi="Tahoma"/>
        </w:rPr>
        <w:t>most</w:t>
      </w:r>
      <w:r w:rsidR="005F1AB8" w:rsidRPr="00650F05">
        <w:rPr>
          <w:rFonts w:ascii="Tahoma" w:hAnsi="Tahoma"/>
        </w:rPr>
        <w:t xml:space="preserve">, </w:t>
      </w:r>
      <w:r w:rsidR="00924D52" w:rsidRPr="00650F05">
        <w:rPr>
          <w:rFonts w:ascii="Tahoma" w:hAnsi="Tahoma"/>
        </w:rPr>
        <w:t xml:space="preserve">after a </w:t>
      </w:r>
      <w:r w:rsidR="00A47480" w:rsidRPr="00650F05">
        <w:rPr>
          <w:rFonts w:ascii="Tahoma" w:hAnsi="Tahoma"/>
        </w:rPr>
        <w:t xml:space="preserve">couple of </w:t>
      </w:r>
      <w:r w:rsidR="00924D52" w:rsidRPr="00650F05">
        <w:rPr>
          <w:rFonts w:ascii="Tahoma" w:hAnsi="Tahoma"/>
        </w:rPr>
        <w:t>years working</w:t>
      </w:r>
      <w:r w:rsidR="00CF3C18" w:rsidRPr="00650F05">
        <w:rPr>
          <w:rFonts w:ascii="Tahoma" w:hAnsi="Tahoma"/>
        </w:rPr>
        <w:t xml:space="preserve">… </w:t>
      </w:r>
      <w:r w:rsidR="00C451C9" w:rsidRPr="00650F05">
        <w:rPr>
          <w:rFonts w:ascii="Tahoma" w:hAnsi="Tahoma"/>
        </w:rPr>
        <w:t>this provides me with a different perspective and understanding compared to some others</w:t>
      </w:r>
      <w:r w:rsidR="001C1D17" w:rsidRPr="00650F05">
        <w:rPr>
          <w:rFonts w:ascii="Tahoma" w:hAnsi="Tahoma"/>
        </w:rPr>
        <w:t xml:space="preserve">. … I </w:t>
      </w:r>
      <w:r w:rsidR="00DD1338" w:rsidRPr="00650F05">
        <w:rPr>
          <w:rFonts w:ascii="Tahoma" w:hAnsi="Tahoma"/>
        </w:rPr>
        <w:t xml:space="preserve">need this qualification to </w:t>
      </w:r>
      <w:r w:rsidR="00BC7C53" w:rsidRPr="00650F05">
        <w:rPr>
          <w:rFonts w:ascii="Tahoma" w:hAnsi="Tahoma"/>
        </w:rPr>
        <w:t xml:space="preserve">get </w:t>
      </w:r>
      <w:r w:rsidR="00720B72" w:rsidRPr="00650F05">
        <w:rPr>
          <w:rFonts w:ascii="Tahoma" w:hAnsi="Tahoma"/>
        </w:rPr>
        <w:t>a good job</w:t>
      </w:r>
      <w:r w:rsidR="00270556" w:rsidRPr="00650F05">
        <w:rPr>
          <w:rFonts w:ascii="Tahoma" w:hAnsi="Tahoma"/>
        </w:rPr>
        <w:t xml:space="preserve"> …</w:t>
      </w:r>
      <w:r w:rsidRPr="00650F05">
        <w:rPr>
          <w:rFonts w:ascii="Tahoma" w:hAnsi="Tahoma"/>
        </w:rPr>
        <w:t>”.</w:t>
      </w:r>
    </w:p>
    <w:p w14:paraId="74FD6BD1" w14:textId="77777777" w:rsidR="00E95996" w:rsidRPr="00650F05" w:rsidRDefault="00E95996" w:rsidP="00E95996">
      <w:pPr>
        <w:spacing w:line="480" w:lineRule="auto"/>
        <w:jc w:val="both"/>
        <w:rPr>
          <w:rFonts w:ascii="Tahoma" w:hAnsi="Tahoma"/>
        </w:rPr>
      </w:pPr>
    </w:p>
    <w:p w14:paraId="391E1807" w14:textId="5EBA96A6" w:rsidR="00E95996" w:rsidRPr="00650F05" w:rsidRDefault="00E95996" w:rsidP="00E95996">
      <w:pPr>
        <w:spacing w:line="240" w:lineRule="auto"/>
        <w:ind w:left="567" w:right="521"/>
        <w:jc w:val="both"/>
        <w:rPr>
          <w:rFonts w:ascii="Tahoma" w:hAnsi="Tahoma"/>
        </w:rPr>
      </w:pPr>
      <w:r w:rsidRPr="00650F05">
        <w:rPr>
          <w:rFonts w:ascii="Tahoma" w:hAnsi="Tahoma"/>
        </w:rPr>
        <w:t>“</w:t>
      </w:r>
      <w:r w:rsidR="00834191" w:rsidRPr="00650F05">
        <w:rPr>
          <w:rFonts w:ascii="Tahoma" w:hAnsi="Tahoma"/>
        </w:rPr>
        <w:t>I</w:t>
      </w:r>
      <w:r w:rsidR="00F82DD3" w:rsidRPr="00650F05">
        <w:rPr>
          <w:rFonts w:ascii="Tahoma" w:hAnsi="Tahoma"/>
        </w:rPr>
        <w:t>’</w:t>
      </w:r>
      <w:r w:rsidR="00EE3A02" w:rsidRPr="00650F05">
        <w:rPr>
          <w:rFonts w:ascii="Tahoma" w:hAnsi="Tahoma"/>
        </w:rPr>
        <w:t>ve</w:t>
      </w:r>
      <w:r w:rsidR="00F82DD3" w:rsidRPr="00650F05">
        <w:rPr>
          <w:rFonts w:ascii="Tahoma" w:hAnsi="Tahoma"/>
        </w:rPr>
        <w:t xml:space="preserve"> </w:t>
      </w:r>
      <w:r w:rsidR="00EE3A02" w:rsidRPr="00650F05">
        <w:rPr>
          <w:rFonts w:ascii="Tahoma" w:hAnsi="Tahoma"/>
        </w:rPr>
        <w:t xml:space="preserve">grown a lot </w:t>
      </w:r>
      <w:r w:rsidR="00EA4C0F" w:rsidRPr="00650F05">
        <w:rPr>
          <w:rFonts w:ascii="Tahoma" w:hAnsi="Tahoma"/>
        </w:rPr>
        <w:t>during the course. At first, I was at uni to just enjoy myself…</w:t>
      </w:r>
      <w:r w:rsidR="00F24E95" w:rsidRPr="00650F05">
        <w:rPr>
          <w:rFonts w:ascii="Tahoma" w:hAnsi="Tahoma"/>
        </w:rPr>
        <w:t xml:space="preserve"> although</w:t>
      </w:r>
      <w:r w:rsidR="00EA4C0F" w:rsidRPr="00650F05">
        <w:rPr>
          <w:rFonts w:ascii="Tahoma" w:hAnsi="Tahoma"/>
        </w:rPr>
        <w:t xml:space="preserve"> </w:t>
      </w:r>
      <w:r w:rsidR="00F82DD3" w:rsidRPr="00650F05">
        <w:rPr>
          <w:rFonts w:ascii="Tahoma" w:hAnsi="Tahoma"/>
        </w:rPr>
        <w:t xml:space="preserve">now </w:t>
      </w:r>
      <w:r w:rsidR="006D1643" w:rsidRPr="00650F05">
        <w:rPr>
          <w:rFonts w:ascii="Tahoma" w:hAnsi="Tahoma"/>
        </w:rPr>
        <w:t>I’ve done that my focus is on learning as much as possible before I finish</w:t>
      </w:r>
      <w:r w:rsidRPr="00650F05">
        <w:rPr>
          <w:rFonts w:ascii="Tahoma" w:hAnsi="Tahoma"/>
        </w:rPr>
        <w:t>”.</w:t>
      </w:r>
    </w:p>
    <w:p w14:paraId="528C9BFC" w14:textId="77777777" w:rsidR="00E95996" w:rsidRPr="00650F05" w:rsidRDefault="00E95996" w:rsidP="00834191">
      <w:pPr>
        <w:spacing w:before="240" w:line="480" w:lineRule="auto"/>
        <w:jc w:val="both"/>
        <w:rPr>
          <w:rFonts w:ascii="Tahoma" w:hAnsi="Tahoma"/>
        </w:rPr>
      </w:pPr>
    </w:p>
    <w:p w14:paraId="56E545D5" w14:textId="23BF55EB" w:rsidR="009F4A0C" w:rsidRPr="00650F05" w:rsidRDefault="008360E0" w:rsidP="001B5553">
      <w:pPr>
        <w:spacing w:line="480" w:lineRule="auto"/>
        <w:jc w:val="both"/>
        <w:rPr>
          <w:rFonts w:ascii="Tahoma" w:hAnsi="Tahoma"/>
        </w:rPr>
      </w:pPr>
      <w:r w:rsidRPr="00650F05">
        <w:rPr>
          <w:rFonts w:ascii="Tahoma" w:hAnsi="Tahoma"/>
        </w:rPr>
        <w:t xml:space="preserve">The findings support </w:t>
      </w:r>
      <w:r w:rsidR="0051231E" w:rsidRPr="00650F05">
        <w:rPr>
          <w:rFonts w:ascii="Tahoma" w:hAnsi="Tahoma"/>
        </w:rPr>
        <w:t xml:space="preserve">assertions </w:t>
      </w:r>
      <w:r w:rsidR="008F0032" w:rsidRPr="00650F05">
        <w:rPr>
          <w:rFonts w:ascii="Tahoma" w:hAnsi="Tahoma"/>
        </w:rPr>
        <w:t xml:space="preserve">that </w:t>
      </w:r>
      <w:r w:rsidR="00470C62" w:rsidRPr="00650F05">
        <w:rPr>
          <w:rFonts w:ascii="Tahoma" w:hAnsi="Tahoma"/>
        </w:rPr>
        <w:t>alongside</w:t>
      </w:r>
      <w:r w:rsidRPr="00650F05">
        <w:rPr>
          <w:rFonts w:ascii="Tahoma" w:hAnsi="Tahoma"/>
        </w:rPr>
        <w:t xml:space="preserve"> increasing age comes </w:t>
      </w:r>
      <w:r w:rsidR="008F0032" w:rsidRPr="00650F05">
        <w:rPr>
          <w:rFonts w:ascii="Tahoma" w:hAnsi="Tahoma"/>
        </w:rPr>
        <w:t>an ‘</w:t>
      </w:r>
      <w:r w:rsidRPr="00650F05">
        <w:rPr>
          <w:rFonts w:ascii="Tahoma" w:hAnsi="Tahoma"/>
        </w:rPr>
        <w:t>intellectual growth</w:t>
      </w:r>
      <w:r w:rsidR="008F0032" w:rsidRPr="00650F05">
        <w:rPr>
          <w:rFonts w:ascii="Tahoma" w:hAnsi="Tahoma"/>
        </w:rPr>
        <w:t>’</w:t>
      </w:r>
      <w:r w:rsidR="00CF22BF" w:rsidRPr="00650F05">
        <w:rPr>
          <w:rFonts w:ascii="Tahoma" w:hAnsi="Tahoma"/>
        </w:rPr>
        <w:t xml:space="preserve"> from </w:t>
      </w:r>
      <w:r w:rsidR="009F7469" w:rsidRPr="00650F05">
        <w:rPr>
          <w:rFonts w:ascii="Tahoma" w:hAnsi="Tahoma"/>
        </w:rPr>
        <w:t>the HE journey</w:t>
      </w:r>
      <w:r w:rsidR="008F0032" w:rsidRPr="00650F05">
        <w:rPr>
          <w:rFonts w:ascii="Tahoma" w:hAnsi="Tahoma"/>
        </w:rPr>
        <w:t>, which has</w:t>
      </w:r>
      <w:r w:rsidRPr="00650F05">
        <w:rPr>
          <w:rFonts w:ascii="Tahoma" w:hAnsi="Tahoma"/>
        </w:rPr>
        <w:t xml:space="preserve"> a positive effect on perceptions of preparedness for work</w:t>
      </w:r>
      <w:r w:rsidR="009D1C10">
        <w:rPr>
          <w:rFonts w:ascii="Tahoma" w:hAnsi="Tahoma"/>
        </w:rPr>
        <w:t xml:space="preserve"> </w:t>
      </w:r>
      <w:r w:rsidR="003F0461">
        <w:rPr>
          <w:rFonts w:ascii="Tahoma" w:hAnsi="Tahoma"/>
        </w:rPr>
        <w:t>(</w:t>
      </w:r>
      <w:r w:rsidR="009D1C10" w:rsidRPr="00650F05">
        <w:rPr>
          <w:rFonts w:ascii="Tahoma" w:hAnsi="Tahoma"/>
        </w:rPr>
        <w:t xml:space="preserve">Garcia-Aracil </w:t>
      </w:r>
      <w:r w:rsidR="009D1C10" w:rsidRPr="003F0461">
        <w:rPr>
          <w:rFonts w:ascii="Tahoma" w:hAnsi="Tahoma"/>
          <w:i/>
          <w:iCs/>
        </w:rPr>
        <w:t>et al</w:t>
      </w:r>
      <w:r w:rsidR="009D1C10" w:rsidRPr="00650F05">
        <w:rPr>
          <w:rFonts w:ascii="Tahoma" w:hAnsi="Tahoma"/>
        </w:rPr>
        <w:t>.</w:t>
      </w:r>
      <w:r w:rsidR="003F0461">
        <w:rPr>
          <w:rFonts w:ascii="Tahoma" w:hAnsi="Tahoma"/>
        </w:rPr>
        <w:t>,</w:t>
      </w:r>
      <w:r w:rsidR="009D1C10" w:rsidRPr="00650F05">
        <w:rPr>
          <w:rFonts w:ascii="Tahoma" w:hAnsi="Tahoma"/>
        </w:rPr>
        <w:t xml:space="preserve"> 2018</w:t>
      </w:r>
      <w:r w:rsidR="003F0461">
        <w:rPr>
          <w:rFonts w:ascii="Tahoma" w:hAnsi="Tahoma"/>
        </w:rPr>
        <w:t xml:space="preserve">; </w:t>
      </w:r>
      <w:r w:rsidR="009D1C10" w:rsidRPr="00650F05">
        <w:rPr>
          <w:rFonts w:ascii="Tahoma" w:hAnsi="Tahoma"/>
        </w:rPr>
        <w:t>Tomlinson</w:t>
      </w:r>
      <w:r w:rsidR="003F0461">
        <w:rPr>
          <w:rFonts w:ascii="Tahoma" w:hAnsi="Tahoma"/>
        </w:rPr>
        <w:t xml:space="preserve">, </w:t>
      </w:r>
      <w:r w:rsidR="009D1C10" w:rsidRPr="00650F05">
        <w:rPr>
          <w:rFonts w:ascii="Tahoma" w:hAnsi="Tahoma"/>
        </w:rPr>
        <w:t>2007)</w:t>
      </w:r>
      <w:r w:rsidR="00DC0D5A" w:rsidRPr="00650F05">
        <w:rPr>
          <w:rFonts w:ascii="Tahoma" w:hAnsi="Tahoma"/>
        </w:rPr>
        <w:t xml:space="preserve">. </w:t>
      </w:r>
      <w:r w:rsidR="00654EEC" w:rsidRPr="00650F05">
        <w:rPr>
          <w:rFonts w:ascii="Tahoma" w:hAnsi="Tahoma"/>
        </w:rPr>
        <w:t>Although, Froehlich et al. (2015)</w:t>
      </w:r>
      <w:r w:rsidR="00DA5B4B" w:rsidRPr="00650F05">
        <w:rPr>
          <w:rFonts w:ascii="Tahoma" w:hAnsi="Tahoma"/>
        </w:rPr>
        <w:t xml:space="preserve"> issues a </w:t>
      </w:r>
      <w:r w:rsidR="00DA5B4B" w:rsidRPr="00650F05">
        <w:rPr>
          <w:rFonts w:ascii="Tahoma" w:hAnsi="Tahoma"/>
        </w:rPr>
        <w:lastRenderedPageBreak/>
        <w:t>warning surrounding age</w:t>
      </w:r>
      <w:r w:rsidR="000E6621" w:rsidRPr="00650F05">
        <w:rPr>
          <w:rFonts w:ascii="Tahoma" w:hAnsi="Tahoma"/>
        </w:rPr>
        <w:t xml:space="preserve">, adding that caution is needed when interpreting data because age is </w:t>
      </w:r>
      <w:r w:rsidR="004742B1" w:rsidRPr="00650F05">
        <w:rPr>
          <w:rFonts w:ascii="Tahoma" w:hAnsi="Tahoma"/>
        </w:rPr>
        <w:t xml:space="preserve">a variable that is </w:t>
      </w:r>
      <w:r w:rsidR="00707F91" w:rsidRPr="00650F05">
        <w:rPr>
          <w:rFonts w:ascii="Tahoma" w:hAnsi="Tahoma"/>
        </w:rPr>
        <w:t>“</w:t>
      </w:r>
      <w:r w:rsidR="004742B1" w:rsidRPr="00650F05">
        <w:rPr>
          <w:rFonts w:ascii="Tahoma" w:hAnsi="Tahoma"/>
        </w:rPr>
        <w:t>difficult to disentangle from other variables related to developmental changes</w:t>
      </w:r>
      <w:r w:rsidR="00707F91" w:rsidRPr="00650F05">
        <w:rPr>
          <w:rFonts w:ascii="Tahoma" w:hAnsi="Tahoma"/>
        </w:rPr>
        <w:t>”</w:t>
      </w:r>
      <w:r w:rsidR="009B42DC" w:rsidRPr="00650F05">
        <w:rPr>
          <w:rFonts w:ascii="Tahoma" w:hAnsi="Tahoma"/>
        </w:rPr>
        <w:t xml:space="preserve"> (Garcia-Aracil </w:t>
      </w:r>
      <w:r w:rsidR="009B42DC" w:rsidRPr="002B4276">
        <w:rPr>
          <w:rFonts w:ascii="Tahoma" w:hAnsi="Tahoma"/>
          <w:i/>
          <w:iCs/>
        </w:rPr>
        <w:t>et al.,</w:t>
      </w:r>
      <w:r w:rsidR="009B42DC" w:rsidRPr="00650F05">
        <w:rPr>
          <w:rFonts w:ascii="Tahoma" w:hAnsi="Tahoma"/>
        </w:rPr>
        <w:t xml:space="preserve"> 2018</w:t>
      </w:r>
      <w:r w:rsidR="00FD2EF6" w:rsidRPr="00650F05">
        <w:rPr>
          <w:rFonts w:ascii="Tahoma" w:hAnsi="Tahoma"/>
        </w:rPr>
        <w:t>, p.9</w:t>
      </w:r>
      <w:r w:rsidR="009B42DC" w:rsidRPr="00650F05">
        <w:rPr>
          <w:rFonts w:ascii="Tahoma" w:hAnsi="Tahoma"/>
        </w:rPr>
        <w:t>)</w:t>
      </w:r>
      <w:r w:rsidR="004742B1" w:rsidRPr="00650F05">
        <w:rPr>
          <w:rFonts w:ascii="Tahoma" w:hAnsi="Tahoma"/>
        </w:rPr>
        <w:t>.</w:t>
      </w:r>
    </w:p>
    <w:p w14:paraId="34281935" w14:textId="2A822290" w:rsidR="00BF261B" w:rsidRPr="00650F05" w:rsidRDefault="00BF261B" w:rsidP="0031618C">
      <w:pPr>
        <w:spacing w:line="480" w:lineRule="auto"/>
        <w:jc w:val="both"/>
        <w:rPr>
          <w:rFonts w:ascii="Tahoma" w:hAnsi="Tahoma"/>
        </w:rPr>
      </w:pPr>
      <w:r w:rsidRPr="00650F05">
        <w:rPr>
          <w:rFonts w:ascii="Tahoma" w:hAnsi="Tahoma"/>
        </w:rPr>
        <w:t>Most of t</w:t>
      </w:r>
      <w:r w:rsidR="0028735E" w:rsidRPr="00650F05">
        <w:rPr>
          <w:rFonts w:ascii="Tahoma" w:hAnsi="Tahoma"/>
        </w:rPr>
        <w:t xml:space="preserve">he participants </w:t>
      </w:r>
      <w:r w:rsidR="00002401" w:rsidRPr="00650F05">
        <w:rPr>
          <w:rFonts w:ascii="Tahoma" w:hAnsi="Tahoma"/>
        </w:rPr>
        <w:t>were</w:t>
      </w:r>
      <w:r w:rsidR="00790246" w:rsidRPr="00650F05">
        <w:rPr>
          <w:rFonts w:ascii="Tahoma" w:hAnsi="Tahoma"/>
        </w:rPr>
        <w:t xml:space="preserve"> aware of a competitive labour </w:t>
      </w:r>
      <w:r w:rsidR="00FE4BD1" w:rsidRPr="00650F05">
        <w:rPr>
          <w:rFonts w:ascii="Tahoma" w:hAnsi="Tahoma"/>
        </w:rPr>
        <w:t>market</w:t>
      </w:r>
      <w:r w:rsidR="00790246" w:rsidRPr="00650F05">
        <w:rPr>
          <w:rFonts w:ascii="Tahoma" w:hAnsi="Tahoma"/>
        </w:rPr>
        <w:t xml:space="preserve"> in </w:t>
      </w:r>
      <w:r w:rsidR="00EC6726" w:rsidRPr="00650F05">
        <w:rPr>
          <w:rFonts w:ascii="Tahoma" w:hAnsi="Tahoma"/>
        </w:rPr>
        <w:t xml:space="preserve">Stoke on Trent </w:t>
      </w:r>
      <w:r w:rsidR="007815CF" w:rsidRPr="00650F05">
        <w:rPr>
          <w:rFonts w:ascii="Tahoma" w:hAnsi="Tahoma"/>
        </w:rPr>
        <w:t xml:space="preserve">and </w:t>
      </w:r>
      <w:r w:rsidR="00002401" w:rsidRPr="00650F05">
        <w:rPr>
          <w:rFonts w:ascii="Tahoma" w:hAnsi="Tahoma"/>
        </w:rPr>
        <w:t>wanted</w:t>
      </w:r>
      <w:r w:rsidR="007815CF" w:rsidRPr="00650F05">
        <w:rPr>
          <w:rFonts w:ascii="Tahoma" w:hAnsi="Tahoma"/>
        </w:rPr>
        <w:t xml:space="preserve"> to improve their knowledge, skills and understanding </w:t>
      </w:r>
      <w:r w:rsidRPr="00650F05">
        <w:rPr>
          <w:rFonts w:ascii="Tahoma" w:hAnsi="Tahoma"/>
        </w:rPr>
        <w:t xml:space="preserve">to ensure that they could prosper from </w:t>
      </w:r>
      <w:r w:rsidR="003E455B" w:rsidRPr="00650F05">
        <w:rPr>
          <w:rFonts w:ascii="Tahoma" w:hAnsi="Tahoma"/>
        </w:rPr>
        <w:t xml:space="preserve">local </w:t>
      </w:r>
      <w:r w:rsidR="00455113" w:rsidRPr="00650F05">
        <w:rPr>
          <w:rFonts w:ascii="Tahoma" w:hAnsi="Tahoma"/>
        </w:rPr>
        <w:t xml:space="preserve">employment </w:t>
      </w:r>
      <w:r w:rsidR="00AB33C8" w:rsidRPr="00650F05">
        <w:rPr>
          <w:rFonts w:ascii="Tahoma" w:hAnsi="Tahoma"/>
        </w:rPr>
        <w:t>opportunities</w:t>
      </w:r>
      <w:r w:rsidR="00AB33C8">
        <w:rPr>
          <w:rFonts w:ascii="Tahoma" w:hAnsi="Tahoma"/>
        </w:rPr>
        <w:t xml:space="preserve"> or</w:t>
      </w:r>
      <w:r w:rsidR="00A55D33" w:rsidRPr="00650F05">
        <w:rPr>
          <w:rFonts w:ascii="Tahoma" w:hAnsi="Tahoma"/>
        </w:rPr>
        <w:t xml:space="preserve"> move further afield for work</w:t>
      </w:r>
      <w:r w:rsidRPr="00650F05">
        <w:rPr>
          <w:rFonts w:ascii="Tahoma" w:hAnsi="Tahoma"/>
        </w:rPr>
        <w:t xml:space="preserve">. </w:t>
      </w:r>
      <w:r w:rsidR="00D750D4" w:rsidRPr="00650F05">
        <w:rPr>
          <w:rFonts w:ascii="Tahoma" w:hAnsi="Tahoma"/>
        </w:rPr>
        <w:t>Participants</w:t>
      </w:r>
      <w:r w:rsidR="00FE4BD1" w:rsidRPr="00650F05">
        <w:rPr>
          <w:rFonts w:ascii="Tahoma" w:hAnsi="Tahoma"/>
        </w:rPr>
        <w:t xml:space="preserve"> noted,</w:t>
      </w:r>
    </w:p>
    <w:p w14:paraId="257A9543" w14:textId="602A6FC4" w:rsidR="00BA4634" w:rsidRPr="00650F05" w:rsidRDefault="00BA4634" w:rsidP="0031618C">
      <w:pPr>
        <w:spacing w:line="480" w:lineRule="auto"/>
        <w:jc w:val="both"/>
        <w:rPr>
          <w:rFonts w:ascii="Tahoma" w:hAnsi="Tahoma"/>
        </w:rPr>
      </w:pPr>
    </w:p>
    <w:p w14:paraId="6835A497" w14:textId="0D15A1F7" w:rsidR="00BA4634" w:rsidRPr="00650F05" w:rsidRDefault="00BA4634" w:rsidP="00BA4634">
      <w:pPr>
        <w:spacing w:line="240" w:lineRule="auto"/>
        <w:ind w:left="567" w:right="521"/>
        <w:jc w:val="both"/>
        <w:rPr>
          <w:rFonts w:ascii="Tahoma" w:hAnsi="Tahoma"/>
        </w:rPr>
      </w:pPr>
      <w:r w:rsidRPr="00650F05">
        <w:rPr>
          <w:rFonts w:ascii="Tahoma" w:hAnsi="Tahoma"/>
        </w:rPr>
        <w:t>“</w:t>
      </w:r>
      <w:r w:rsidR="00F92A5D" w:rsidRPr="00650F05">
        <w:rPr>
          <w:rFonts w:ascii="Tahoma" w:hAnsi="Tahoma"/>
        </w:rPr>
        <w:t>… it is a competitive environment… nobody just gives you a job</w:t>
      </w:r>
      <w:r w:rsidR="002E638E" w:rsidRPr="00650F05">
        <w:rPr>
          <w:rFonts w:ascii="Tahoma" w:hAnsi="Tahoma"/>
        </w:rPr>
        <w:t xml:space="preserve">. … </w:t>
      </w:r>
      <w:r w:rsidR="00C13FCE" w:rsidRPr="00650F05">
        <w:rPr>
          <w:rFonts w:ascii="Tahoma" w:hAnsi="Tahoma"/>
        </w:rPr>
        <w:t>y</w:t>
      </w:r>
      <w:r w:rsidR="002E638E" w:rsidRPr="00650F05">
        <w:rPr>
          <w:rFonts w:ascii="Tahoma" w:hAnsi="Tahoma"/>
        </w:rPr>
        <w:t xml:space="preserve">ou have to ensure that you are prepared as much as possible for when we graduate and </w:t>
      </w:r>
      <w:r w:rsidR="00C13FCE" w:rsidRPr="00650F05">
        <w:rPr>
          <w:rFonts w:ascii="Tahoma" w:hAnsi="Tahoma"/>
        </w:rPr>
        <w:t>have to find a job</w:t>
      </w:r>
      <w:r w:rsidR="00584598" w:rsidRPr="00650F05">
        <w:rPr>
          <w:rFonts w:ascii="Tahoma" w:hAnsi="Tahoma"/>
        </w:rPr>
        <w:t xml:space="preserve">. … I did this course </w:t>
      </w:r>
      <w:r w:rsidR="00034B92" w:rsidRPr="00650F05">
        <w:rPr>
          <w:rFonts w:ascii="Tahoma" w:hAnsi="Tahoma"/>
        </w:rPr>
        <w:t>to have better [job] prospects</w:t>
      </w:r>
      <w:r w:rsidRPr="00650F05">
        <w:rPr>
          <w:rFonts w:ascii="Tahoma" w:hAnsi="Tahoma"/>
        </w:rPr>
        <w:t>”.</w:t>
      </w:r>
    </w:p>
    <w:p w14:paraId="6CF830B6" w14:textId="77777777" w:rsidR="00BA4634" w:rsidRPr="00650F05" w:rsidRDefault="00BA4634" w:rsidP="00BA4634">
      <w:pPr>
        <w:spacing w:line="480" w:lineRule="auto"/>
        <w:jc w:val="both"/>
        <w:rPr>
          <w:rFonts w:ascii="Tahoma" w:hAnsi="Tahoma"/>
        </w:rPr>
      </w:pPr>
    </w:p>
    <w:p w14:paraId="087199A0" w14:textId="29DAB3DA" w:rsidR="00BA4634" w:rsidRPr="00650F05" w:rsidRDefault="00BA4634" w:rsidP="004A6C18">
      <w:pPr>
        <w:spacing w:line="240" w:lineRule="auto"/>
        <w:ind w:left="567" w:right="521"/>
        <w:jc w:val="both"/>
        <w:rPr>
          <w:rFonts w:ascii="Tahoma" w:hAnsi="Tahoma"/>
        </w:rPr>
      </w:pPr>
      <w:r w:rsidRPr="00650F05">
        <w:rPr>
          <w:rFonts w:ascii="Tahoma" w:hAnsi="Tahoma"/>
        </w:rPr>
        <w:t>“</w:t>
      </w:r>
      <w:r w:rsidR="00BD0D3A" w:rsidRPr="00650F05">
        <w:rPr>
          <w:rFonts w:ascii="Tahoma" w:hAnsi="Tahoma"/>
        </w:rPr>
        <w:t xml:space="preserve">I may not stick around here </w:t>
      </w:r>
      <w:r w:rsidR="008F1131" w:rsidRPr="00650F05">
        <w:rPr>
          <w:rFonts w:ascii="Tahoma" w:hAnsi="Tahoma"/>
        </w:rPr>
        <w:t xml:space="preserve">when I graduate. I’ll go wherever a job takes me- if it looks interesting, </w:t>
      </w:r>
      <w:r w:rsidR="004A6C18" w:rsidRPr="00650F05">
        <w:rPr>
          <w:rFonts w:ascii="Tahoma" w:hAnsi="Tahoma"/>
        </w:rPr>
        <w:t>I’ll apply</w:t>
      </w:r>
      <w:r w:rsidR="00122E58" w:rsidRPr="00650F05">
        <w:rPr>
          <w:rFonts w:ascii="Tahoma" w:hAnsi="Tahoma"/>
        </w:rPr>
        <w:t>. I’m competing against everybody else who did my course this year, last year</w:t>
      </w:r>
      <w:r w:rsidR="00380E7F" w:rsidRPr="00650F05">
        <w:rPr>
          <w:rFonts w:ascii="Tahoma" w:hAnsi="Tahoma"/>
        </w:rPr>
        <w:t>…</w:t>
      </w:r>
      <w:r w:rsidRPr="00650F05">
        <w:rPr>
          <w:rFonts w:ascii="Tahoma" w:hAnsi="Tahoma"/>
        </w:rPr>
        <w:t>”.</w:t>
      </w:r>
    </w:p>
    <w:p w14:paraId="318D55DB" w14:textId="77777777" w:rsidR="00380E7F" w:rsidRPr="00650F05" w:rsidRDefault="00380E7F" w:rsidP="00380E7F">
      <w:pPr>
        <w:spacing w:line="480" w:lineRule="auto"/>
        <w:jc w:val="both"/>
        <w:rPr>
          <w:rFonts w:ascii="Tahoma" w:hAnsi="Tahoma"/>
        </w:rPr>
      </w:pPr>
    </w:p>
    <w:p w14:paraId="43256DE1" w14:textId="5102B1F5" w:rsidR="00E01E29" w:rsidRPr="00650F05" w:rsidRDefault="005B79C9" w:rsidP="0031618C">
      <w:pPr>
        <w:spacing w:line="480" w:lineRule="auto"/>
        <w:jc w:val="both"/>
        <w:rPr>
          <w:rFonts w:ascii="Tahoma" w:hAnsi="Tahoma"/>
        </w:rPr>
      </w:pPr>
      <w:r w:rsidRPr="00650F05">
        <w:rPr>
          <w:rFonts w:ascii="Tahoma" w:hAnsi="Tahoma"/>
        </w:rPr>
        <w:t xml:space="preserve">Students require both industry knowledge and experience to </w:t>
      </w:r>
      <w:r w:rsidR="00123414" w:rsidRPr="00650F05">
        <w:rPr>
          <w:rFonts w:ascii="Tahoma" w:hAnsi="Tahoma"/>
        </w:rPr>
        <w:t xml:space="preserve">fully </w:t>
      </w:r>
      <w:r w:rsidRPr="00650F05">
        <w:rPr>
          <w:rFonts w:ascii="Tahoma" w:hAnsi="Tahoma"/>
        </w:rPr>
        <w:t xml:space="preserve">prepare for their future careers </w:t>
      </w:r>
      <w:r w:rsidR="00123414" w:rsidRPr="00650F05">
        <w:rPr>
          <w:rFonts w:ascii="Tahoma" w:hAnsi="Tahoma"/>
        </w:rPr>
        <w:t>(Muñiz and Eimerbrink, 2018). H</w:t>
      </w:r>
      <w:r w:rsidR="00C631F4" w:rsidRPr="00650F05">
        <w:rPr>
          <w:rFonts w:ascii="Tahoma" w:hAnsi="Tahoma"/>
        </w:rPr>
        <w:t xml:space="preserve">ighlighting the role that universities have in </w:t>
      </w:r>
      <w:r w:rsidR="009B33D4" w:rsidRPr="00650F05">
        <w:rPr>
          <w:rFonts w:ascii="Tahoma" w:hAnsi="Tahoma"/>
        </w:rPr>
        <w:t>building confidence</w:t>
      </w:r>
      <w:r w:rsidR="00DB7315" w:rsidRPr="00650F05">
        <w:rPr>
          <w:rFonts w:ascii="Tahoma" w:hAnsi="Tahoma"/>
        </w:rPr>
        <w:t>,</w:t>
      </w:r>
      <w:r w:rsidR="009B33D4" w:rsidRPr="00650F05">
        <w:rPr>
          <w:rFonts w:ascii="Tahoma" w:hAnsi="Tahoma"/>
        </w:rPr>
        <w:t xml:space="preserve"> self-efficacy </w:t>
      </w:r>
      <w:r w:rsidR="00DB7315" w:rsidRPr="00650F05">
        <w:rPr>
          <w:rFonts w:ascii="Tahoma" w:hAnsi="Tahoma"/>
        </w:rPr>
        <w:t>and ultimately</w:t>
      </w:r>
      <w:r w:rsidR="009B33D4" w:rsidRPr="00650F05">
        <w:rPr>
          <w:rFonts w:ascii="Tahoma" w:hAnsi="Tahoma"/>
        </w:rPr>
        <w:t xml:space="preserve"> career readiness</w:t>
      </w:r>
      <w:r w:rsidR="009026AF" w:rsidRPr="00650F05">
        <w:rPr>
          <w:rFonts w:ascii="Tahoma" w:hAnsi="Tahoma"/>
        </w:rPr>
        <w:t>.</w:t>
      </w:r>
      <w:r w:rsidR="00A63534" w:rsidRPr="00650F05">
        <w:rPr>
          <w:rFonts w:ascii="Tahoma" w:hAnsi="Tahoma"/>
        </w:rPr>
        <w:t xml:space="preserve"> </w:t>
      </w:r>
      <w:r w:rsidR="00123414" w:rsidRPr="00650F05">
        <w:rPr>
          <w:rFonts w:ascii="Tahoma" w:hAnsi="Tahoma"/>
        </w:rPr>
        <w:t>S</w:t>
      </w:r>
      <w:r w:rsidR="00AB211A" w:rsidRPr="00650F05">
        <w:rPr>
          <w:rFonts w:ascii="Tahoma" w:hAnsi="Tahoma"/>
        </w:rPr>
        <w:t xml:space="preserve">tudents </w:t>
      </w:r>
      <w:r w:rsidR="00F827F1" w:rsidRPr="00650F05">
        <w:rPr>
          <w:rFonts w:ascii="Tahoma" w:hAnsi="Tahoma"/>
        </w:rPr>
        <w:t>f</w:t>
      </w:r>
      <w:r w:rsidR="00FE4385" w:rsidRPr="00650F05">
        <w:rPr>
          <w:rFonts w:ascii="Tahoma" w:hAnsi="Tahoma"/>
        </w:rPr>
        <w:t>ro</w:t>
      </w:r>
      <w:r w:rsidR="00F827F1" w:rsidRPr="00650F05">
        <w:rPr>
          <w:rFonts w:ascii="Tahoma" w:hAnsi="Tahoma"/>
        </w:rPr>
        <w:t xml:space="preserve">m non-traditional backgrounds </w:t>
      </w:r>
      <w:r w:rsidR="00AB211A" w:rsidRPr="00650F05">
        <w:rPr>
          <w:rFonts w:ascii="Tahoma" w:hAnsi="Tahoma"/>
        </w:rPr>
        <w:t>view universit</w:t>
      </w:r>
      <w:r w:rsidR="00FE4385" w:rsidRPr="00650F05">
        <w:rPr>
          <w:rFonts w:ascii="Tahoma" w:hAnsi="Tahoma"/>
        </w:rPr>
        <w:t>y</w:t>
      </w:r>
      <w:r w:rsidR="00AB211A" w:rsidRPr="00650F05">
        <w:rPr>
          <w:rFonts w:ascii="Tahoma" w:hAnsi="Tahoma"/>
        </w:rPr>
        <w:t xml:space="preserve"> </w:t>
      </w:r>
      <w:r w:rsidR="00E01E29" w:rsidRPr="00650F05">
        <w:rPr>
          <w:rFonts w:ascii="Tahoma" w:hAnsi="Tahoma"/>
        </w:rPr>
        <w:t>as</w:t>
      </w:r>
      <w:r w:rsidR="00FE4385" w:rsidRPr="00650F05">
        <w:rPr>
          <w:rFonts w:ascii="Tahoma" w:hAnsi="Tahoma"/>
        </w:rPr>
        <w:t xml:space="preserve"> </w:t>
      </w:r>
      <w:r w:rsidR="00980524" w:rsidRPr="00650F05">
        <w:rPr>
          <w:rFonts w:ascii="Tahoma" w:hAnsi="Tahoma"/>
        </w:rPr>
        <w:t xml:space="preserve">a </w:t>
      </w:r>
      <w:r w:rsidR="00BD5CDC" w:rsidRPr="00650F05">
        <w:rPr>
          <w:rFonts w:ascii="Tahoma" w:hAnsi="Tahoma"/>
        </w:rPr>
        <w:t xml:space="preserve">functional platform to develop </w:t>
      </w:r>
      <w:r w:rsidR="00AF2A99" w:rsidRPr="00650F05">
        <w:rPr>
          <w:rFonts w:ascii="Tahoma" w:hAnsi="Tahoma"/>
        </w:rPr>
        <w:t>the necessary</w:t>
      </w:r>
      <w:r w:rsidR="00E01E29" w:rsidRPr="00650F05">
        <w:rPr>
          <w:rFonts w:ascii="Tahoma" w:hAnsi="Tahoma"/>
        </w:rPr>
        <w:t xml:space="preserve"> knowledge and experience</w:t>
      </w:r>
      <w:r w:rsidR="00BD5CDC" w:rsidRPr="00650F05">
        <w:rPr>
          <w:rFonts w:ascii="Tahoma" w:hAnsi="Tahoma"/>
        </w:rPr>
        <w:t>,</w:t>
      </w:r>
      <w:r w:rsidR="00E01E29" w:rsidRPr="00650F05">
        <w:rPr>
          <w:rFonts w:ascii="Tahoma" w:hAnsi="Tahoma"/>
        </w:rPr>
        <w:t xml:space="preserve"> </w:t>
      </w:r>
      <w:r w:rsidR="00BD5CDC" w:rsidRPr="00650F05">
        <w:rPr>
          <w:rFonts w:ascii="Tahoma" w:hAnsi="Tahoma"/>
        </w:rPr>
        <w:t xml:space="preserve">preparing </w:t>
      </w:r>
      <w:r w:rsidR="00E01E29" w:rsidRPr="00650F05">
        <w:rPr>
          <w:rFonts w:ascii="Tahoma" w:hAnsi="Tahoma"/>
        </w:rPr>
        <w:t>them for their future careers</w:t>
      </w:r>
      <w:r w:rsidR="00696648" w:rsidRPr="00650F05">
        <w:rPr>
          <w:rFonts w:ascii="Tahoma" w:hAnsi="Tahoma"/>
        </w:rPr>
        <w:t xml:space="preserve"> in industry</w:t>
      </w:r>
      <w:r w:rsidR="00E01E29" w:rsidRPr="00650F05">
        <w:rPr>
          <w:rFonts w:ascii="Tahoma" w:hAnsi="Tahoma"/>
        </w:rPr>
        <w:t xml:space="preserve">, </w:t>
      </w:r>
      <w:r w:rsidR="0014164F" w:rsidRPr="00650F05">
        <w:rPr>
          <w:rFonts w:ascii="Tahoma" w:hAnsi="Tahoma"/>
        </w:rPr>
        <w:t>which only reinforces</w:t>
      </w:r>
      <w:r w:rsidR="00E01E29" w:rsidRPr="00650F05">
        <w:rPr>
          <w:rFonts w:ascii="Tahoma" w:hAnsi="Tahoma"/>
        </w:rPr>
        <w:t xml:space="preserve"> the crucial role HEI’s </w:t>
      </w:r>
      <w:r w:rsidR="00AF6F4F" w:rsidRPr="00650F05">
        <w:rPr>
          <w:rFonts w:ascii="Tahoma" w:hAnsi="Tahoma"/>
        </w:rPr>
        <w:t>have</w:t>
      </w:r>
      <w:r w:rsidR="00E01E29" w:rsidRPr="00650F05">
        <w:rPr>
          <w:rFonts w:ascii="Tahoma" w:hAnsi="Tahoma"/>
        </w:rPr>
        <w:t xml:space="preserve"> in </w:t>
      </w:r>
      <w:r w:rsidR="00696648" w:rsidRPr="00650F05">
        <w:rPr>
          <w:rFonts w:ascii="Tahoma" w:hAnsi="Tahoma"/>
        </w:rPr>
        <w:t>c</w:t>
      </w:r>
      <w:r w:rsidR="00E01E29" w:rsidRPr="00650F05">
        <w:rPr>
          <w:rFonts w:ascii="Tahoma" w:hAnsi="Tahoma"/>
        </w:rPr>
        <w:t>areer readiness</w:t>
      </w:r>
      <w:r w:rsidR="00AF2A99" w:rsidRPr="00650F05">
        <w:rPr>
          <w:rFonts w:ascii="Tahoma" w:hAnsi="Tahoma"/>
        </w:rPr>
        <w:t>.</w:t>
      </w:r>
    </w:p>
    <w:p w14:paraId="6D44E23F" w14:textId="1EC763B0" w:rsidR="00F21A20" w:rsidRPr="00650F05" w:rsidRDefault="00DD0F5D" w:rsidP="0031618C">
      <w:pPr>
        <w:spacing w:line="480" w:lineRule="auto"/>
        <w:jc w:val="both"/>
        <w:rPr>
          <w:rFonts w:ascii="Tahoma" w:hAnsi="Tahoma"/>
        </w:rPr>
      </w:pPr>
      <w:r>
        <w:rPr>
          <w:rFonts w:ascii="Tahoma" w:hAnsi="Tahoma"/>
        </w:rPr>
        <w:t>P</w:t>
      </w:r>
      <w:r w:rsidR="00FF45AD" w:rsidRPr="00650F05">
        <w:rPr>
          <w:rFonts w:ascii="Tahoma" w:hAnsi="Tahoma"/>
        </w:rPr>
        <w:t xml:space="preserve">eople are increasingly required to complete higher levels of education to compete in a </w:t>
      </w:r>
      <w:r w:rsidR="00B04A5F">
        <w:rPr>
          <w:rFonts w:ascii="Tahoma" w:hAnsi="Tahoma"/>
        </w:rPr>
        <w:t>dynamic</w:t>
      </w:r>
      <w:r w:rsidR="00FF45AD" w:rsidRPr="00650F05">
        <w:rPr>
          <w:rFonts w:ascii="Tahoma" w:hAnsi="Tahoma"/>
        </w:rPr>
        <w:t xml:space="preserve"> labour market (</w:t>
      </w:r>
      <w:r w:rsidR="0079300B" w:rsidRPr="00650F05">
        <w:rPr>
          <w:rFonts w:ascii="Tahoma" w:hAnsi="Tahoma"/>
        </w:rPr>
        <w:t>Ashton and Bynner 2011</w:t>
      </w:r>
      <w:r w:rsidR="0079300B">
        <w:rPr>
          <w:rFonts w:ascii="Tahoma" w:hAnsi="Tahoma"/>
        </w:rPr>
        <w:t xml:space="preserve">; </w:t>
      </w:r>
      <w:r w:rsidR="00FF45AD" w:rsidRPr="00650F05">
        <w:rPr>
          <w:rFonts w:ascii="Tahoma" w:hAnsi="Tahoma"/>
        </w:rPr>
        <w:t xml:space="preserve">Blossfeld </w:t>
      </w:r>
      <w:r w:rsidR="00FF45AD" w:rsidRPr="002B4276">
        <w:rPr>
          <w:rFonts w:ascii="Tahoma" w:hAnsi="Tahoma"/>
          <w:i/>
          <w:iCs/>
        </w:rPr>
        <w:t>et al</w:t>
      </w:r>
      <w:r w:rsidR="00D51CCF" w:rsidRPr="002B4276">
        <w:rPr>
          <w:rFonts w:ascii="Tahoma" w:hAnsi="Tahoma"/>
          <w:i/>
          <w:iCs/>
        </w:rPr>
        <w:t>.</w:t>
      </w:r>
      <w:r w:rsidR="00FF45AD" w:rsidRPr="002B4276">
        <w:rPr>
          <w:rFonts w:ascii="Tahoma" w:hAnsi="Tahoma"/>
          <w:i/>
          <w:iCs/>
        </w:rPr>
        <w:t>,</w:t>
      </w:r>
      <w:r w:rsidR="00FF45AD" w:rsidRPr="00650F05">
        <w:rPr>
          <w:rFonts w:ascii="Tahoma" w:hAnsi="Tahoma"/>
        </w:rPr>
        <w:t xml:space="preserve"> 2005; Settersten </w:t>
      </w:r>
      <w:r w:rsidR="00FF45AD" w:rsidRPr="002B4276">
        <w:rPr>
          <w:rFonts w:ascii="Tahoma" w:hAnsi="Tahoma"/>
          <w:i/>
          <w:iCs/>
        </w:rPr>
        <w:t>et al</w:t>
      </w:r>
      <w:r w:rsidR="008C179D" w:rsidRPr="002B4276">
        <w:rPr>
          <w:rFonts w:ascii="Tahoma" w:hAnsi="Tahoma"/>
          <w:i/>
          <w:iCs/>
        </w:rPr>
        <w:t>.</w:t>
      </w:r>
      <w:r w:rsidR="00FF45AD" w:rsidRPr="002B4276">
        <w:rPr>
          <w:rFonts w:ascii="Tahoma" w:hAnsi="Tahoma"/>
          <w:i/>
          <w:iCs/>
        </w:rPr>
        <w:t>,</w:t>
      </w:r>
      <w:r w:rsidR="00FF45AD" w:rsidRPr="00650F05">
        <w:rPr>
          <w:rFonts w:ascii="Tahoma" w:hAnsi="Tahoma"/>
        </w:rPr>
        <w:t xml:space="preserve"> 2015)</w:t>
      </w:r>
      <w:r w:rsidR="001309F3" w:rsidRPr="00650F05">
        <w:rPr>
          <w:rFonts w:ascii="Tahoma" w:hAnsi="Tahoma"/>
        </w:rPr>
        <w:t>, a</w:t>
      </w:r>
      <w:r w:rsidR="00B907E6" w:rsidRPr="00650F05">
        <w:rPr>
          <w:rFonts w:ascii="Tahoma" w:hAnsi="Tahoma"/>
        </w:rPr>
        <w:t>dding</w:t>
      </w:r>
      <w:r w:rsidR="00AF620B" w:rsidRPr="00650F05">
        <w:rPr>
          <w:rFonts w:ascii="Tahoma" w:hAnsi="Tahoma"/>
        </w:rPr>
        <w:t xml:space="preserve"> </w:t>
      </w:r>
      <w:r w:rsidR="005E561C" w:rsidRPr="00650F05">
        <w:rPr>
          <w:rFonts w:ascii="Tahoma" w:hAnsi="Tahoma"/>
        </w:rPr>
        <w:t xml:space="preserve">weight to the notion </w:t>
      </w:r>
      <w:r w:rsidR="002C569A" w:rsidRPr="00650F05">
        <w:rPr>
          <w:rFonts w:ascii="Tahoma" w:hAnsi="Tahoma"/>
        </w:rPr>
        <w:t xml:space="preserve">that </w:t>
      </w:r>
      <w:r w:rsidR="00AF620B" w:rsidRPr="00650F05">
        <w:rPr>
          <w:rFonts w:ascii="Tahoma" w:hAnsi="Tahoma"/>
        </w:rPr>
        <w:t xml:space="preserve">HE </w:t>
      </w:r>
      <w:r w:rsidR="002C569A" w:rsidRPr="00650F05">
        <w:rPr>
          <w:rFonts w:ascii="Tahoma" w:hAnsi="Tahoma"/>
        </w:rPr>
        <w:t>is</w:t>
      </w:r>
      <w:r w:rsidR="004A0408" w:rsidRPr="00650F05">
        <w:rPr>
          <w:rFonts w:ascii="Tahoma" w:hAnsi="Tahoma"/>
        </w:rPr>
        <w:t xml:space="preserve"> no longer seen as</w:t>
      </w:r>
      <w:r w:rsidR="002C569A" w:rsidRPr="00650F05">
        <w:rPr>
          <w:rFonts w:ascii="Tahoma" w:hAnsi="Tahoma"/>
        </w:rPr>
        <w:t xml:space="preserve"> </w:t>
      </w:r>
      <w:r w:rsidR="001B5553" w:rsidRPr="00650F05">
        <w:rPr>
          <w:rFonts w:ascii="Tahoma" w:hAnsi="Tahoma"/>
        </w:rPr>
        <w:t>a luxury</w:t>
      </w:r>
      <w:r w:rsidR="002C569A" w:rsidRPr="00650F05">
        <w:rPr>
          <w:rFonts w:ascii="Tahoma" w:hAnsi="Tahoma"/>
        </w:rPr>
        <w:t xml:space="preserve"> </w:t>
      </w:r>
      <w:r w:rsidR="007F588C" w:rsidRPr="00650F05">
        <w:rPr>
          <w:rFonts w:ascii="Tahoma" w:hAnsi="Tahoma"/>
        </w:rPr>
        <w:t>(Schoon and Bynner, 2019)</w:t>
      </w:r>
      <w:r w:rsidR="00DF78AB" w:rsidRPr="00650F05">
        <w:rPr>
          <w:rFonts w:ascii="Tahoma" w:hAnsi="Tahoma"/>
        </w:rPr>
        <w:t>.</w:t>
      </w:r>
      <w:r w:rsidR="00543B6F" w:rsidRPr="00650F05">
        <w:rPr>
          <w:rFonts w:ascii="Tahoma" w:hAnsi="Tahoma"/>
        </w:rPr>
        <w:t xml:space="preserve"> </w:t>
      </w:r>
      <w:r w:rsidR="0054237F" w:rsidRPr="00650F05">
        <w:rPr>
          <w:rFonts w:ascii="Tahoma" w:hAnsi="Tahoma"/>
        </w:rPr>
        <w:t>Although</w:t>
      </w:r>
      <w:r w:rsidR="00060779" w:rsidRPr="00650F05">
        <w:rPr>
          <w:rFonts w:ascii="Tahoma" w:hAnsi="Tahoma"/>
        </w:rPr>
        <w:t xml:space="preserve">, </w:t>
      </w:r>
      <w:r w:rsidR="00764306" w:rsidRPr="00650F05">
        <w:rPr>
          <w:rFonts w:ascii="Tahoma" w:hAnsi="Tahoma"/>
        </w:rPr>
        <w:t xml:space="preserve">participants </w:t>
      </w:r>
      <w:r w:rsidR="00060779" w:rsidRPr="00650F05">
        <w:rPr>
          <w:rFonts w:ascii="Tahoma" w:hAnsi="Tahoma"/>
        </w:rPr>
        <w:t xml:space="preserve">from non-traditional backgrounds </w:t>
      </w:r>
      <w:r w:rsidR="0054237F" w:rsidRPr="00650F05">
        <w:rPr>
          <w:rFonts w:ascii="Tahoma" w:hAnsi="Tahoma"/>
        </w:rPr>
        <w:t xml:space="preserve">appear to view </w:t>
      </w:r>
      <w:r w:rsidR="006735C2" w:rsidRPr="00650F05">
        <w:rPr>
          <w:rFonts w:ascii="Tahoma" w:hAnsi="Tahoma"/>
        </w:rPr>
        <w:t>HE</w:t>
      </w:r>
      <w:r w:rsidR="00DF78AB" w:rsidRPr="00650F05">
        <w:rPr>
          <w:rFonts w:ascii="Tahoma" w:hAnsi="Tahoma"/>
        </w:rPr>
        <w:t xml:space="preserve"> </w:t>
      </w:r>
      <w:r w:rsidR="006735C2" w:rsidRPr="00650F05">
        <w:rPr>
          <w:rFonts w:ascii="Tahoma" w:hAnsi="Tahoma"/>
        </w:rPr>
        <w:t xml:space="preserve">as </w:t>
      </w:r>
      <w:r w:rsidR="001B5553" w:rsidRPr="00650F05">
        <w:rPr>
          <w:rFonts w:ascii="Tahoma" w:hAnsi="Tahoma"/>
        </w:rPr>
        <w:t xml:space="preserve">a </w:t>
      </w:r>
      <w:r w:rsidR="00543B6F" w:rsidRPr="00650F05">
        <w:rPr>
          <w:rFonts w:ascii="Tahoma" w:hAnsi="Tahoma"/>
        </w:rPr>
        <w:t xml:space="preserve">necessary vehicle </w:t>
      </w:r>
      <w:r w:rsidR="001B5553" w:rsidRPr="00650F05">
        <w:rPr>
          <w:rFonts w:ascii="Tahoma" w:hAnsi="Tahoma"/>
        </w:rPr>
        <w:t xml:space="preserve">for those who want a job </w:t>
      </w:r>
      <w:r w:rsidR="00543B6F" w:rsidRPr="00650F05">
        <w:rPr>
          <w:rFonts w:ascii="Tahoma" w:hAnsi="Tahoma"/>
        </w:rPr>
        <w:t>in industry</w:t>
      </w:r>
      <w:r w:rsidR="00F22119" w:rsidRPr="00650F05">
        <w:rPr>
          <w:rFonts w:ascii="Tahoma" w:hAnsi="Tahoma"/>
        </w:rPr>
        <w:t>,</w:t>
      </w:r>
      <w:r w:rsidR="00543B6F" w:rsidRPr="00650F05">
        <w:rPr>
          <w:rFonts w:ascii="Tahoma" w:hAnsi="Tahoma"/>
        </w:rPr>
        <w:t xml:space="preserve"> </w:t>
      </w:r>
      <w:r w:rsidR="001B5553" w:rsidRPr="00650F05">
        <w:rPr>
          <w:rFonts w:ascii="Tahoma" w:hAnsi="Tahoma"/>
        </w:rPr>
        <w:t>with decent pay and good prospects</w:t>
      </w:r>
      <w:r w:rsidR="00060779" w:rsidRPr="00650F05">
        <w:rPr>
          <w:rFonts w:ascii="Tahoma" w:hAnsi="Tahoma"/>
        </w:rPr>
        <w:t xml:space="preserve"> </w:t>
      </w:r>
      <w:r w:rsidR="0098430C" w:rsidRPr="00650F05">
        <w:rPr>
          <w:rFonts w:ascii="Tahoma" w:hAnsi="Tahoma"/>
        </w:rPr>
        <w:t>(</w:t>
      </w:r>
      <w:r w:rsidR="00D107D0" w:rsidRPr="00650F05">
        <w:rPr>
          <w:rFonts w:ascii="Tahoma" w:hAnsi="Tahoma"/>
        </w:rPr>
        <w:t xml:space="preserve">Gill, </w:t>
      </w:r>
      <w:r w:rsidR="009F7266" w:rsidRPr="00650F05">
        <w:rPr>
          <w:rFonts w:ascii="Tahoma" w:hAnsi="Tahoma"/>
        </w:rPr>
        <w:t>2017</w:t>
      </w:r>
      <w:r w:rsidR="00C62612">
        <w:rPr>
          <w:rFonts w:ascii="Tahoma" w:hAnsi="Tahoma"/>
        </w:rPr>
        <w:t>;</w:t>
      </w:r>
      <w:r w:rsidR="00DF5199" w:rsidRPr="00650F05">
        <w:rPr>
          <w:rFonts w:ascii="Tahoma" w:hAnsi="Tahoma"/>
        </w:rPr>
        <w:t xml:space="preserve"> 2019</w:t>
      </w:r>
      <w:r w:rsidR="00D107D0" w:rsidRPr="00650F05">
        <w:rPr>
          <w:rFonts w:ascii="Tahoma" w:hAnsi="Tahoma"/>
        </w:rPr>
        <w:t xml:space="preserve">; </w:t>
      </w:r>
      <w:r w:rsidR="0098430C" w:rsidRPr="00650F05">
        <w:rPr>
          <w:rFonts w:ascii="Tahoma" w:hAnsi="Tahoma"/>
        </w:rPr>
        <w:t xml:space="preserve">Blossfeld </w:t>
      </w:r>
      <w:r w:rsidR="0098430C" w:rsidRPr="00CF783E">
        <w:rPr>
          <w:rFonts w:ascii="Tahoma" w:hAnsi="Tahoma"/>
          <w:i/>
          <w:iCs/>
        </w:rPr>
        <w:t>et al</w:t>
      </w:r>
      <w:r w:rsidR="006735C2" w:rsidRPr="00CF783E">
        <w:rPr>
          <w:rFonts w:ascii="Tahoma" w:hAnsi="Tahoma"/>
          <w:i/>
          <w:iCs/>
        </w:rPr>
        <w:t>.</w:t>
      </w:r>
      <w:r w:rsidR="0098430C" w:rsidRPr="00CF783E">
        <w:rPr>
          <w:rFonts w:ascii="Tahoma" w:hAnsi="Tahoma"/>
          <w:i/>
          <w:iCs/>
        </w:rPr>
        <w:t>,</w:t>
      </w:r>
      <w:r w:rsidR="0098430C" w:rsidRPr="00650F05">
        <w:rPr>
          <w:rFonts w:ascii="Tahoma" w:hAnsi="Tahoma"/>
        </w:rPr>
        <w:t xml:space="preserve"> 2005)</w:t>
      </w:r>
      <w:r w:rsidR="006735C2" w:rsidRPr="00650F05">
        <w:rPr>
          <w:rFonts w:ascii="Tahoma" w:hAnsi="Tahoma"/>
        </w:rPr>
        <w:t>.</w:t>
      </w:r>
    </w:p>
    <w:p w14:paraId="02A5838B" w14:textId="2BD17DFB" w:rsidR="0014049D" w:rsidRPr="00650F05" w:rsidRDefault="009C3070" w:rsidP="00FC1CC4">
      <w:pPr>
        <w:spacing w:line="480" w:lineRule="auto"/>
        <w:jc w:val="both"/>
        <w:rPr>
          <w:rFonts w:ascii="Tahoma" w:hAnsi="Tahoma"/>
        </w:rPr>
      </w:pPr>
      <w:r w:rsidRPr="00650F05">
        <w:rPr>
          <w:rFonts w:ascii="Tahoma" w:hAnsi="Tahoma"/>
        </w:rPr>
        <w:lastRenderedPageBreak/>
        <w:t>HE is a</w:t>
      </w:r>
      <w:r w:rsidR="00F91A53" w:rsidRPr="00650F05">
        <w:rPr>
          <w:rFonts w:ascii="Tahoma" w:hAnsi="Tahoma"/>
        </w:rPr>
        <w:t xml:space="preserve"> free-market</w:t>
      </w:r>
      <w:r w:rsidR="004C34A0" w:rsidRPr="00650F05">
        <w:rPr>
          <w:rFonts w:ascii="Tahoma" w:hAnsi="Tahoma"/>
        </w:rPr>
        <w:t xml:space="preserve"> for individuals to choose their own path</w:t>
      </w:r>
      <w:r w:rsidR="00D03DCD" w:rsidRPr="00650F05">
        <w:rPr>
          <w:rFonts w:ascii="Tahoma" w:hAnsi="Tahoma"/>
        </w:rPr>
        <w:t xml:space="preserve">, </w:t>
      </w:r>
      <w:r w:rsidR="00E335CE" w:rsidRPr="00650F05">
        <w:rPr>
          <w:rFonts w:ascii="Tahoma" w:hAnsi="Tahoma"/>
        </w:rPr>
        <w:t xml:space="preserve">however, </w:t>
      </w:r>
      <w:r w:rsidR="00694505" w:rsidRPr="00650F05">
        <w:rPr>
          <w:rFonts w:ascii="Tahoma" w:hAnsi="Tahoma"/>
        </w:rPr>
        <w:t xml:space="preserve">there is </w:t>
      </w:r>
      <w:r w:rsidR="004C34A0" w:rsidRPr="00650F05">
        <w:rPr>
          <w:rFonts w:ascii="Tahoma" w:hAnsi="Tahoma"/>
        </w:rPr>
        <w:t xml:space="preserve">still </w:t>
      </w:r>
      <w:r w:rsidR="00694505" w:rsidRPr="00650F05">
        <w:rPr>
          <w:rFonts w:ascii="Tahoma" w:hAnsi="Tahoma"/>
        </w:rPr>
        <w:t xml:space="preserve">evidence of unequal access to educational and career opportunities based upon </w:t>
      </w:r>
      <w:r w:rsidR="0031618C" w:rsidRPr="00650F05">
        <w:rPr>
          <w:rFonts w:ascii="Tahoma" w:hAnsi="Tahoma"/>
        </w:rPr>
        <w:t xml:space="preserve">a </w:t>
      </w:r>
      <w:r w:rsidR="0034749F" w:rsidRPr="00650F05">
        <w:rPr>
          <w:rFonts w:ascii="Tahoma" w:hAnsi="Tahoma"/>
        </w:rPr>
        <w:t>person’s</w:t>
      </w:r>
      <w:r w:rsidR="0031618C" w:rsidRPr="00650F05">
        <w:rPr>
          <w:rFonts w:ascii="Tahoma" w:hAnsi="Tahoma"/>
        </w:rPr>
        <w:t xml:space="preserve"> background (</w:t>
      </w:r>
      <w:r w:rsidR="00D60729" w:rsidRPr="00650F05">
        <w:rPr>
          <w:rFonts w:ascii="Tahoma" w:hAnsi="Tahoma"/>
        </w:rPr>
        <w:t xml:space="preserve">Antonucci </w:t>
      </w:r>
      <w:r w:rsidR="00D60729" w:rsidRPr="00CF783E">
        <w:rPr>
          <w:rFonts w:ascii="Tahoma" w:hAnsi="Tahoma"/>
          <w:i/>
          <w:iCs/>
        </w:rPr>
        <w:t>et al.,</w:t>
      </w:r>
      <w:r w:rsidR="00D60729" w:rsidRPr="00650F05">
        <w:rPr>
          <w:rFonts w:ascii="Tahoma" w:hAnsi="Tahoma"/>
        </w:rPr>
        <w:t xml:space="preserve"> 2014</w:t>
      </w:r>
      <w:r w:rsidR="00DF5199" w:rsidRPr="00650F05">
        <w:rPr>
          <w:rFonts w:ascii="Tahoma" w:hAnsi="Tahoma"/>
        </w:rPr>
        <w:t>; Schoon and Lyons-Amos, 2016</w:t>
      </w:r>
      <w:r w:rsidR="00C62612">
        <w:rPr>
          <w:rFonts w:ascii="Tahoma" w:hAnsi="Tahoma"/>
        </w:rPr>
        <w:t>;</w:t>
      </w:r>
      <w:r w:rsidR="00DF5199" w:rsidRPr="00650F05">
        <w:rPr>
          <w:rFonts w:ascii="Tahoma" w:hAnsi="Tahoma"/>
        </w:rPr>
        <w:t xml:space="preserve"> 2017)</w:t>
      </w:r>
      <w:r w:rsidR="00E53482" w:rsidRPr="00650F05">
        <w:rPr>
          <w:rFonts w:ascii="Tahoma" w:hAnsi="Tahoma"/>
        </w:rPr>
        <w:t>.</w:t>
      </w:r>
      <w:r w:rsidR="004D50C6" w:rsidRPr="00650F05">
        <w:rPr>
          <w:rFonts w:ascii="Tahoma" w:hAnsi="Tahoma"/>
        </w:rPr>
        <w:t xml:space="preserve"> </w:t>
      </w:r>
      <w:r w:rsidR="00E53482" w:rsidRPr="00650F05">
        <w:rPr>
          <w:rFonts w:ascii="Tahoma" w:hAnsi="Tahoma"/>
        </w:rPr>
        <w:t>Whilst</w:t>
      </w:r>
      <w:r w:rsidR="004D50C6" w:rsidRPr="00650F05">
        <w:rPr>
          <w:rFonts w:ascii="Tahoma" w:hAnsi="Tahoma"/>
        </w:rPr>
        <w:t xml:space="preserve"> </w:t>
      </w:r>
      <w:r w:rsidR="00166C32" w:rsidRPr="00650F05">
        <w:rPr>
          <w:rFonts w:ascii="Tahoma" w:hAnsi="Tahoma"/>
        </w:rPr>
        <w:t>these themes</w:t>
      </w:r>
      <w:r w:rsidR="004D50C6" w:rsidRPr="00650F05">
        <w:rPr>
          <w:rFonts w:ascii="Tahoma" w:hAnsi="Tahoma"/>
        </w:rPr>
        <w:t xml:space="preserve"> </w:t>
      </w:r>
      <w:r w:rsidR="00936BD3" w:rsidRPr="00650F05">
        <w:rPr>
          <w:rFonts w:ascii="Tahoma" w:hAnsi="Tahoma"/>
        </w:rPr>
        <w:t>were not</w:t>
      </w:r>
      <w:r w:rsidR="004D50C6" w:rsidRPr="00650F05">
        <w:rPr>
          <w:rFonts w:ascii="Tahoma" w:hAnsi="Tahoma"/>
        </w:rPr>
        <w:t xml:space="preserve"> </w:t>
      </w:r>
      <w:r w:rsidR="00754BC2" w:rsidRPr="00650F05">
        <w:rPr>
          <w:rFonts w:ascii="Tahoma" w:hAnsi="Tahoma"/>
        </w:rPr>
        <w:t xml:space="preserve">directly </w:t>
      </w:r>
      <w:r w:rsidR="004D50C6" w:rsidRPr="00650F05">
        <w:rPr>
          <w:rFonts w:ascii="Tahoma" w:hAnsi="Tahoma"/>
        </w:rPr>
        <w:t xml:space="preserve">evident </w:t>
      </w:r>
      <w:r w:rsidR="00936BD3" w:rsidRPr="00650F05">
        <w:rPr>
          <w:rFonts w:ascii="Tahoma" w:hAnsi="Tahoma"/>
        </w:rPr>
        <w:t>in the findings</w:t>
      </w:r>
      <w:r w:rsidR="00E53482" w:rsidRPr="00650F05">
        <w:rPr>
          <w:rFonts w:ascii="Tahoma" w:hAnsi="Tahoma"/>
        </w:rPr>
        <w:t xml:space="preserve">, </w:t>
      </w:r>
      <w:r w:rsidR="00BA5310" w:rsidRPr="00650F05">
        <w:rPr>
          <w:rFonts w:ascii="Tahoma" w:hAnsi="Tahoma"/>
        </w:rPr>
        <w:t xml:space="preserve">there were </w:t>
      </w:r>
      <w:r w:rsidR="00220187" w:rsidRPr="00650F05">
        <w:rPr>
          <w:rFonts w:ascii="Tahoma" w:hAnsi="Tahoma"/>
        </w:rPr>
        <w:t xml:space="preserve">perhaps signs that indicated a person’s background </w:t>
      </w:r>
      <w:r w:rsidR="00E335CE" w:rsidRPr="00650F05">
        <w:rPr>
          <w:rFonts w:ascii="Tahoma" w:hAnsi="Tahoma"/>
        </w:rPr>
        <w:t>effected</w:t>
      </w:r>
      <w:r w:rsidR="00220187" w:rsidRPr="00650F05">
        <w:rPr>
          <w:rFonts w:ascii="Tahoma" w:hAnsi="Tahoma"/>
        </w:rPr>
        <w:t xml:space="preserve"> their ability to </w:t>
      </w:r>
      <w:r w:rsidR="007A4EF0" w:rsidRPr="00650F05">
        <w:rPr>
          <w:rFonts w:ascii="Tahoma" w:hAnsi="Tahoma"/>
        </w:rPr>
        <w:t xml:space="preserve">both access </w:t>
      </w:r>
      <w:r w:rsidR="00CA7B39" w:rsidRPr="00650F05">
        <w:rPr>
          <w:rFonts w:ascii="Tahoma" w:hAnsi="Tahoma"/>
        </w:rPr>
        <w:t>and</w:t>
      </w:r>
      <w:r w:rsidR="004D0E3A" w:rsidRPr="00650F05">
        <w:rPr>
          <w:rFonts w:ascii="Tahoma" w:hAnsi="Tahoma"/>
        </w:rPr>
        <w:t xml:space="preserve"> </w:t>
      </w:r>
      <w:r w:rsidR="00CA7B39" w:rsidRPr="00650F05">
        <w:rPr>
          <w:rFonts w:ascii="Tahoma" w:hAnsi="Tahoma"/>
        </w:rPr>
        <w:t xml:space="preserve">study </w:t>
      </w:r>
      <w:r w:rsidR="00F762BC" w:rsidRPr="00650F05">
        <w:rPr>
          <w:rFonts w:ascii="Tahoma" w:hAnsi="Tahoma"/>
        </w:rPr>
        <w:t>in HE</w:t>
      </w:r>
      <w:r w:rsidR="008E141D" w:rsidRPr="00650F05">
        <w:rPr>
          <w:rFonts w:ascii="Tahoma" w:hAnsi="Tahoma"/>
        </w:rPr>
        <w:t>.</w:t>
      </w:r>
      <w:r w:rsidR="007A4EF0" w:rsidRPr="00650F05">
        <w:rPr>
          <w:rFonts w:ascii="Tahoma" w:hAnsi="Tahoma"/>
        </w:rPr>
        <w:t xml:space="preserve"> </w:t>
      </w:r>
      <w:r w:rsidR="00FC1CC4" w:rsidRPr="00650F05">
        <w:rPr>
          <w:rFonts w:ascii="Tahoma" w:hAnsi="Tahoma"/>
        </w:rPr>
        <w:t>Participants noted,</w:t>
      </w:r>
    </w:p>
    <w:p w14:paraId="5C4B3D54" w14:textId="77777777" w:rsidR="00FC1CC4" w:rsidRPr="00650F05" w:rsidRDefault="00FC1CC4" w:rsidP="00FC1CC4">
      <w:pPr>
        <w:spacing w:line="480" w:lineRule="auto"/>
        <w:jc w:val="both"/>
        <w:rPr>
          <w:rFonts w:ascii="Tahoma" w:hAnsi="Tahoma"/>
        </w:rPr>
      </w:pPr>
    </w:p>
    <w:p w14:paraId="4D7CB6BA" w14:textId="79864436" w:rsidR="00FC1CC4" w:rsidRPr="00650F05" w:rsidRDefault="00FC1CC4" w:rsidP="00FC1CC4">
      <w:pPr>
        <w:spacing w:line="240" w:lineRule="auto"/>
        <w:ind w:left="567" w:right="521"/>
        <w:jc w:val="both"/>
        <w:rPr>
          <w:rFonts w:ascii="Tahoma" w:hAnsi="Tahoma"/>
        </w:rPr>
      </w:pPr>
      <w:r w:rsidRPr="00650F05">
        <w:rPr>
          <w:rFonts w:ascii="Tahoma" w:hAnsi="Tahoma"/>
        </w:rPr>
        <w:t>“</w:t>
      </w:r>
      <w:r w:rsidR="003B4AB3" w:rsidRPr="00650F05">
        <w:rPr>
          <w:rFonts w:ascii="Tahoma" w:hAnsi="Tahoma"/>
        </w:rPr>
        <w:t>My parents hadn’t been to university</w:t>
      </w:r>
      <w:r w:rsidR="00913C39" w:rsidRPr="00650F05">
        <w:rPr>
          <w:rFonts w:ascii="Tahoma" w:hAnsi="Tahoma"/>
        </w:rPr>
        <w:t>…</w:t>
      </w:r>
      <w:r w:rsidR="003B4AB3" w:rsidRPr="00650F05">
        <w:rPr>
          <w:rFonts w:ascii="Tahoma" w:hAnsi="Tahoma"/>
        </w:rPr>
        <w:t xml:space="preserve"> and </w:t>
      </w:r>
      <w:r w:rsidR="00913C39" w:rsidRPr="00650F05">
        <w:rPr>
          <w:rFonts w:ascii="Tahoma" w:hAnsi="Tahoma"/>
        </w:rPr>
        <w:t xml:space="preserve">have asked me many times why I didn’t </w:t>
      </w:r>
      <w:r w:rsidR="00CF482F" w:rsidRPr="00650F05">
        <w:rPr>
          <w:rFonts w:ascii="Tahoma" w:hAnsi="Tahoma"/>
        </w:rPr>
        <w:t xml:space="preserve">just </w:t>
      </w:r>
      <w:r w:rsidR="00913C39" w:rsidRPr="00650F05">
        <w:rPr>
          <w:rFonts w:ascii="Tahoma" w:hAnsi="Tahoma"/>
        </w:rPr>
        <w:t>get a full-time job instead</w:t>
      </w:r>
      <w:r w:rsidR="00B8597F" w:rsidRPr="00650F05">
        <w:rPr>
          <w:rFonts w:ascii="Tahoma" w:hAnsi="Tahoma"/>
        </w:rPr>
        <w:t>. … they don’t understand what opportunities it will bring me in the future</w:t>
      </w:r>
      <w:r w:rsidRPr="00650F05">
        <w:rPr>
          <w:rFonts w:ascii="Tahoma" w:hAnsi="Tahoma"/>
        </w:rPr>
        <w:t>”.</w:t>
      </w:r>
    </w:p>
    <w:p w14:paraId="447AD709" w14:textId="77777777" w:rsidR="00FC1CC4" w:rsidRPr="00650F05" w:rsidRDefault="00FC1CC4" w:rsidP="00FC1CC4">
      <w:pPr>
        <w:spacing w:line="480" w:lineRule="auto"/>
        <w:jc w:val="both"/>
        <w:rPr>
          <w:rFonts w:ascii="Tahoma" w:hAnsi="Tahoma"/>
        </w:rPr>
      </w:pPr>
    </w:p>
    <w:p w14:paraId="37984977" w14:textId="6C42A9E9" w:rsidR="00FC1CC4" w:rsidRPr="00650F05" w:rsidRDefault="00FC1CC4" w:rsidP="00FC1CC4">
      <w:pPr>
        <w:spacing w:line="240" w:lineRule="auto"/>
        <w:ind w:left="567" w:right="521"/>
        <w:jc w:val="both"/>
        <w:rPr>
          <w:rFonts w:ascii="Tahoma" w:hAnsi="Tahoma"/>
        </w:rPr>
      </w:pPr>
      <w:r w:rsidRPr="00650F05">
        <w:rPr>
          <w:rFonts w:ascii="Tahoma" w:hAnsi="Tahoma"/>
        </w:rPr>
        <w:t>“</w:t>
      </w:r>
      <w:r w:rsidR="00212F73" w:rsidRPr="00650F05">
        <w:rPr>
          <w:rFonts w:ascii="Tahoma" w:hAnsi="Tahoma"/>
        </w:rPr>
        <w:t xml:space="preserve">People who come from where I do, don’t go to uni. It was all new to me, new to my </w:t>
      </w:r>
      <w:r w:rsidR="00247171" w:rsidRPr="00650F05">
        <w:rPr>
          <w:rFonts w:ascii="Tahoma" w:hAnsi="Tahoma"/>
        </w:rPr>
        <w:t>mum and step-dad</w:t>
      </w:r>
      <w:r w:rsidR="00B8597F" w:rsidRPr="00650F05">
        <w:rPr>
          <w:rFonts w:ascii="Tahoma" w:hAnsi="Tahoma"/>
        </w:rPr>
        <w:t>…</w:t>
      </w:r>
      <w:r w:rsidRPr="00650F05">
        <w:rPr>
          <w:rFonts w:ascii="Tahoma" w:hAnsi="Tahoma"/>
        </w:rPr>
        <w:t>”.</w:t>
      </w:r>
    </w:p>
    <w:p w14:paraId="732C0718" w14:textId="77777777" w:rsidR="0014049D" w:rsidRPr="00650F05" w:rsidRDefault="0014049D" w:rsidP="00392C3C">
      <w:pPr>
        <w:spacing w:line="480" w:lineRule="auto"/>
        <w:rPr>
          <w:rFonts w:ascii="Tahoma" w:hAnsi="Tahoma"/>
        </w:rPr>
      </w:pPr>
    </w:p>
    <w:p w14:paraId="42D2A2E5" w14:textId="42D455FB" w:rsidR="0014049D" w:rsidRPr="00650F05" w:rsidRDefault="00C9533D" w:rsidP="002223BE">
      <w:pPr>
        <w:spacing w:line="480" w:lineRule="auto"/>
        <w:jc w:val="both"/>
        <w:rPr>
          <w:rFonts w:ascii="Tahoma" w:hAnsi="Tahoma"/>
        </w:rPr>
      </w:pPr>
      <w:r w:rsidRPr="00650F05">
        <w:rPr>
          <w:rFonts w:ascii="Tahoma" w:hAnsi="Tahoma"/>
        </w:rPr>
        <w:t>Individuals from</w:t>
      </w:r>
      <w:r w:rsidR="003C7E49" w:rsidRPr="00650F05">
        <w:rPr>
          <w:rFonts w:ascii="Tahoma" w:hAnsi="Tahoma"/>
        </w:rPr>
        <w:t xml:space="preserve"> </w:t>
      </w:r>
      <w:r w:rsidR="00AD645A" w:rsidRPr="00650F05">
        <w:rPr>
          <w:rFonts w:ascii="Tahoma" w:hAnsi="Tahoma"/>
        </w:rPr>
        <w:t xml:space="preserve">non-traditional backgrounds </w:t>
      </w:r>
      <w:r w:rsidR="00AF2E4B" w:rsidRPr="00650F05">
        <w:rPr>
          <w:rFonts w:ascii="Tahoma" w:hAnsi="Tahoma"/>
        </w:rPr>
        <w:t xml:space="preserve">could be </w:t>
      </w:r>
      <w:r w:rsidR="00C72AC6" w:rsidRPr="00650F05">
        <w:rPr>
          <w:rFonts w:ascii="Tahoma" w:hAnsi="Tahoma"/>
        </w:rPr>
        <w:t xml:space="preserve">disadvantaged </w:t>
      </w:r>
      <w:r w:rsidR="00AF2E4B" w:rsidRPr="00650F05">
        <w:rPr>
          <w:rFonts w:ascii="Tahoma" w:hAnsi="Tahoma"/>
        </w:rPr>
        <w:t>due to a lack of</w:t>
      </w:r>
      <w:r w:rsidR="00C72AC6" w:rsidRPr="00650F05">
        <w:rPr>
          <w:rFonts w:ascii="Tahoma" w:hAnsi="Tahoma"/>
        </w:rPr>
        <w:t xml:space="preserve"> </w:t>
      </w:r>
      <w:r w:rsidR="00AF2E4B" w:rsidRPr="00650F05">
        <w:rPr>
          <w:rFonts w:ascii="Tahoma" w:hAnsi="Tahoma"/>
        </w:rPr>
        <w:t xml:space="preserve">social and cultural capital before and during </w:t>
      </w:r>
      <w:r w:rsidR="00544EF9" w:rsidRPr="00650F05">
        <w:rPr>
          <w:rFonts w:ascii="Tahoma" w:hAnsi="Tahoma"/>
        </w:rPr>
        <w:t>their studies</w:t>
      </w:r>
      <w:r w:rsidR="00C72AC6" w:rsidRPr="00650F05">
        <w:rPr>
          <w:rFonts w:ascii="Tahoma" w:hAnsi="Tahoma"/>
        </w:rPr>
        <w:t>.</w:t>
      </w:r>
      <w:r w:rsidR="00D75B35" w:rsidRPr="00650F05">
        <w:rPr>
          <w:rFonts w:ascii="Tahoma" w:hAnsi="Tahoma"/>
        </w:rPr>
        <w:t xml:space="preserve"> </w:t>
      </w:r>
      <w:r w:rsidR="00AB4330" w:rsidRPr="00650F05">
        <w:rPr>
          <w:rFonts w:ascii="Tahoma" w:hAnsi="Tahoma"/>
        </w:rPr>
        <w:t>Before progressing to university,</w:t>
      </w:r>
      <w:r w:rsidR="00650394" w:rsidRPr="00650F05">
        <w:rPr>
          <w:rFonts w:ascii="Tahoma" w:hAnsi="Tahoma"/>
        </w:rPr>
        <w:t xml:space="preserve"> the social and cultural capital that a </w:t>
      </w:r>
      <w:r w:rsidR="00D75B35" w:rsidRPr="00650F05">
        <w:rPr>
          <w:rFonts w:ascii="Tahoma" w:hAnsi="Tahoma"/>
        </w:rPr>
        <w:t>person</w:t>
      </w:r>
      <w:r w:rsidR="00650394" w:rsidRPr="00650F05">
        <w:rPr>
          <w:rFonts w:ascii="Tahoma" w:hAnsi="Tahoma"/>
        </w:rPr>
        <w:t xml:space="preserve"> has </w:t>
      </w:r>
      <w:r w:rsidR="0058228F" w:rsidRPr="00650F05">
        <w:rPr>
          <w:rFonts w:ascii="Tahoma" w:hAnsi="Tahoma"/>
        </w:rPr>
        <w:t xml:space="preserve">accrued </w:t>
      </w:r>
      <w:r w:rsidR="00650394" w:rsidRPr="00650F05">
        <w:rPr>
          <w:rFonts w:ascii="Tahoma" w:hAnsi="Tahoma"/>
        </w:rPr>
        <w:t>may unknowingly assist in accessing certain opportunities</w:t>
      </w:r>
      <w:r w:rsidR="00A53D59" w:rsidRPr="00650F05">
        <w:rPr>
          <w:rFonts w:ascii="Tahoma" w:hAnsi="Tahoma"/>
        </w:rPr>
        <w:t xml:space="preserve"> (O’Brien, 2022)</w:t>
      </w:r>
      <w:r w:rsidR="00650394" w:rsidRPr="00650F05">
        <w:rPr>
          <w:rFonts w:ascii="Tahoma" w:hAnsi="Tahoma"/>
        </w:rPr>
        <w:t xml:space="preserve">. For example, </w:t>
      </w:r>
      <w:r w:rsidR="00DD09E8" w:rsidRPr="00650F05">
        <w:rPr>
          <w:rFonts w:ascii="Tahoma" w:hAnsi="Tahoma"/>
        </w:rPr>
        <w:t>if you are the first in your family to access</w:t>
      </w:r>
      <w:r w:rsidR="00256274" w:rsidRPr="00650F05">
        <w:rPr>
          <w:rFonts w:ascii="Tahoma" w:hAnsi="Tahoma"/>
        </w:rPr>
        <w:t xml:space="preserve"> HE, you </w:t>
      </w:r>
      <w:r w:rsidR="00326E9E" w:rsidRPr="00650F05">
        <w:rPr>
          <w:rFonts w:ascii="Tahoma" w:hAnsi="Tahoma"/>
        </w:rPr>
        <w:t>could be at</w:t>
      </w:r>
      <w:r w:rsidR="00256274" w:rsidRPr="00650F05">
        <w:rPr>
          <w:rFonts w:ascii="Tahoma" w:hAnsi="Tahoma"/>
        </w:rPr>
        <w:t xml:space="preserve"> a certain disadvantage compared to those from more traditional backgrounds</w:t>
      </w:r>
      <w:r w:rsidR="00D10B64" w:rsidRPr="00650F05">
        <w:rPr>
          <w:rFonts w:ascii="Tahoma" w:hAnsi="Tahoma"/>
        </w:rPr>
        <w:t xml:space="preserve"> (O’Shea</w:t>
      </w:r>
      <w:r w:rsidR="00C012DF" w:rsidRPr="00650F05">
        <w:rPr>
          <w:rFonts w:ascii="Tahoma" w:hAnsi="Tahoma"/>
        </w:rPr>
        <w:t>, 2015)</w:t>
      </w:r>
      <w:r w:rsidR="001668DC" w:rsidRPr="00650F05">
        <w:rPr>
          <w:rFonts w:ascii="Tahoma" w:hAnsi="Tahoma"/>
        </w:rPr>
        <w:t xml:space="preserve">, who </w:t>
      </w:r>
      <w:r w:rsidR="00CE2237" w:rsidRPr="00650F05">
        <w:rPr>
          <w:rFonts w:ascii="Tahoma" w:hAnsi="Tahoma"/>
        </w:rPr>
        <w:t xml:space="preserve">may </w:t>
      </w:r>
      <w:r w:rsidR="001668DC" w:rsidRPr="00650F05">
        <w:rPr>
          <w:rFonts w:ascii="Tahoma" w:hAnsi="Tahoma"/>
        </w:rPr>
        <w:t xml:space="preserve">have access to </w:t>
      </w:r>
      <w:r w:rsidR="00CE2237" w:rsidRPr="00650F05">
        <w:rPr>
          <w:rFonts w:ascii="Tahoma" w:hAnsi="Tahoma"/>
        </w:rPr>
        <w:t xml:space="preserve">social and cultural </w:t>
      </w:r>
      <w:r w:rsidR="006A2D0F" w:rsidRPr="00650F05">
        <w:rPr>
          <w:rFonts w:ascii="Tahoma" w:hAnsi="Tahoma"/>
        </w:rPr>
        <w:t xml:space="preserve">capital in the form of </w:t>
      </w:r>
      <w:r w:rsidR="001668DC" w:rsidRPr="00650F05">
        <w:rPr>
          <w:rFonts w:ascii="Tahoma" w:hAnsi="Tahoma"/>
        </w:rPr>
        <w:t xml:space="preserve">knowledge and networks </w:t>
      </w:r>
      <w:r w:rsidR="00C94E67" w:rsidRPr="00650F05">
        <w:rPr>
          <w:rFonts w:ascii="Tahoma" w:hAnsi="Tahoma"/>
        </w:rPr>
        <w:t xml:space="preserve">from people </w:t>
      </w:r>
      <w:r w:rsidR="006A2D0F" w:rsidRPr="00650F05">
        <w:rPr>
          <w:rFonts w:ascii="Tahoma" w:hAnsi="Tahoma"/>
        </w:rPr>
        <w:t xml:space="preserve">who have </w:t>
      </w:r>
      <w:r w:rsidR="00A777A0" w:rsidRPr="00650F05">
        <w:rPr>
          <w:rFonts w:ascii="Tahoma" w:hAnsi="Tahoma"/>
        </w:rPr>
        <w:t xml:space="preserve">previously </w:t>
      </w:r>
      <w:r w:rsidR="006A2D0F" w:rsidRPr="00650F05">
        <w:rPr>
          <w:rFonts w:ascii="Tahoma" w:hAnsi="Tahoma"/>
        </w:rPr>
        <w:t>experienced university</w:t>
      </w:r>
      <w:r w:rsidR="00256274" w:rsidRPr="00650F05">
        <w:rPr>
          <w:rFonts w:ascii="Tahoma" w:hAnsi="Tahoma"/>
        </w:rPr>
        <w:t xml:space="preserve">. </w:t>
      </w:r>
      <w:r w:rsidR="00E519FE" w:rsidRPr="00650F05">
        <w:rPr>
          <w:rFonts w:ascii="Tahoma" w:hAnsi="Tahoma"/>
        </w:rPr>
        <w:t>C</w:t>
      </w:r>
      <w:r w:rsidR="008A609A" w:rsidRPr="00650F05">
        <w:rPr>
          <w:rFonts w:ascii="Tahoma" w:hAnsi="Tahoma"/>
        </w:rPr>
        <w:t>onsider</w:t>
      </w:r>
      <w:r w:rsidR="00E519FE" w:rsidRPr="00650F05">
        <w:rPr>
          <w:rFonts w:ascii="Tahoma" w:hAnsi="Tahoma"/>
        </w:rPr>
        <w:t>ing</w:t>
      </w:r>
      <w:r w:rsidR="008A609A" w:rsidRPr="00650F05">
        <w:rPr>
          <w:rFonts w:ascii="Tahoma" w:hAnsi="Tahoma"/>
        </w:rPr>
        <w:t xml:space="preserve"> that </w:t>
      </w:r>
      <w:r w:rsidR="00CE5954" w:rsidRPr="00650F05">
        <w:rPr>
          <w:rFonts w:ascii="Tahoma" w:hAnsi="Tahoma"/>
        </w:rPr>
        <w:t xml:space="preserve">access to university is valuable in providing </w:t>
      </w:r>
      <w:r w:rsidR="00FC7D56" w:rsidRPr="00650F05">
        <w:rPr>
          <w:rFonts w:ascii="Tahoma" w:hAnsi="Tahoma"/>
        </w:rPr>
        <w:t xml:space="preserve">new </w:t>
      </w:r>
      <w:r w:rsidR="00CE5954" w:rsidRPr="00650F05">
        <w:rPr>
          <w:rFonts w:ascii="Tahoma" w:hAnsi="Tahoma"/>
        </w:rPr>
        <w:t xml:space="preserve">opportunities to </w:t>
      </w:r>
      <w:r w:rsidR="00FC7D56" w:rsidRPr="00650F05">
        <w:rPr>
          <w:rFonts w:ascii="Tahoma" w:hAnsi="Tahoma"/>
        </w:rPr>
        <w:t>develop capital</w:t>
      </w:r>
      <w:r w:rsidR="00376147" w:rsidRPr="00650F05">
        <w:rPr>
          <w:rFonts w:ascii="Tahoma" w:hAnsi="Tahoma"/>
        </w:rPr>
        <w:t xml:space="preserve"> through education, networks and work-related experiences</w:t>
      </w:r>
      <w:r w:rsidR="00C97008" w:rsidRPr="00650F05">
        <w:rPr>
          <w:rFonts w:ascii="Tahoma" w:hAnsi="Tahoma"/>
        </w:rPr>
        <w:t xml:space="preserve">, it is imperative that there is </w:t>
      </w:r>
      <w:r w:rsidR="00266959" w:rsidRPr="00650F05">
        <w:rPr>
          <w:rFonts w:ascii="Tahoma" w:hAnsi="Tahoma"/>
        </w:rPr>
        <w:t>substantial support to enable people f</w:t>
      </w:r>
      <w:r w:rsidR="00454CB6" w:rsidRPr="00650F05">
        <w:rPr>
          <w:rFonts w:ascii="Tahoma" w:hAnsi="Tahoma"/>
        </w:rPr>
        <w:t>ro</w:t>
      </w:r>
      <w:r w:rsidR="00266959" w:rsidRPr="00650F05">
        <w:rPr>
          <w:rFonts w:ascii="Tahoma" w:hAnsi="Tahoma"/>
        </w:rPr>
        <w:t>m non-traditional backgrounds to access</w:t>
      </w:r>
      <w:r w:rsidR="004E34EB" w:rsidRPr="00650F05">
        <w:rPr>
          <w:rFonts w:ascii="Tahoma" w:hAnsi="Tahoma"/>
        </w:rPr>
        <w:t xml:space="preserve"> HE</w:t>
      </w:r>
      <w:r w:rsidR="00376147" w:rsidRPr="00650F05">
        <w:rPr>
          <w:rFonts w:ascii="Tahoma" w:hAnsi="Tahoma"/>
        </w:rPr>
        <w:t>.</w:t>
      </w:r>
      <w:r w:rsidR="00846E5C" w:rsidRPr="00650F05">
        <w:rPr>
          <w:rFonts w:ascii="Tahoma" w:hAnsi="Tahoma"/>
        </w:rPr>
        <w:t xml:space="preserve"> The participants specifically noted the competitive nature of the job market and having to </w:t>
      </w:r>
      <w:r w:rsidR="009E5E1B" w:rsidRPr="00650F05">
        <w:rPr>
          <w:rFonts w:ascii="Tahoma" w:hAnsi="Tahoma"/>
        </w:rPr>
        <w:t>compete against other</w:t>
      </w:r>
      <w:r w:rsidR="00CF78DA" w:rsidRPr="00650F05">
        <w:rPr>
          <w:rFonts w:ascii="Tahoma" w:hAnsi="Tahoma"/>
        </w:rPr>
        <w:t>s</w:t>
      </w:r>
      <w:r w:rsidR="009E5E1B" w:rsidRPr="00650F05">
        <w:rPr>
          <w:rFonts w:ascii="Tahoma" w:hAnsi="Tahoma"/>
        </w:rPr>
        <w:t xml:space="preserve"> </w:t>
      </w:r>
      <w:r w:rsidR="009A4771" w:rsidRPr="00650F05">
        <w:rPr>
          <w:rFonts w:ascii="Tahoma" w:hAnsi="Tahoma"/>
        </w:rPr>
        <w:t xml:space="preserve">to achieve their </w:t>
      </w:r>
      <w:r w:rsidR="00CF78DA" w:rsidRPr="00650F05">
        <w:rPr>
          <w:rFonts w:ascii="Tahoma" w:hAnsi="Tahoma"/>
        </w:rPr>
        <w:t xml:space="preserve">career </w:t>
      </w:r>
      <w:r w:rsidR="009A4771" w:rsidRPr="00650F05">
        <w:rPr>
          <w:rFonts w:ascii="Tahoma" w:hAnsi="Tahoma"/>
        </w:rPr>
        <w:t>ambitions</w:t>
      </w:r>
      <w:r w:rsidR="004B1936" w:rsidRPr="00650F05">
        <w:rPr>
          <w:rFonts w:ascii="Tahoma" w:hAnsi="Tahoma"/>
        </w:rPr>
        <w:t xml:space="preserve">, which indicates that they are aware </w:t>
      </w:r>
      <w:r w:rsidR="00DE54CB" w:rsidRPr="00650F05">
        <w:rPr>
          <w:rFonts w:ascii="Tahoma" w:hAnsi="Tahoma"/>
        </w:rPr>
        <w:t xml:space="preserve">that </w:t>
      </w:r>
      <w:r w:rsidR="004B1936" w:rsidRPr="00650F05">
        <w:rPr>
          <w:rFonts w:ascii="Tahoma" w:hAnsi="Tahoma"/>
        </w:rPr>
        <w:t xml:space="preserve">social and cultural capital </w:t>
      </w:r>
      <w:r w:rsidR="00DE54CB" w:rsidRPr="00650F05">
        <w:rPr>
          <w:rFonts w:ascii="Tahoma" w:hAnsi="Tahoma"/>
        </w:rPr>
        <w:t xml:space="preserve">can provide </w:t>
      </w:r>
      <w:r w:rsidR="002223BE" w:rsidRPr="00650F05">
        <w:rPr>
          <w:rFonts w:ascii="Tahoma" w:hAnsi="Tahoma"/>
        </w:rPr>
        <w:t xml:space="preserve">an advantage with regards to what could be desirable qualities for </w:t>
      </w:r>
      <w:r w:rsidR="00EC1DAE" w:rsidRPr="00650F05">
        <w:rPr>
          <w:rFonts w:ascii="Tahoma" w:hAnsi="Tahoma"/>
        </w:rPr>
        <w:t>industry employers</w:t>
      </w:r>
      <w:r w:rsidR="005829AD" w:rsidRPr="00650F05">
        <w:rPr>
          <w:rFonts w:ascii="Tahoma" w:hAnsi="Tahoma"/>
        </w:rPr>
        <w:t xml:space="preserve"> (O’Brien, 2022)</w:t>
      </w:r>
      <w:r w:rsidR="00EC1DAE" w:rsidRPr="00650F05">
        <w:rPr>
          <w:rFonts w:ascii="Tahoma" w:hAnsi="Tahoma"/>
        </w:rPr>
        <w:t>.</w:t>
      </w:r>
    </w:p>
    <w:p w14:paraId="543182B2" w14:textId="050C6EA9" w:rsidR="0014049D" w:rsidRPr="00650F05" w:rsidRDefault="00865F9E" w:rsidP="00433417">
      <w:pPr>
        <w:spacing w:line="480" w:lineRule="auto"/>
        <w:jc w:val="both"/>
        <w:rPr>
          <w:rFonts w:ascii="Tahoma" w:hAnsi="Tahoma"/>
        </w:rPr>
      </w:pPr>
      <w:r w:rsidRPr="00650F05">
        <w:rPr>
          <w:rFonts w:ascii="Tahoma" w:hAnsi="Tahoma"/>
        </w:rPr>
        <w:lastRenderedPageBreak/>
        <w:t>Bourdieu (198</w:t>
      </w:r>
      <w:r w:rsidR="000F2285" w:rsidRPr="00650F05">
        <w:rPr>
          <w:rFonts w:ascii="Tahoma" w:hAnsi="Tahoma"/>
        </w:rPr>
        <w:t>3</w:t>
      </w:r>
      <w:r w:rsidRPr="00650F05">
        <w:rPr>
          <w:rFonts w:ascii="Tahoma" w:hAnsi="Tahoma"/>
        </w:rPr>
        <w:t xml:space="preserve">) and Bathmaker et al. (2013) </w:t>
      </w:r>
      <w:r w:rsidR="00AD399A" w:rsidRPr="00650F05">
        <w:rPr>
          <w:rFonts w:ascii="Tahoma" w:hAnsi="Tahoma"/>
        </w:rPr>
        <w:t>use the analogy of a game to explain s</w:t>
      </w:r>
      <w:r w:rsidRPr="00650F05">
        <w:rPr>
          <w:rFonts w:ascii="Tahoma" w:hAnsi="Tahoma"/>
        </w:rPr>
        <w:t xml:space="preserve">ocial and </w:t>
      </w:r>
      <w:r w:rsidR="00AD399A" w:rsidRPr="00650F05">
        <w:rPr>
          <w:rFonts w:ascii="Tahoma" w:hAnsi="Tahoma"/>
        </w:rPr>
        <w:t>c</w:t>
      </w:r>
      <w:r w:rsidRPr="00650F05">
        <w:rPr>
          <w:rFonts w:ascii="Tahoma" w:hAnsi="Tahoma"/>
        </w:rPr>
        <w:t xml:space="preserve">ultural </w:t>
      </w:r>
      <w:r w:rsidR="00CE46EE" w:rsidRPr="00650F05">
        <w:rPr>
          <w:rFonts w:ascii="Tahoma" w:hAnsi="Tahoma"/>
        </w:rPr>
        <w:t>c</w:t>
      </w:r>
      <w:r w:rsidRPr="00650F05">
        <w:rPr>
          <w:rFonts w:ascii="Tahoma" w:hAnsi="Tahoma"/>
        </w:rPr>
        <w:t>apital</w:t>
      </w:r>
      <w:r w:rsidR="007B1CEB" w:rsidRPr="00650F05">
        <w:rPr>
          <w:rFonts w:ascii="Tahoma" w:hAnsi="Tahoma"/>
        </w:rPr>
        <w:t xml:space="preserve"> with students</w:t>
      </w:r>
      <w:r w:rsidR="003452C4" w:rsidRPr="00650F05">
        <w:rPr>
          <w:rFonts w:ascii="Tahoma" w:hAnsi="Tahoma"/>
        </w:rPr>
        <w:t xml:space="preserve">. </w:t>
      </w:r>
      <w:r w:rsidR="00C652BE" w:rsidRPr="00650F05">
        <w:rPr>
          <w:rFonts w:ascii="Tahoma" w:hAnsi="Tahoma"/>
        </w:rPr>
        <w:t>T</w:t>
      </w:r>
      <w:r w:rsidR="007B1CEB" w:rsidRPr="00650F05">
        <w:rPr>
          <w:rFonts w:ascii="Tahoma" w:hAnsi="Tahoma"/>
        </w:rPr>
        <w:t>he game is comparable to life, and it takes knowledge, skill and logic to achieve the best outcome</w:t>
      </w:r>
      <w:r w:rsidR="007E18AA" w:rsidRPr="00650F05">
        <w:rPr>
          <w:rFonts w:ascii="Tahoma" w:hAnsi="Tahoma"/>
        </w:rPr>
        <w:t xml:space="preserve">, with social and cultural capital </w:t>
      </w:r>
      <w:r w:rsidR="009B02EB" w:rsidRPr="00650F05">
        <w:rPr>
          <w:rFonts w:ascii="Tahoma" w:hAnsi="Tahoma"/>
        </w:rPr>
        <w:t>being the untold rules with which you can gain an advantage</w:t>
      </w:r>
      <w:r w:rsidR="00E30978" w:rsidRPr="00650F05">
        <w:rPr>
          <w:rFonts w:ascii="Tahoma" w:hAnsi="Tahoma"/>
        </w:rPr>
        <w:t>.</w:t>
      </w:r>
      <w:r w:rsidRPr="00650F05">
        <w:rPr>
          <w:rFonts w:ascii="Tahoma" w:hAnsi="Tahoma"/>
        </w:rPr>
        <w:t xml:space="preserve"> </w:t>
      </w:r>
      <w:r w:rsidR="00433417" w:rsidRPr="00650F05">
        <w:rPr>
          <w:rFonts w:ascii="Tahoma" w:hAnsi="Tahoma"/>
        </w:rPr>
        <w:t>O’Brien (2022</w:t>
      </w:r>
      <w:r w:rsidR="0037179A" w:rsidRPr="00650F05">
        <w:rPr>
          <w:rFonts w:ascii="Tahoma" w:hAnsi="Tahoma"/>
        </w:rPr>
        <w:t>, p.56</w:t>
      </w:r>
      <w:r w:rsidR="00433417" w:rsidRPr="00650F05">
        <w:rPr>
          <w:rFonts w:ascii="Tahoma" w:hAnsi="Tahoma"/>
        </w:rPr>
        <w:t>) bemoans that “a</w:t>
      </w:r>
      <w:r w:rsidRPr="00650F05">
        <w:rPr>
          <w:rFonts w:ascii="Tahoma" w:hAnsi="Tahoma"/>
        </w:rPr>
        <w:t xml:space="preserve">s helpful as social and cultural capital is and as useful as the benefits are to the overall game-play, without all the knowledge on how the game is played, the other team gets an </w:t>
      </w:r>
      <w:r w:rsidR="00433417" w:rsidRPr="00650F05">
        <w:rPr>
          <w:rFonts w:ascii="Tahoma" w:hAnsi="Tahoma"/>
        </w:rPr>
        <w:t>advantage,</w:t>
      </w:r>
      <w:r w:rsidRPr="00650F05">
        <w:rPr>
          <w:rFonts w:ascii="Tahoma" w:hAnsi="Tahoma"/>
        </w:rPr>
        <w:t xml:space="preserve"> and the game becomes unfair</w:t>
      </w:r>
      <w:r w:rsidR="00433417" w:rsidRPr="00650F05">
        <w:rPr>
          <w:rFonts w:ascii="Tahoma" w:hAnsi="Tahoma"/>
        </w:rPr>
        <w:t>”</w:t>
      </w:r>
      <w:r w:rsidRPr="00650F05">
        <w:rPr>
          <w:rFonts w:ascii="Tahoma" w:hAnsi="Tahoma"/>
        </w:rPr>
        <w:t xml:space="preserve">. This is where the </w:t>
      </w:r>
      <w:r w:rsidR="00C61091" w:rsidRPr="00650F05">
        <w:rPr>
          <w:rFonts w:ascii="Tahoma" w:hAnsi="Tahoma"/>
        </w:rPr>
        <w:t>students from traditional backgrounds and those f</w:t>
      </w:r>
      <w:r w:rsidR="0062083A" w:rsidRPr="00650F05">
        <w:rPr>
          <w:rFonts w:ascii="Tahoma" w:hAnsi="Tahoma"/>
        </w:rPr>
        <w:t>ro</w:t>
      </w:r>
      <w:r w:rsidR="00C61091" w:rsidRPr="00650F05">
        <w:rPr>
          <w:rFonts w:ascii="Tahoma" w:hAnsi="Tahoma"/>
        </w:rPr>
        <w:t xml:space="preserve">m more non-traditional backgrounds </w:t>
      </w:r>
      <w:r w:rsidRPr="00650F05">
        <w:rPr>
          <w:rFonts w:ascii="Tahoma" w:hAnsi="Tahoma"/>
        </w:rPr>
        <w:t>become separated by capital.</w:t>
      </w:r>
    </w:p>
    <w:p w14:paraId="5F8DDA0A" w14:textId="77777777" w:rsidR="00865F9E" w:rsidRPr="00650F05" w:rsidRDefault="00865F9E" w:rsidP="00865F9E">
      <w:pPr>
        <w:spacing w:line="480" w:lineRule="auto"/>
        <w:rPr>
          <w:rFonts w:ascii="Tahoma" w:hAnsi="Tahoma"/>
        </w:rPr>
      </w:pPr>
    </w:p>
    <w:p w14:paraId="1DA3203C" w14:textId="2A39013B" w:rsidR="00392C3C" w:rsidRPr="00650F05" w:rsidRDefault="00FE1FF4" w:rsidP="00FD7D3E">
      <w:pPr>
        <w:spacing w:line="480" w:lineRule="auto"/>
        <w:jc w:val="both"/>
        <w:rPr>
          <w:rFonts w:ascii="Tahoma" w:hAnsi="Tahoma"/>
          <w:b/>
          <w:bCs/>
        </w:rPr>
      </w:pPr>
      <w:r w:rsidRPr="00650F05">
        <w:rPr>
          <w:rFonts w:ascii="Tahoma" w:hAnsi="Tahoma"/>
          <w:b/>
          <w:bCs/>
        </w:rPr>
        <w:t>Implications</w:t>
      </w:r>
      <w:r w:rsidR="00F21621" w:rsidRPr="00650F05">
        <w:rPr>
          <w:rFonts w:ascii="Tahoma" w:hAnsi="Tahoma"/>
          <w:b/>
          <w:bCs/>
        </w:rPr>
        <w:t xml:space="preserve"> of Research</w:t>
      </w:r>
    </w:p>
    <w:p w14:paraId="0515B364" w14:textId="45A0D662" w:rsidR="00D06F84" w:rsidRPr="00650F05" w:rsidRDefault="0088447E" w:rsidP="00D06F84">
      <w:pPr>
        <w:spacing w:line="480" w:lineRule="auto"/>
        <w:jc w:val="both"/>
        <w:rPr>
          <w:rFonts w:ascii="Tahoma" w:hAnsi="Tahoma"/>
        </w:rPr>
      </w:pPr>
      <w:r w:rsidRPr="00650F05">
        <w:rPr>
          <w:rFonts w:ascii="Tahoma" w:hAnsi="Tahoma"/>
        </w:rPr>
        <w:t xml:space="preserve">The findings provide a </w:t>
      </w:r>
      <w:r w:rsidR="00D06F84" w:rsidRPr="00650F05">
        <w:rPr>
          <w:rFonts w:ascii="Tahoma" w:hAnsi="Tahoma"/>
        </w:rPr>
        <w:t xml:space="preserve">unique opportunity to </w:t>
      </w:r>
      <w:r w:rsidR="00904A1C" w:rsidRPr="00650F05">
        <w:rPr>
          <w:rFonts w:ascii="Tahoma" w:hAnsi="Tahoma"/>
        </w:rPr>
        <w:t>offer</w:t>
      </w:r>
      <w:r w:rsidR="004F5363" w:rsidRPr="00650F05">
        <w:rPr>
          <w:rFonts w:ascii="Tahoma" w:hAnsi="Tahoma"/>
        </w:rPr>
        <w:t xml:space="preserve"> guidance </w:t>
      </w:r>
      <w:r w:rsidR="004117B0" w:rsidRPr="00650F05">
        <w:rPr>
          <w:rFonts w:ascii="Tahoma" w:hAnsi="Tahoma"/>
        </w:rPr>
        <w:t xml:space="preserve">based around four emerging </w:t>
      </w:r>
      <w:r w:rsidR="00F87E6C" w:rsidRPr="00650F05">
        <w:rPr>
          <w:rFonts w:ascii="Tahoma" w:hAnsi="Tahoma"/>
        </w:rPr>
        <w:t>themes</w:t>
      </w:r>
      <w:r w:rsidR="00B64715" w:rsidRPr="00650F05">
        <w:rPr>
          <w:rFonts w:ascii="Tahoma" w:hAnsi="Tahoma"/>
        </w:rPr>
        <w:t>.</w:t>
      </w:r>
      <w:r w:rsidR="00D06F84" w:rsidRPr="00650F05">
        <w:rPr>
          <w:rFonts w:ascii="Tahoma" w:hAnsi="Tahoma"/>
        </w:rPr>
        <w:t xml:space="preserve"> </w:t>
      </w:r>
      <w:r w:rsidR="00197357">
        <w:rPr>
          <w:rFonts w:ascii="Tahoma" w:hAnsi="Tahoma"/>
        </w:rPr>
        <w:t>T</w:t>
      </w:r>
      <w:r w:rsidR="00053191" w:rsidRPr="00650F05">
        <w:rPr>
          <w:rFonts w:ascii="Tahoma" w:hAnsi="Tahoma"/>
        </w:rPr>
        <w:t>he</w:t>
      </w:r>
      <w:r w:rsidR="00C631C8" w:rsidRPr="00650F05">
        <w:rPr>
          <w:rFonts w:ascii="Tahoma" w:hAnsi="Tahoma"/>
        </w:rPr>
        <w:t xml:space="preserve"> following</w:t>
      </w:r>
      <w:r w:rsidR="00053191" w:rsidRPr="00650F05">
        <w:rPr>
          <w:rFonts w:ascii="Tahoma" w:hAnsi="Tahoma"/>
        </w:rPr>
        <w:t xml:space="preserve"> guidelines </w:t>
      </w:r>
      <w:r w:rsidR="004117B0" w:rsidRPr="00650F05">
        <w:rPr>
          <w:rFonts w:ascii="Tahoma" w:hAnsi="Tahoma"/>
        </w:rPr>
        <w:t xml:space="preserve">will </w:t>
      </w:r>
      <w:r w:rsidR="00D06F84" w:rsidRPr="00650F05">
        <w:rPr>
          <w:rFonts w:ascii="Tahoma" w:hAnsi="Tahoma"/>
        </w:rPr>
        <w:t xml:space="preserve">help inform post-1992 </w:t>
      </w:r>
      <w:r w:rsidR="00C631C8" w:rsidRPr="00650F05">
        <w:rPr>
          <w:rFonts w:ascii="Tahoma" w:hAnsi="Tahoma"/>
        </w:rPr>
        <w:t>HEI’s</w:t>
      </w:r>
      <w:r w:rsidR="00D06F84" w:rsidRPr="00650F05">
        <w:rPr>
          <w:rFonts w:ascii="Tahoma" w:hAnsi="Tahoma"/>
        </w:rPr>
        <w:t xml:space="preserve"> on </w:t>
      </w:r>
      <w:r w:rsidR="00120AA1" w:rsidRPr="00650F05">
        <w:rPr>
          <w:rFonts w:ascii="Tahoma" w:hAnsi="Tahoma"/>
        </w:rPr>
        <w:t xml:space="preserve">how to best support </w:t>
      </w:r>
      <w:r w:rsidR="00DF4C29" w:rsidRPr="00650F05">
        <w:rPr>
          <w:rFonts w:ascii="Tahoma" w:hAnsi="Tahoma"/>
        </w:rPr>
        <w:t xml:space="preserve">and prepare </w:t>
      </w:r>
      <w:r w:rsidR="00120AA1" w:rsidRPr="00650F05">
        <w:rPr>
          <w:rFonts w:ascii="Tahoma" w:hAnsi="Tahoma"/>
        </w:rPr>
        <w:t>final year students</w:t>
      </w:r>
      <w:r w:rsidR="00DF4C29" w:rsidRPr="00650F05">
        <w:rPr>
          <w:rFonts w:ascii="Tahoma" w:hAnsi="Tahoma"/>
        </w:rPr>
        <w:t xml:space="preserve"> </w:t>
      </w:r>
      <w:r w:rsidR="00476EFF" w:rsidRPr="00650F05">
        <w:rPr>
          <w:rFonts w:ascii="Tahoma" w:hAnsi="Tahoma"/>
        </w:rPr>
        <w:t>from non-traditional backgrounds</w:t>
      </w:r>
      <w:r w:rsidR="000E0DFE" w:rsidRPr="00650F05">
        <w:rPr>
          <w:rFonts w:ascii="Tahoma" w:hAnsi="Tahoma"/>
        </w:rPr>
        <w:t xml:space="preserve"> </w:t>
      </w:r>
      <w:r w:rsidR="00DF4C29" w:rsidRPr="00650F05">
        <w:rPr>
          <w:rFonts w:ascii="Tahoma" w:hAnsi="Tahoma"/>
        </w:rPr>
        <w:t>as they progress into a</w:t>
      </w:r>
      <w:r w:rsidR="000E0DFE" w:rsidRPr="00650F05">
        <w:rPr>
          <w:rFonts w:ascii="Tahoma" w:hAnsi="Tahoma"/>
        </w:rPr>
        <w:t>n</w:t>
      </w:r>
      <w:r w:rsidR="00554888">
        <w:rPr>
          <w:rFonts w:ascii="Tahoma" w:hAnsi="Tahoma"/>
        </w:rPr>
        <w:t xml:space="preserve"> </w:t>
      </w:r>
      <w:r w:rsidR="000E0DFE" w:rsidRPr="00650F05">
        <w:rPr>
          <w:rFonts w:ascii="Tahoma" w:hAnsi="Tahoma"/>
        </w:rPr>
        <w:t>increasingly</w:t>
      </w:r>
      <w:r w:rsidR="00DF4C29" w:rsidRPr="00650F05">
        <w:rPr>
          <w:rFonts w:ascii="Tahoma" w:hAnsi="Tahoma"/>
        </w:rPr>
        <w:t xml:space="preserve"> competitive labour market. </w:t>
      </w:r>
      <w:r w:rsidR="002138FD" w:rsidRPr="00650F05">
        <w:rPr>
          <w:rFonts w:ascii="Tahoma" w:hAnsi="Tahoma"/>
        </w:rPr>
        <w:t>They are as follows:</w:t>
      </w:r>
    </w:p>
    <w:p w14:paraId="7163864F" w14:textId="77777777" w:rsidR="004F5363" w:rsidRPr="00650F05" w:rsidRDefault="004F5363" w:rsidP="00D06F84">
      <w:pPr>
        <w:spacing w:line="480" w:lineRule="auto"/>
        <w:jc w:val="both"/>
        <w:rPr>
          <w:rFonts w:ascii="Tahoma" w:hAnsi="Tahoma"/>
        </w:rPr>
      </w:pPr>
    </w:p>
    <w:p w14:paraId="3F1904FF" w14:textId="0ED1B11C" w:rsidR="00333FF4" w:rsidRPr="00650F05" w:rsidRDefault="00333FF4" w:rsidP="00333FF4">
      <w:pPr>
        <w:pStyle w:val="ListParagraph"/>
        <w:numPr>
          <w:ilvl w:val="0"/>
          <w:numId w:val="1"/>
        </w:numPr>
        <w:spacing w:line="480" w:lineRule="auto"/>
        <w:jc w:val="both"/>
        <w:rPr>
          <w:rFonts w:ascii="Tahoma" w:hAnsi="Tahoma"/>
        </w:rPr>
      </w:pPr>
      <w:r w:rsidRPr="00650F05">
        <w:rPr>
          <w:rFonts w:ascii="Tahoma" w:hAnsi="Tahoma"/>
          <w:b/>
          <w:bCs/>
        </w:rPr>
        <w:t>Readiness:</w:t>
      </w:r>
      <w:r w:rsidRPr="00650F05">
        <w:rPr>
          <w:rFonts w:ascii="Tahoma" w:hAnsi="Tahoma"/>
        </w:rPr>
        <w:t xml:space="preserve"> Institutions have a responsibility to balance academic [knowledge] and practice-based education [</w:t>
      </w:r>
      <w:r w:rsidR="00C87757" w:rsidRPr="00650F05">
        <w:rPr>
          <w:rFonts w:ascii="Tahoma" w:hAnsi="Tahoma"/>
        </w:rPr>
        <w:t xml:space="preserve">knowledge through </w:t>
      </w:r>
      <w:r w:rsidRPr="00650F05">
        <w:rPr>
          <w:rFonts w:ascii="Tahoma" w:hAnsi="Tahoma"/>
        </w:rPr>
        <w:t>experience] within their curricul</w:t>
      </w:r>
      <w:r w:rsidR="00C87757" w:rsidRPr="00650F05">
        <w:rPr>
          <w:rFonts w:ascii="Tahoma" w:hAnsi="Tahoma"/>
        </w:rPr>
        <w:t>a</w:t>
      </w:r>
      <w:r w:rsidRPr="00650F05">
        <w:rPr>
          <w:rFonts w:ascii="Tahoma" w:hAnsi="Tahoma"/>
        </w:rPr>
        <w:t xml:space="preserve"> </w:t>
      </w:r>
      <w:r w:rsidR="000E0DFE" w:rsidRPr="00650F05">
        <w:rPr>
          <w:rFonts w:ascii="Tahoma" w:hAnsi="Tahoma"/>
        </w:rPr>
        <w:t xml:space="preserve">to adequately prepare </w:t>
      </w:r>
      <w:r w:rsidR="00727DAE" w:rsidRPr="00650F05">
        <w:rPr>
          <w:rFonts w:ascii="Tahoma" w:hAnsi="Tahoma"/>
        </w:rPr>
        <w:t xml:space="preserve">students </w:t>
      </w:r>
      <w:r w:rsidR="006A049B" w:rsidRPr="00650F05">
        <w:rPr>
          <w:rFonts w:ascii="Tahoma" w:hAnsi="Tahoma"/>
        </w:rPr>
        <w:t xml:space="preserve">for </w:t>
      </w:r>
      <w:r w:rsidR="00727DAE" w:rsidRPr="00650F05">
        <w:rPr>
          <w:rFonts w:ascii="Tahoma" w:hAnsi="Tahoma"/>
        </w:rPr>
        <w:t>work</w:t>
      </w:r>
      <w:r w:rsidRPr="00650F05">
        <w:rPr>
          <w:rFonts w:ascii="Tahoma" w:hAnsi="Tahoma"/>
        </w:rPr>
        <w:t xml:space="preserve">. If not, anxiety </w:t>
      </w:r>
      <w:r w:rsidR="006640F9" w:rsidRPr="00650F05">
        <w:rPr>
          <w:rFonts w:ascii="Tahoma" w:hAnsi="Tahoma"/>
        </w:rPr>
        <w:t>could</w:t>
      </w:r>
      <w:r w:rsidRPr="00650F05">
        <w:rPr>
          <w:rFonts w:ascii="Tahoma" w:hAnsi="Tahoma"/>
        </w:rPr>
        <w:t xml:space="preserve"> affect their perceived readiness to leave university and transition into the world of work.</w:t>
      </w:r>
    </w:p>
    <w:p w14:paraId="3974ECAA" w14:textId="77777777" w:rsidR="00333FF4" w:rsidRPr="00650F05" w:rsidRDefault="00333FF4" w:rsidP="00333FF4">
      <w:pPr>
        <w:pStyle w:val="ListParagraph"/>
        <w:spacing w:line="480" w:lineRule="auto"/>
        <w:jc w:val="both"/>
        <w:rPr>
          <w:rFonts w:ascii="Tahoma" w:hAnsi="Tahoma"/>
        </w:rPr>
      </w:pPr>
    </w:p>
    <w:p w14:paraId="1003796F" w14:textId="2E9D5E2B" w:rsidR="00333FF4" w:rsidRPr="00650F05" w:rsidRDefault="00333FF4" w:rsidP="00333FF4">
      <w:pPr>
        <w:pStyle w:val="ListParagraph"/>
        <w:numPr>
          <w:ilvl w:val="0"/>
          <w:numId w:val="1"/>
        </w:numPr>
        <w:spacing w:line="480" w:lineRule="auto"/>
        <w:jc w:val="both"/>
        <w:rPr>
          <w:rFonts w:ascii="Tahoma" w:hAnsi="Tahoma"/>
        </w:rPr>
      </w:pPr>
      <w:r w:rsidRPr="00650F05">
        <w:rPr>
          <w:rFonts w:ascii="Tahoma" w:hAnsi="Tahoma"/>
          <w:b/>
          <w:bCs/>
        </w:rPr>
        <w:t>Preparedness:</w:t>
      </w:r>
      <w:r w:rsidRPr="00650F05">
        <w:rPr>
          <w:rFonts w:ascii="Tahoma" w:hAnsi="Tahoma"/>
        </w:rPr>
        <w:t xml:space="preserve"> Students from non-traditional backgrounds feel prepared for the transition to work after graduation</w:t>
      </w:r>
      <w:r w:rsidR="003527DC" w:rsidRPr="00650F05">
        <w:rPr>
          <w:rFonts w:ascii="Tahoma" w:hAnsi="Tahoma"/>
        </w:rPr>
        <w:t>,</w:t>
      </w:r>
      <w:r w:rsidRPr="00650F05">
        <w:rPr>
          <w:rFonts w:ascii="Tahoma" w:hAnsi="Tahoma"/>
        </w:rPr>
        <w:t xml:space="preserve"> </w:t>
      </w:r>
      <w:r w:rsidR="006D618D" w:rsidRPr="00650F05">
        <w:rPr>
          <w:rFonts w:ascii="Tahoma" w:hAnsi="Tahoma"/>
        </w:rPr>
        <w:t xml:space="preserve">having used </w:t>
      </w:r>
      <w:r w:rsidR="003527DC" w:rsidRPr="00650F05">
        <w:rPr>
          <w:rFonts w:ascii="Tahoma" w:hAnsi="Tahoma"/>
        </w:rPr>
        <w:t>their</w:t>
      </w:r>
      <w:r w:rsidRPr="00650F05">
        <w:rPr>
          <w:rFonts w:ascii="Tahoma" w:hAnsi="Tahoma"/>
        </w:rPr>
        <w:t xml:space="preserve"> experience to secure capital in the form of industry knowledge, social connections, relationships with faculty staff, as well as theoretical knowledge and practical competencies; despite possibly not having access to these prior to attending university. Therefore, there is a responsibility upon </w:t>
      </w:r>
      <w:r w:rsidR="007E0C86" w:rsidRPr="00650F05">
        <w:rPr>
          <w:rFonts w:ascii="Tahoma" w:hAnsi="Tahoma"/>
        </w:rPr>
        <w:lastRenderedPageBreak/>
        <w:t>HEI’s</w:t>
      </w:r>
      <w:r w:rsidRPr="00650F05">
        <w:rPr>
          <w:rFonts w:ascii="Tahoma" w:hAnsi="Tahoma"/>
        </w:rPr>
        <w:t xml:space="preserve"> and their staff to understand </w:t>
      </w:r>
      <w:r w:rsidR="00141E59">
        <w:rPr>
          <w:rFonts w:ascii="Tahoma" w:hAnsi="Tahoma"/>
        </w:rPr>
        <w:t>peoples’</w:t>
      </w:r>
      <w:r w:rsidRPr="00650F05">
        <w:rPr>
          <w:rFonts w:ascii="Tahoma" w:hAnsi="Tahoma"/>
        </w:rPr>
        <w:t xml:space="preserve"> backgrounds, whilst providing opportunities to engage with local and regional employers. This bespoke educational offer will ensure that students </w:t>
      </w:r>
      <w:r w:rsidR="002E0309" w:rsidRPr="00650F05">
        <w:rPr>
          <w:rFonts w:ascii="Tahoma" w:hAnsi="Tahoma"/>
        </w:rPr>
        <w:t xml:space="preserve">can access </w:t>
      </w:r>
      <w:r w:rsidRPr="00650F05">
        <w:rPr>
          <w:rFonts w:ascii="Tahoma" w:hAnsi="Tahoma"/>
        </w:rPr>
        <w:t xml:space="preserve">opportunities and </w:t>
      </w:r>
      <w:r w:rsidR="00141E59">
        <w:rPr>
          <w:rFonts w:ascii="Tahoma" w:hAnsi="Tahoma"/>
        </w:rPr>
        <w:t xml:space="preserve">capital to </w:t>
      </w:r>
      <w:r w:rsidR="00984E7C" w:rsidRPr="00650F05">
        <w:rPr>
          <w:rFonts w:ascii="Tahoma" w:hAnsi="Tahoma"/>
        </w:rPr>
        <w:t>further</w:t>
      </w:r>
      <w:r w:rsidRPr="00650F05">
        <w:rPr>
          <w:rFonts w:ascii="Tahoma" w:hAnsi="Tahoma"/>
        </w:rPr>
        <w:t xml:space="preserve"> prepare them</w:t>
      </w:r>
      <w:r w:rsidR="00A15A98" w:rsidRPr="00650F05">
        <w:rPr>
          <w:rFonts w:ascii="Tahoma" w:hAnsi="Tahoma"/>
        </w:rPr>
        <w:t>selves</w:t>
      </w:r>
      <w:r w:rsidRPr="00650F05">
        <w:rPr>
          <w:rFonts w:ascii="Tahoma" w:hAnsi="Tahoma"/>
        </w:rPr>
        <w:t xml:space="preserve"> for work.</w:t>
      </w:r>
    </w:p>
    <w:p w14:paraId="28185889" w14:textId="77777777" w:rsidR="00333FF4" w:rsidRPr="00650F05" w:rsidRDefault="00333FF4" w:rsidP="00333FF4">
      <w:pPr>
        <w:pStyle w:val="ListParagraph"/>
        <w:spacing w:line="480" w:lineRule="auto"/>
        <w:jc w:val="both"/>
        <w:rPr>
          <w:rFonts w:ascii="Tahoma" w:hAnsi="Tahoma"/>
        </w:rPr>
      </w:pPr>
    </w:p>
    <w:p w14:paraId="579B6DD5" w14:textId="2991CF20" w:rsidR="006321CB" w:rsidRPr="00650F05" w:rsidRDefault="00333FF4" w:rsidP="00333FF4">
      <w:pPr>
        <w:pStyle w:val="ListParagraph"/>
        <w:numPr>
          <w:ilvl w:val="0"/>
          <w:numId w:val="1"/>
        </w:numPr>
        <w:spacing w:line="480" w:lineRule="auto"/>
        <w:jc w:val="both"/>
        <w:rPr>
          <w:rFonts w:ascii="Tahoma" w:hAnsi="Tahoma"/>
        </w:rPr>
      </w:pPr>
      <w:r w:rsidRPr="00650F05">
        <w:rPr>
          <w:rFonts w:ascii="Tahoma" w:hAnsi="Tahoma"/>
          <w:b/>
          <w:bCs/>
        </w:rPr>
        <w:t>K</w:t>
      </w:r>
      <w:r w:rsidR="006321CB" w:rsidRPr="00650F05">
        <w:rPr>
          <w:rFonts w:ascii="Tahoma" w:hAnsi="Tahoma"/>
          <w:b/>
          <w:bCs/>
        </w:rPr>
        <w:t xml:space="preserve">nowledge and </w:t>
      </w:r>
      <w:r w:rsidRPr="00650F05">
        <w:rPr>
          <w:rFonts w:ascii="Tahoma" w:hAnsi="Tahoma"/>
          <w:b/>
          <w:bCs/>
        </w:rPr>
        <w:t>C</w:t>
      </w:r>
      <w:r w:rsidR="006321CB" w:rsidRPr="00650F05">
        <w:rPr>
          <w:rFonts w:ascii="Tahoma" w:hAnsi="Tahoma"/>
          <w:b/>
          <w:bCs/>
        </w:rPr>
        <w:t>ompetencies</w:t>
      </w:r>
      <w:r w:rsidRPr="00650F05">
        <w:rPr>
          <w:rFonts w:ascii="Tahoma" w:hAnsi="Tahoma"/>
          <w:b/>
          <w:bCs/>
        </w:rPr>
        <w:t>:</w:t>
      </w:r>
      <w:r w:rsidRPr="00650F05">
        <w:rPr>
          <w:rFonts w:ascii="Tahoma" w:hAnsi="Tahoma"/>
        </w:rPr>
        <w:t xml:space="preserve"> Students from non-traditional backgrounds utilise theoretical knowledge to develop practical competencies, enhancing confidence in their </w:t>
      </w:r>
      <w:r w:rsidR="000C587C" w:rsidRPr="00650F05">
        <w:rPr>
          <w:rFonts w:ascii="Tahoma" w:hAnsi="Tahoma"/>
        </w:rPr>
        <w:t xml:space="preserve">own </w:t>
      </w:r>
      <w:r w:rsidRPr="00650F05">
        <w:rPr>
          <w:rFonts w:ascii="Tahoma" w:hAnsi="Tahoma"/>
        </w:rPr>
        <w:t xml:space="preserve">abilities and </w:t>
      </w:r>
      <w:r w:rsidR="0005613F">
        <w:rPr>
          <w:rFonts w:ascii="Tahoma" w:hAnsi="Tahoma"/>
        </w:rPr>
        <w:t xml:space="preserve">perceived </w:t>
      </w:r>
      <w:r w:rsidRPr="00650F05">
        <w:rPr>
          <w:rFonts w:ascii="Tahoma" w:hAnsi="Tahoma"/>
        </w:rPr>
        <w:t xml:space="preserve">self-efficacy in specific work-related activities. Therefore, </w:t>
      </w:r>
      <w:r w:rsidR="007E0C86" w:rsidRPr="00650F05">
        <w:rPr>
          <w:rFonts w:ascii="Tahoma" w:hAnsi="Tahoma"/>
        </w:rPr>
        <w:t>HEI’s</w:t>
      </w:r>
      <w:r w:rsidRPr="00650F05">
        <w:rPr>
          <w:rFonts w:ascii="Tahoma" w:hAnsi="Tahoma"/>
        </w:rPr>
        <w:t xml:space="preserve"> </w:t>
      </w:r>
      <w:r w:rsidR="0041666E" w:rsidRPr="00650F05">
        <w:rPr>
          <w:rFonts w:ascii="Tahoma" w:hAnsi="Tahoma"/>
        </w:rPr>
        <w:t xml:space="preserve">must </w:t>
      </w:r>
      <w:r w:rsidRPr="00650F05">
        <w:rPr>
          <w:rFonts w:ascii="Tahoma" w:hAnsi="Tahoma"/>
        </w:rPr>
        <w:t xml:space="preserve">ensure that </w:t>
      </w:r>
      <w:r w:rsidR="0041666E" w:rsidRPr="00650F05">
        <w:rPr>
          <w:rFonts w:ascii="Tahoma" w:hAnsi="Tahoma"/>
        </w:rPr>
        <w:t>curricula</w:t>
      </w:r>
      <w:r w:rsidRPr="00650F05">
        <w:rPr>
          <w:rFonts w:ascii="Tahoma" w:hAnsi="Tahoma"/>
        </w:rPr>
        <w:t xml:space="preserve"> </w:t>
      </w:r>
      <w:r w:rsidR="0052109A" w:rsidRPr="00650F05">
        <w:rPr>
          <w:rFonts w:ascii="Tahoma" w:hAnsi="Tahoma"/>
        </w:rPr>
        <w:t>are</w:t>
      </w:r>
      <w:r w:rsidRPr="00650F05">
        <w:rPr>
          <w:rFonts w:ascii="Tahoma" w:hAnsi="Tahoma"/>
        </w:rPr>
        <w:t xml:space="preserve"> developed </w:t>
      </w:r>
      <w:r w:rsidR="0041666E" w:rsidRPr="00650F05">
        <w:rPr>
          <w:rFonts w:ascii="Tahoma" w:hAnsi="Tahoma"/>
        </w:rPr>
        <w:t>to</w:t>
      </w:r>
      <w:r w:rsidRPr="00650F05">
        <w:rPr>
          <w:rFonts w:ascii="Tahoma" w:hAnsi="Tahoma"/>
        </w:rPr>
        <w:t xml:space="preserve"> not </w:t>
      </w:r>
      <w:r w:rsidR="0041666E" w:rsidRPr="00650F05">
        <w:rPr>
          <w:rFonts w:ascii="Tahoma" w:hAnsi="Tahoma"/>
        </w:rPr>
        <w:t xml:space="preserve">just </w:t>
      </w:r>
      <w:r w:rsidRPr="00650F05">
        <w:rPr>
          <w:rFonts w:ascii="Tahoma" w:hAnsi="Tahoma"/>
        </w:rPr>
        <w:t xml:space="preserve">provide theoretical </w:t>
      </w:r>
      <w:r w:rsidR="001E7AE3" w:rsidRPr="00650F05">
        <w:rPr>
          <w:rFonts w:ascii="Tahoma" w:hAnsi="Tahoma"/>
        </w:rPr>
        <w:t>knowledge but</w:t>
      </w:r>
      <w:r w:rsidRPr="00650F05">
        <w:rPr>
          <w:rFonts w:ascii="Tahoma" w:hAnsi="Tahoma"/>
        </w:rPr>
        <w:t xml:space="preserve"> </w:t>
      </w:r>
      <w:r w:rsidR="0041666E" w:rsidRPr="00650F05">
        <w:rPr>
          <w:rFonts w:ascii="Tahoma" w:hAnsi="Tahoma"/>
        </w:rPr>
        <w:t>enable</w:t>
      </w:r>
      <w:r w:rsidRPr="00650F05">
        <w:rPr>
          <w:rFonts w:ascii="Tahoma" w:hAnsi="Tahoma"/>
        </w:rPr>
        <w:t xml:space="preserve"> students to apply knowledge into a practical setting, where they can ‘test’ their skills and </w:t>
      </w:r>
      <w:r w:rsidR="00844182" w:rsidRPr="00650F05">
        <w:rPr>
          <w:rFonts w:ascii="Tahoma" w:hAnsi="Tahoma"/>
        </w:rPr>
        <w:t>develop</w:t>
      </w:r>
      <w:r w:rsidR="00016733" w:rsidRPr="00650F05">
        <w:rPr>
          <w:rFonts w:ascii="Tahoma" w:hAnsi="Tahoma"/>
        </w:rPr>
        <w:t xml:space="preserve"> competencies associated with </w:t>
      </w:r>
      <w:r w:rsidR="00033D5A">
        <w:rPr>
          <w:rFonts w:ascii="Tahoma" w:hAnsi="Tahoma"/>
        </w:rPr>
        <w:t>industry</w:t>
      </w:r>
      <w:r w:rsidR="002758E5" w:rsidRPr="00650F05">
        <w:rPr>
          <w:rFonts w:ascii="Tahoma" w:hAnsi="Tahoma"/>
        </w:rPr>
        <w:t xml:space="preserve">. </w:t>
      </w:r>
      <w:r w:rsidR="00C962B1" w:rsidRPr="00650F05">
        <w:rPr>
          <w:rFonts w:ascii="Tahoma" w:hAnsi="Tahoma"/>
        </w:rPr>
        <w:t>For example, ensuring that</w:t>
      </w:r>
      <w:r w:rsidR="00D0708C" w:rsidRPr="00650F05">
        <w:rPr>
          <w:rFonts w:ascii="Tahoma" w:hAnsi="Tahoma"/>
        </w:rPr>
        <w:t xml:space="preserve"> courses have </w:t>
      </w:r>
      <w:r w:rsidR="002758E5" w:rsidRPr="00650F05">
        <w:rPr>
          <w:rFonts w:ascii="Tahoma" w:hAnsi="Tahoma"/>
        </w:rPr>
        <w:t xml:space="preserve">mandatory </w:t>
      </w:r>
      <w:r w:rsidR="00D0708C" w:rsidRPr="00650F05">
        <w:rPr>
          <w:rFonts w:ascii="Tahoma" w:hAnsi="Tahoma"/>
        </w:rPr>
        <w:t>placements and practical experiences within them.</w:t>
      </w:r>
    </w:p>
    <w:p w14:paraId="05835593" w14:textId="77777777" w:rsidR="00333FF4" w:rsidRPr="00650F05" w:rsidRDefault="00333FF4" w:rsidP="00333FF4">
      <w:pPr>
        <w:pStyle w:val="ListParagraph"/>
        <w:spacing w:line="480" w:lineRule="auto"/>
        <w:jc w:val="both"/>
        <w:rPr>
          <w:rFonts w:ascii="Tahoma" w:hAnsi="Tahoma"/>
        </w:rPr>
      </w:pPr>
    </w:p>
    <w:p w14:paraId="6A85094D" w14:textId="790CAEEC" w:rsidR="002138FD" w:rsidRPr="00650F05" w:rsidRDefault="00333FF4" w:rsidP="004F5363">
      <w:pPr>
        <w:pStyle w:val="ListParagraph"/>
        <w:numPr>
          <w:ilvl w:val="0"/>
          <w:numId w:val="1"/>
        </w:numPr>
        <w:spacing w:line="480" w:lineRule="auto"/>
        <w:jc w:val="both"/>
        <w:rPr>
          <w:rFonts w:ascii="Tahoma" w:hAnsi="Tahoma"/>
        </w:rPr>
      </w:pPr>
      <w:r w:rsidRPr="00650F05">
        <w:rPr>
          <w:rFonts w:ascii="Tahoma" w:hAnsi="Tahoma"/>
          <w:b/>
          <w:bCs/>
        </w:rPr>
        <w:t>S</w:t>
      </w:r>
      <w:r w:rsidR="006321CB" w:rsidRPr="00650F05">
        <w:rPr>
          <w:rFonts w:ascii="Tahoma" w:hAnsi="Tahoma"/>
          <w:b/>
          <w:bCs/>
        </w:rPr>
        <w:t xml:space="preserve">ocio-demographic </w:t>
      </w:r>
      <w:r w:rsidRPr="00650F05">
        <w:rPr>
          <w:rFonts w:ascii="Tahoma" w:hAnsi="Tahoma"/>
          <w:b/>
          <w:bCs/>
        </w:rPr>
        <w:t>C</w:t>
      </w:r>
      <w:r w:rsidR="006321CB" w:rsidRPr="00650F05">
        <w:rPr>
          <w:rFonts w:ascii="Tahoma" w:hAnsi="Tahoma"/>
          <w:b/>
          <w:bCs/>
        </w:rPr>
        <w:t>haracteristics</w:t>
      </w:r>
      <w:r w:rsidRPr="00650F05">
        <w:rPr>
          <w:rFonts w:ascii="Tahoma" w:hAnsi="Tahoma"/>
          <w:b/>
          <w:bCs/>
        </w:rPr>
        <w:t>:</w:t>
      </w:r>
      <w:r w:rsidRPr="00650F05">
        <w:rPr>
          <w:rFonts w:ascii="Tahoma" w:hAnsi="Tahoma"/>
        </w:rPr>
        <w:t xml:space="preserve"> </w:t>
      </w:r>
      <w:r w:rsidR="00DE222F" w:rsidRPr="00650F05">
        <w:rPr>
          <w:rFonts w:ascii="Tahoma" w:hAnsi="Tahoma"/>
        </w:rPr>
        <w:t>Students from non-traditional backgrounds are aware of inequality in education and future career opportunities based upon an individual</w:t>
      </w:r>
      <w:r w:rsidR="00F75428" w:rsidRPr="00650F05">
        <w:rPr>
          <w:rFonts w:ascii="Tahoma" w:hAnsi="Tahoma"/>
        </w:rPr>
        <w:t>’</w:t>
      </w:r>
      <w:r w:rsidR="00DE222F" w:rsidRPr="00650F05">
        <w:rPr>
          <w:rFonts w:ascii="Tahoma" w:hAnsi="Tahoma"/>
        </w:rPr>
        <w:t xml:space="preserve">s background. </w:t>
      </w:r>
      <w:r w:rsidR="0023681A" w:rsidRPr="00650F05">
        <w:rPr>
          <w:rFonts w:ascii="Tahoma" w:hAnsi="Tahoma"/>
        </w:rPr>
        <w:t>I</w:t>
      </w:r>
      <w:r w:rsidR="00DE222F" w:rsidRPr="00650F05">
        <w:rPr>
          <w:rFonts w:ascii="Tahoma" w:hAnsi="Tahoma"/>
        </w:rPr>
        <w:t xml:space="preserve">t is imperative that support </w:t>
      </w:r>
      <w:r w:rsidR="00840944" w:rsidRPr="00650F05">
        <w:rPr>
          <w:rFonts w:ascii="Tahoma" w:hAnsi="Tahoma"/>
        </w:rPr>
        <w:t xml:space="preserve">is provided </w:t>
      </w:r>
      <w:r w:rsidR="00DE222F" w:rsidRPr="00650F05">
        <w:rPr>
          <w:rFonts w:ascii="Tahoma" w:hAnsi="Tahoma"/>
        </w:rPr>
        <w:t>to enable people from non-traditional backgrounds to not only access HE but to thrive within it</w:t>
      </w:r>
      <w:r w:rsidR="0016486C" w:rsidRPr="00650F05">
        <w:rPr>
          <w:rFonts w:ascii="Tahoma" w:hAnsi="Tahoma"/>
        </w:rPr>
        <w:t>. A</w:t>
      </w:r>
      <w:r w:rsidR="00DE222F" w:rsidRPr="00650F05">
        <w:rPr>
          <w:rFonts w:ascii="Tahoma" w:hAnsi="Tahoma"/>
        </w:rPr>
        <w:t>ccess to university is valuable in providing new opportunities to develop capital through education, networks, and work-related experiences</w:t>
      </w:r>
      <w:r w:rsidR="0016486C" w:rsidRPr="00650F05">
        <w:rPr>
          <w:rFonts w:ascii="Tahoma" w:hAnsi="Tahoma"/>
        </w:rPr>
        <w:t>,</w:t>
      </w:r>
      <w:r w:rsidR="00DE222F" w:rsidRPr="00650F05">
        <w:rPr>
          <w:rFonts w:ascii="Tahoma" w:hAnsi="Tahoma"/>
        </w:rPr>
        <w:t xml:space="preserve"> which some might not have had in the past. Faculties, departments and central services must work towards bridging the gap with students to ensure that they build capital throughout their HE </w:t>
      </w:r>
      <w:r w:rsidR="008B73EF" w:rsidRPr="00650F05">
        <w:rPr>
          <w:rFonts w:ascii="Tahoma" w:hAnsi="Tahoma"/>
        </w:rPr>
        <w:t>journey</w:t>
      </w:r>
      <w:r w:rsidR="00C377C7" w:rsidRPr="00650F05">
        <w:rPr>
          <w:rFonts w:ascii="Tahoma" w:hAnsi="Tahoma"/>
        </w:rPr>
        <w:t xml:space="preserve">, with </w:t>
      </w:r>
      <w:r w:rsidR="0074237C" w:rsidRPr="00650F05">
        <w:rPr>
          <w:rFonts w:ascii="Tahoma" w:hAnsi="Tahoma"/>
        </w:rPr>
        <w:t xml:space="preserve">little </w:t>
      </w:r>
      <w:r w:rsidR="00C377C7" w:rsidRPr="00650F05">
        <w:rPr>
          <w:rFonts w:ascii="Tahoma" w:hAnsi="Tahoma"/>
        </w:rPr>
        <w:t>expectation of previously developed capital</w:t>
      </w:r>
      <w:r w:rsidR="00DE222F" w:rsidRPr="00650F05">
        <w:rPr>
          <w:rFonts w:ascii="Tahoma" w:hAnsi="Tahoma"/>
        </w:rPr>
        <w:t>.</w:t>
      </w:r>
    </w:p>
    <w:p w14:paraId="4658D4B7" w14:textId="77777777" w:rsidR="004F5363" w:rsidRPr="00650F05" w:rsidRDefault="004F5363" w:rsidP="004F5363">
      <w:pPr>
        <w:spacing w:line="480" w:lineRule="auto"/>
        <w:jc w:val="both"/>
        <w:rPr>
          <w:rFonts w:ascii="Tahoma" w:hAnsi="Tahoma"/>
        </w:rPr>
      </w:pPr>
    </w:p>
    <w:p w14:paraId="4E4304A8" w14:textId="7CD84E1B" w:rsidR="00804E0E" w:rsidRPr="00650F05" w:rsidRDefault="00026A87" w:rsidP="004F5363">
      <w:pPr>
        <w:spacing w:line="480" w:lineRule="auto"/>
        <w:jc w:val="both"/>
        <w:rPr>
          <w:rFonts w:ascii="Tahoma" w:hAnsi="Tahoma"/>
        </w:rPr>
      </w:pPr>
      <w:r w:rsidRPr="00650F05">
        <w:rPr>
          <w:rFonts w:ascii="Tahoma" w:hAnsi="Tahoma"/>
        </w:rPr>
        <w:t xml:space="preserve">Despite </w:t>
      </w:r>
      <w:r w:rsidR="002B280A">
        <w:rPr>
          <w:rFonts w:ascii="Tahoma" w:hAnsi="Tahoma"/>
        </w:rPr>
        <w:t>a</w:t>
      </w:r>
      <w:r w:rsidR="00FE1FF4" w:rsidRPr="00650F05">
        <w:rPr>
          <w:rFonts w:ascii="Tahoma" w:hAnsi="Tahoma"/>
        </w:rPr>
        <w:t xml:space="preserve"> relatively small </w:t>
      </w:r>
      <w:r w:rsidR="002B280A">
        <w:rPr>
          <w:rFonts w:ascii="Tahoma" w:hAnsi="Tahoma"/>
        </w:rPr>
        <w:t xml:space="preserve">sample size </w:t>
      </w:r>
      <w:r w:rsidR="00FE1FF4" w:rsidRPr="00650F05">
        <w:rPr>
          <w:rFonts w:ascii="Tahoma" w:hAnsi="Tahoma"/>
        </w:rPr>
        <w:t xml:space="preserve">and participants being drawn from </w:t>
      </w:r>
      <w:r w:rsidR="0055087F">
        <w:rPr>
          <w:rFonts w:ascii="Tahoma" w:hAnsi="Tahoma"/>
        </w:rPr>
        <w:t>a</w:t>
      </w:r>
      <w:r w:rsidR="00FE1FF4" w:rsidRPr="00650F05">
        <w:rPr>
          <w:rFonts w:ascii="Tahoma" w:hAnsi="Tahoma"/>
        </w:rPr>
        <w:t xml:space="preserve"> </w:t>
      </w:r>
      <w:r w:rsidR="0041530E" w:rsidRPr="00650F05">
        <w:rPr>
          <w:rFonts w:ascii="Tahoma" w:hAnsi="Tahoma"/>
        </w:rPr>
        <w:t>final year cohort</w:t>
      </w:r>
      <w:r w:rsidR="00F83D3F" w:rsidRPr="00650F05">
        <w:rPr>
          <w:rFonts w:ascii="Tahoma" w:hAnsi="Tahoma"/>
        </w:rPr>
        <w:t xml:space="preserve"> within </w:t>
      </w:r>
      <w:r w:rsidR="0055087F">
        <w:rPr>
          <w:rFonts w:ascii="Tahoma" w:hAnsi="Tahoma"/>
        </w:rPr>
        <w:t>one</w:t>
      </w:r>
      <w:r w:rsidR="00F83D3F" w:rsidRPr="00650F05">
        <w:rPr>
          <w:rFonts w:ascii="Tahoma" w:hAnsi="Tahoma"/>
        </w:rPr>
        <w:t xml:space="preserve"> post-1992 university</w:t>
      </w:r>
      <w:r w:rsidR="002C5894" w:rsidRPr="00650F05">
        <w:rPr>
          <w:rFonts w:ascii="Tahoma" w:hAnsi="Tahoma"/>
        </w:rPr>
        <w:t xml:space="preserve">, the findings provide a </w:t>
      </w:r>
      <w:r w:rsidR="00895ED6" w:rsidRPr="00650F05">
        <w:rPr>
          <w:rFonts w:ascii="Tahoma" w:hAnsi="Tahoma"/>
        </w:rPr>
        <w:t>valuable</w:t>
      </w:r>
      <w:r w:rsidR="002C5894" w:rsidRPr="00650F05">
        <w:rPr>
          <w:rFonts w:ascii="Tahoma" w:hAnsi="Tahoma"/>
        </w:rPr>
        <w:t xml:space="preserve"> </w:t>
      </w:r>
      <w:r w:rsidR="00FD7D3E" w:rsidRPr="00650F05">
        <w:rPr>
          <w:rFonts w:ascii="Tahoma" w:hAnsi="Tahoma"/>
        </w:rPr>
        <w:t xml:space="preserve">insight </w:t>
      </w:r>
      <w:r w:rsidR="008D7AE3" w:rsidRPr="00650F05">
        <w:rPr>
          <w:rFonts w:ascii="Tahoma" w:hAnsi="Tahoma"/>
        </w:rPr>
        <w:t>into the subjectiv</w:t>
      </w:r>
      <w:r w:rsidR="00F46B51" w:rsidRPr="00650F05">
        <w:rPr>
          <w:rFonts w:ascii="Tahoma" w:hAnsi="Tahoma"/>
        </w:rPr>
        <w:t xml:space="preserve">e </w:t>
      </w:r>
      <w:r w:rsidR="00F46B51" w:rsidRPr="00650F05">
        <w:rPr>
          <w:rFonts w:ascii="Tahoma" w:hAnsi="Tahoma"/>
        </w:rPr>
        <w:lastRenderedPageBreak/>
        <w:t>viewpoints</w:t>
      </w:r>
      <w:r w:rsidR="008D7AE3" w:rsidRPr="00650F05">
        <w:rPr>
          <w:rFonts w:ascii="Tahoma" w:hAnsi="Tahoma"/>
        </w:rPr>
        <w:t xml:space="preserve"> of </w:t>
      </w:r>
      <w:r w:rsidR="00460607" w:rsidRPr="00650F05">
        <w:rPr>
          <w:rFonts w:ascii="Tahoma" w:hAnsi="Tahoma"/>
        </w:rPr>
        <w:t>student</w:t>
      </w:r>
      <w:r w:rsidR="001C09B3" w:rsidRPr="00650F05">
        <w:rPr>
          <w:rFonts w:ascii="Tahoma" w:hAnsi="Tahoma"/>
        </w:rPr>
        <w:t xml:space="preserve">s </w:t>
      </w:r>
      <w:r w:rsidR="00460607" w:rsidRPr="00650F05">
        <w:rPr>
          <w:rFonts w:ascii="Tahoma" w:hAnsi="Tahoma"/>
        </w:rPr>
        <w:t xml:space="preserve">from </w:t>
      </w:r>
      <w:r w:rsidR="00613BB4" w:rsidRPr="00650F05">
        <w:rPr>
          <w:rFonts w:ascii="Tahoma" w:hAnsi="Tahoma"/>
        </w:rPr>
        <w:t>no</w:t>
      </w:r>
      <w:r w:rsidR="00460607" w:rsidRPr="00650F05">
        <w:rPr>
          <w:rFonts w:ascii="Tahoma" w:hAnsi="Tahoma"/>
        </w:rPr>
        <w:t>n</w:t>
      </w:r>
      <w:r w:rsidR="00613BB4" w:rsidRPr="00650F05">
        <w:rPr>
          <w:rFonts w:ascii="Tahoma" w:hAnsi="Tahoma"/>
        </w:rPr>
        <w:t xml:space="preserve">-traditional </w:t>
      </w:r>
      <w:r w:rsidR="00460607" w:rsidRPr="00650F05">
        <w:rPr>
          <w:rFonts w:ascii="Tahoma" w:hAnsi="Tahoma"/>
        </w:rPr>
        <w:t>backgrounds</w:t>
      </w:r>
      <w:r w:rsidR="00373082" w:rsidRPr="00650F05">
        <w:rPr>
          <w:rFonts w:ascii="Tahoma" w:hAnsi="Tahoma"/>
        </w:rPr>
        <w:t xml:space="preserve">. </w:t>
      </w:r>
      <w:r w:rsidR="0016190D" w:rsidRPr="00650F05">
        <w:rPr>
          <w:rFonts w:ascii="Tahoma" w:hAnsi="Tahoma"/>
        </w:rPr>
        <w:t>The purposive sampling used to recruit volunteers</w:t>
      </w:r>
      <w:r w:rsidR="00CA7778" w:rsidRPr="00650F05">
        <w:rPr>
          <w:rFonts w:ascii="Tahoma" w:hAnsi="Tahoma"/>
        </w:rPr>
        <w:t>,</w:t>
      </w:r>
      <w:r w:rsidR="00ED6EBB" w:rsidRPr="00650F05">
        <w:rPr>
          <w:rFonts w:ascii="Tahoma" w:hAnsi="Tahoma"/>
        </w:rPr>
        <w:t xml:space="preserve"> as well as </w:t>
      </w:r>
      <w:r w:rsidR="006C5469">
        <w:rPr>
          <w:rFonts w:ascii="Tahoma" w:hAnsi="Tahoma"/>
        </w:rPr>
        <w:t>familiarity with</w:t>
      </w:r>
      <w:r w:rsidR="00ED6EBB" w:rsidRPr="00650F05">
        <w:rPr>
          <w:rFonts w:ascii="Tahoma" w:hAnsi="Tahoma"/>
        </w:rPr>
        <w:t xml:space="preserve"> the researcher</w:t>
      </w:r>
      <w:r w:rsidR="00C540E8" w:rsidRPr="00650F05">
        <w:rPr>
          <w:rFonts w:ascii="Tahoma" w:hAnsi="Tahoma"/>
        </w:rPr>
        <w:t>,</w:t>
      </w:r>
      <w:r w:rsidR="00ED6EBB" w:rsidRPr="00650F05">
        <w:rPr>
          <w:rFonts w:ascii="Tahoma" w:hAnsi="Tahoma"/>
        </w:rPr>
        <w:t xml:space="preserve"> </w:t>
      </w:r>
      <w:r w:rsidR="00DC5FF1" w:rsidRPr="00650F05">
        <w:rPr>
          <w:rFonts w:ascii="Tahoma" w:hAnsi="Tahoma"/>
        </w:rPr>
        <w:t>may lend itself to greater bias and assumption forming (</w:t>
      </w:r>
      <w:r w:rsidR="00452F7D" w:rsidRPr="00650F05">
        <w:rPr>
          <w:rFonts w:ascii="Tahoma" w:hAnsi="Tahoma"/>
        </w:rPr>
        <w:t xml:space="preserve">Etikan </w:t>
      </w:r>
      <w:r w:rsidR="00452F7D" w:rsidRPr="00CF783E">
        <w:rPr>
          <w:rFonts w:ascii="Tahoma" w:hAnsi="Tahoma"/>
          <w:i/>
          <w:iCs/>
        </w:rPr>
        <w:t>et al.,</w:t>
      </w:r>
      <w:r w:rsidR="00452F7D" w:rsidRPr="00650F05">
        <w:rPr>
          <w:rFonts w:ascii="Tahoma" w:hAnsi="Tahoma"/>
        </w:rPr>
        <w:t xml:space="preserve"> </w:t>
      </w:r>
      <w:r w:rsidR="006612E4" w:rsidRPr="00650F05">
        <w:rPr>
          <w:rFonts w:ascii="Tahoma" w:hAnsi="Tahoma"/>
        </w:rPr>
        <w:t>2016</w:t>
      </w:r>
      <w:r w:rsidR="00DC5FF1" w:rsidRPr="00650F05">
        <w:rPr>
          <w:rFonts w:ascii="Tahoma" w:hAnsi="Tahoma"/>
        </w:rPr>
        <w:t>).</w:t>
      </w:r>
      <w:r w:rsidR="002E330E" w:rsidRPr="00650F05">
        <w:rPr>
          <w:rFonts w:ascii="Tahoma" w:hAnsi="Tahoma"/>
        </w:rPr>
        <w:t xml:space="preserve"> However, </w:t>
      </w:r>
      <w:r w:rsidR="00816345">
        <w:rPr>
          <w:rFonts w:ascii="Tahoma" w:hAnsi="Tahoma"/>
        </w:rPr>
        <w:t>d</w:t>
      </w:r>
      <w:r w:rsidR="00244774" w:rsidRPr="00650F05">
        <w:rPr>
          <w:rFonts w:ascii="Tahoma" w:hAnsi="Tahoma"/>
        </w:rPr>
        <w:t>espite</w:t>
      </w:r>
      <w:r w:rsidR="000568A3" w:rsidRPr="00650F05">
        <w:rPr>
          <w:rFonts w:ascii="Tahoma" w:hAnsi="Tahoma"/>
        </w:rPr>
        <w:t xml:space="preserve"> commonalities</w:t>
      </w:r>
      <w:r w:rsidR="00A31F7A" w:rsidRPr="00650F05">
        <w:rPr>
          <w:rFonts w:ascii="Tahoma" w:hAnsi="Tahoma"/>
        </w:rPr>
        <w:t xml:space="preserve">, </w:t>
      </w:r>
      <w:r w:rsidR="00E15600">
        <w:rPr>
          <w:rFonts w:ascii="Tahoma" w:hAnsi="Tahoma"/>
        </w:rPr>
        <w:t xml:space="preserve">it </w:t>
      </w:r>
      <w:r w:rsidR="00A16E85" w:rsidRPr="00650F05">
        <w:rPr>
          <w:rFonts w:ascii="Tahoma" w:hAnsi="Tahoma"/>
        </w:rPr>
        <w:t>was evident</w:t>
      </w:r>
      <w:r w:rsidR="00FE33FB" w:rsidRPr="00650F05">
        <w:rPr>
          <w:rFonts w:ascii="Tahoma" w:hAnsi="Tahoma"/>
        </w:rPr>
        <w:t xml:space="preserve"> that </w:t>
      </w:r>
      <w:r w:rsidR="00E50E7E" w:rsidRPr="00650F05">
        <w:rPr>
          <w:rFonts w:ascii="Tahoma" w:hAnsi="Tahoma"/>
        </w:rPr>
        <w:t>participants</w:t>
      </w:r>
      <w:r w:rsidR="00FE33FB" w:rsidRPr="00650F05">
        <w:rPr>
          <w:rFonts w:ascii="Tahoma" w:hAnsi="Tahoma"/>
        </w:rPr>
        <w:t xml:space="preserve"> views </w:t>
      </w:r>
      <w:r w:rsidR="00A16E85" w:rsidRPr="00650F05">
        <w:rPr>
          <w:rFonts w:ascii="Tahoma" w:hAnsi="Tahoma"/>
        </w:rPr>
        <w:t>were</w:t>
      </w:r>
      <w:r w:rsidR="00FE33FB" w:rsidRPr="00650F05">
        <w:rPr>
          <w:rFonts w:ascii="Tahoma" w:hAnsi="Tahoma"/>
        </w:rPr>
        <w:t xml:space="preserve"> not </w:t>
      </w:r>
      <w:r w:rsidR="00E50E7E" w:rsidRPr="00650F05">
        <w:rPr>
          <w:rFonts w:ascii="Tahoma" w:hAnsi="Tahoma"/>
        </w:rPr>
        <w:t>exclusively</w:t>
      </w:r>
      <w:r w:rsidR="00FE33FB" w:rsidRPr="00650F05">
        <w:rPr>
          <w:rFonts w:ascii="Tahoma" w:hAnsi="Tahoma"/>
        </w:rPr>
        <w:t xml:space="preserve"> influenced by their interaction with </w:t>
      </w:r>
      <w:r w:rsidR="00341154" w:rsidRPr="00650F05">
        <w:rPr>
          <w:rFonts w:ascii="Tahoma" w:hAnsi="Tahoma"/>
        </w:rPr>
        <w:t xml:space="preserve">university </w:t>
      </w:r>
      <w:r w:rsidR="00FE33FB" w:rsidRPr="00650F05">
        <w:rPr>
          <w:rFonts w:ascii="Tahoma" w:hAnsi="Tahoma"/>
        </w:rPr>
        <w:t xml:space="preserve">educators but </w:t>
      </w:r>
      <w:r w:rsidR="00D541F0" w:rsidRPr="00650F05">
        <w:rPr>
          <w:rFonts w:ascii="Tahoma" w:hAnsi="Tahoma"/>
        </w:rPr>
        <w:t xml:space="preserve">by </w:t>
      </w:r>
      <w:r w:rsidR="00FE33FB" w:rsidRPr="00650F05">
        <w:rPr>
          <w:rFonts w:ascii="Tahoma" w:hAnsi="Tahoma"/>
        </w:rPr>
        <w:t>personal views</w:t>
      </w:r>
      <w:r w:rsidR="00F84734" w:rsidRPr="00650F05">
        <w:rPr>
          <w:rFonts w:ascii="Tahoma" w:hAnsi="Tahoma"/>
        </w:rPr>
        <w:t xml:space="preserve">, </w:t>
      </w:r>
      <w:r w:rsidR="00341154" w:rsidRPr="00650F05">
        <w:rPr>
          <w:rFonts w:ascii="Tahoma" w:hAnsi="Tahoma"/>
        </w:rPr>
        <w:t>experiences,</w:t>
      </w:r>
      <w:r w:rsidR="00FE33FB" w:rsidRPr="00650F05">
        <w:rPr>
          <w:rFonts w:ascii="Tahoma" w:hAnsi="Tahoma"/>
        </w:rPr>
        <w:t xml:space="preserve"> or interaction with practitioners</w:t>
      </w:r>
      <w:r w:rsidR="00F84734" w:rsidRPr="00650F05">
        <w:rPr>
          <w:rFonts w:ascii="Tahoma" w:hAnsi="Tahoma"/>
        </w:rPr>
        <w:t xml:space="preserve"> through work-based learning</w:t>
      </w:r>
      <w:r w:rsidR="00FE33FB" w:rsidRPr="00650F05">
        <w:rPr>
          <w:rFonts w:ascii="Tahoma" w:hAnsi="Tahoma"/>
        </w:rPr>
        <w:t>.</w:t>
      </w:r>
    </w:p>
    <w:p w14:paraId="2F90F83E" w14:textId="2D14FBA8" w:rsidR="00A86DCA" w:rsidRPr="00650F05" w:rsidRDefault="004C3403" w:rsidP="005650DA">
      <w:pPr>
        <w:spacing w:line="480" w:lineRule="auto"/>
        <w:jc w:val="both"/>
        <w:rPr>
          <w:rFonts w:ascii="Tahoma" w:hAnsi="Tahoma"/>
        </w:rPr>
      </w:pPr>
      <w:r w:rsidRPr="00650F05">
        <w:rPr>
          <w:rFonts w:ascii="Tahoma" w:hAnsi="Tahoma"/>
        </w:rPr>
        <w:t>The</w:t>
      </w:r>
      <w:r w:rsidR="002C18A9" w:rsidRPr="00650F05">
        <w:rPr>
          <w:rFonts w:ascii="Tahoma" w:hAnsi="Tahoma"/>
        </w:rPr>
        <w:t xml:space="preserve"> conceptual approach of </w:t>
      </w:r>
      <w:r w:rsidR="00CA360E" w:rsidRPr="00650F05">
        <w:rPr>
          <w:rFonts w:ascii="Tahoma" w:hAnsi="Tahoma"/>
        </w:rPr>
        <w:t xml:space="preserve">the research </w:t>
      </w:r>
      <w:r w:rsidR="00C72DFF">
        <w:rPr>
          <w:rFonts w:ascii="Tahoma" w:hAnsi="Tahoma"/>
        </w:rPr>
        <w:t xml:space="preserve">fitted into </w:t>
      </w:r>
      <w:r w:rsidR="00734E86">
        <w:rPr>
          <w:rFonts w:ascii="Tahoma" w:hAnsi="Tahoma"/>
        </w:rPr>
        <w:t xml:space="preserve">what </w:t>
      </w:r>
      <w:r w:rsidR="00326425" w:rsidRPr="00650F05">
        <w:rPr>
          <w:rFonts w:ascii="Tahoma" w:hAnsi="Tahoma"/>
        </w:rPr>
        <w:t xml:space="preserve">Gale and Parker (2014) term </w:t>
      </w:r>
      <w:r w:rsidR="00CA360E" w:rsidRPr="00650F05">
        <w:rPr>
          <w:rFonts w:ascii="Tahoma" w:hAnsi="Tahoma"/>
        </w:rPr>
        <w:t>as the ‘becoming’ phase of transition research</w:t>
      </w:r>
      <w:r w:rsidR="00326425" w:rsidRPr="00650F05">
        <w:rPr>
          <w:rFonts w:ascii="Tahoma" w:hAnsi="Tahoma"/>
        </w:rPr>
        <w:t xml:space="preserve">. </w:t>
      </w:r>
      <w:r w:rsidR="009C7B15" w:rsidRPr="00650F05">
        <w:rPr>
          <w:rFonts w:ascii="Tahoma" w:hAnsi="Tahoma"/>
        </w:rPr>
        <w:t>Gale and Parker (2014</w:t>
      </w:r>
      <w:r w:rsidR="0093692D" w:rsidRPr="00650F05">
        <w:rPr>
          <w:rFonts w:ascii="Tahoma" w:hAnsi="Tahoma"/>
        </w:rPr>
        <w:t>, p.747</w:t>
      </w:r>
      <w:r w:rsidR="009C7B15" w:rsidRPr="00650F05">
        <w:rPr>
          <w:rFonts w:ascii="Tahoma" w:hAnsi="Tahoma"/>
        </w:rPr>
        <w:t xml:space="preserve">) </w:t>
      </w:r>
      <w:r w:rsidR="00326425" w:rsidRPr="00650F05">
        <w:rPr>
          <w:rFonts w:ascii="Tahoma" w:hAnsi="Tahoma"/>
        </w:rPr>
        <w:t xml:space="preserve">posit that </w:t>
      </w:r>
      <w:r w:rsidR="0093692D" w:rsidRPr="00650F05">
        <w:rPr>
          <w:rFonts w:ascii="Tahoma" w:hAnsi="Tahoma"/>
        </w:rPr>
        <w:t>“</w:t>
      </w:r>
      <w:r w:rsidR="00A86DCA" w:rsidRPr="00650F05">
        <w:rPr>
          <w:rFonts w:ascii="Tahoma" w:hAnsi="Tahoma"/>
        </w:rPr>
        <w:t>many of the problems associated with these conceptual silences could be addressed in future research that explicitly names how it defines transition</w:t>
      </w:r>
      <w:r w:rsidR="0093692D" w:rsidRPr="00650F05">
        <w:rPr>
          <w:rFonts w:ascii="Tahoma" w:hAnsi="Tahoma"/>
        </w:rPr>
        <w:t xml:space="preserve">”. Therefore, </w:t>
      </w:r>
      <w:r w:rsidR="00D51F26" w:rsidRPr="00650F05">
        <w:rPr>
          <w:rFonts w:ascii="Tahoma" w:hAnsi="Tahoma"/>
        </w:rPr>
        <w:t xml:space="preserve">the conceptual approach </w:t>
      </w:r>
      <w:r w:rsidR="007C2D94" w:rsidRPr="00650F05">
        <w:rPr>
          <w:rFonts w:ascii="Tahoma" w:hAnsi="Tahoma"/>
        </w:rPr>
        <w:t xml:space="preserve">was outlined </w:t>
      </w:r>
      <w:r w:rsidR="00D36664" w:rsidRPr="00650F05">
        <w:rPr>
          <w:rFonts w:ascii="Tahoma" w:hAnsi="Tahoma"/>
        </w:rPr>
        <w:t xml:space="preserve">at the earliest stage to </w:t>
      </w:r>
      <w:r w:rsidR="001E3D7B" w:rsidRPr="00650F05">
        <w:rPr>
          <w:rFonts w:ascii="Tahoma" w:hAnsi="Tahoma"/>
        </w:rPr>
        <w:t xml:space="preserve">provide </w:t>
      </w:r>
      <w:r w:rsidR="004D6467" w:rsidRPr="00650F05">
        <w:rPr>
          <w:rFonts w:ascii="Tahoma" w:hAnsi="Tahoma"/>
        </w:rPr>
        <w:t>positionality for the reader, enabling them to understand the research in relation to other definitions and approaches in the wide-ranging field of educational transition research</w:t>
      </w:r>
      <w:r w:rsidR="00DB0FF4" w:rsidRPr="00650F05">
        <w:rPr>
          <w:rFonts w:ascii="Tahoma" w:hAnsi="Tahoma"/>
        </w:rPr>
        <w:t xml:space="preserve">, </w:t>
      </w:r>
      <w:r w:rsidR="00D51F26" w:rsidRPr="00650F05">
        <w:rPr>
          <w:rFonts w:ascii="Tahoma" w:hAnsi="Tahoma"/>
        </w:rPr>
        <w:t>whilst providing</w:t>
      </w:r>
      <w:r w:rsidR="009E064A" w:rsidRPr="00650F05">
        <w:rPr>
          <w:rFonts w:ascii="Tahoma" w:hAnsi="Tahoma"/>
        </w:rPr>
        <w:t xml:space="preserve"> policy makers, </w:t>
      </w:r>
      <w:r w:rsidR="00A71439" w:rsidRPr="00650F05">
        <w:rPr>
          <w:rFonts w:ascii="Tahoma" w:hAnsi="Tahoma"/>
        </w:rPr>
        <w:t>researchers,</w:t>
      </w:r>
      <w:r w:rsidR="009E064A" w:rsidRPr="00650F05">
        <w:rPr>
          <w:rFonts w:ascii="Tahoma" w:hAnsi="Tahoma"/>
        </w:rPr>
        <w:t xml:space="preserve"> and practitioners with the wherewithal to subject it to critique</w:t>
      </w:r>
      <w:r w:rsidR="00D51F26" w:rsidRPr="00650F05">
        <w:rPr>
          <w:rFonts w:ascii="Tahoma" w:hAnsi="Tahoma"/>
        </w:rPr>
        <w:t>.</w:t>
      </w:r>
    </w:p>
    <w:p w14:paraId="31497659" w14:textId="4E060B9F" w:rsidR="00A86DCA" w:rsidRPr="00650F05" w:rsidRDefault="002C0BB3" w:rsidP="00CB62A5">
      <w:pPr>
        <w:spacing w:line="480" w:lineRule="auto"/>
        <w:jc w:val="both"/>
        <w:rPr>
          <w:rFonts w:ascii="Tahoma" w:hAnsi="Tahoma"/>
        </w:rPr>
      </w:pPr>
      <w:r w:rsidRPr="00650F05">
        <w:rPr>
          <w:rFonts w:ascii="Tahoma" w:hAnsi="Tahoma"/>
        </w:rPr>
        <w:t>The application of Bourdieu’s Theory of Practice</w:t>
      </w:r>
      <w:r w:rsidR="003330BA" w:rsidRPr="00650F05">
        <w:rPr>
          <w:rFonts w:ascii="Tahoma" w:hAnsi="Tahoma"/>
        </w:rPr>
        <w:t xml:space="preserve"> (1977)</w:t>
      </w:r>
      <w:r w:rsidRPr="00650F05">
        <w:rPr>
          <w:rFonts w:ascii="Tahoma" w:hAnsi="Tahoma"/>
        </w:rPr>
        <w:t xml:space="preserve"> </w:t>
      </w:r>
      <w:r w:rsidR="00D22A9F" w:rsidRPr="00650F05">
        <w:rPr>
          <w:rFonts w:ascii="Tahoma" w:hAnsi="Tahoma"/>
        </w:rPr>
        <w:t>was</w:t>
      </w:r>
      <w:r w:rsidR="003330BA" w:rsidRPr="00650F05">
        <w:rPr>
          <w:rFonts w:ascii="Tahoma" w:hAnsi="Tahoma"/>
        </w:rPr>
        <w:t xml:space="preserve"> </w:t>
      </w:r>
      <w:r w:rsidR="00E204F6" w:rsidRPr="00650F05">
        <w:rPr>
          <w:rFonts w:ascii="Tahoma" w:hAnsi="Tahoma"/>
        </w:rPr>
        <w:t xml:space="preserve">a </w:t>
      </w:r>
      <w:r w:rsidR="003330BA" w:rsidRPr="00650F05">
        <w:rPr>
          <w:rFonts w:ascii="Tahoma" w:hAnsi="Tahoma"/>
        </w:rPr>
        <w:t xml:space="preserve">useful </w:t>
      </w:r>
      <w:r w:rsidR="00E204F6" w:rsidRPr="00650F05">
        <w:rPr>
          <w:rFonts w:ascii="Tahoma" w:hAnsi="Tahoma"/>
        </w:rPr>
        <w:t xml:space="preserve">mechanism </w:t>
      </w:r>
      <w:r w:rsidR="003330BA" w:rsidRPr="00650F05">
        <w:rPr>
          <w:rFonts w:ascii="Tahoma" w:hAnsi="Tahoma"/>
        </w:rPr>
        <w:t xml:space="preserve">to understand the social landscape and highlight the mechanisms of </w:t>
      </w:r>
      <w:r w:rsidR="002705AB" w:rsidRPr="00650F05">
        <w:rPr>
          <w:rFonts w:ascii="Tahoma" w:hAnsi="Tahoma"/>
        </w:rPr>
        <w:t>“</w:t>
      </w:r>
      <w:r w:rsidR="003330BA" w:rsidRPr="00650F05">
        <w:rPr>
          <w:rFonts w:ascii="Tahoma" w:hAnsi="Tahoma"/>
        </w:rPr>
        <w:t>power and inequality in different social spaces</w:t>
      </w:r>
      <w:r w:rsidR="002705AB" w:rsidRPr="00650F05">
        <w:rPr>
          <w:rFonts w:ascii="Tahoma" w:hAnsi="Tahoma"/>
        </w:rPr>
        <w:t>”</w:t>
      </w:r>
      <w:r w:rsidR="00104785" w:rsidRPr="00650F05">
        <w:rPr>
          <w:rFonts w:ascii="Tahoma" w:hAnsi="Tahoma"/>
        </w:rPr>
        <w:t xml:space="preserve"> (Bathmaker, 2021</w:t>
      </w:r>
      <w:r w:rsidR="002705AB" w:rsidRPr="00650F05">
        <w:rPr>
          <w:rFonts w:ascii="Tahoma" w:hAnsi="Tahoma"/>
        </w:rPr>
        <w:t>, p. 8</w:t>
      </w:r>
      <w:r w:rsidR="005E07C0" w:rsidRPr="00650F05">
        <w:rPr>
          <w:rFonts w:ascii="Tahoma" w:hAnsi="Tahoma"/>
        </w:rPr>
        <w:t>0</w:t>
      </w:r>
      <w:r w:rsidR="00104785" w:rsidRPr="00650F05">
        <w:rPr>
          <w:rFonts w:ascii="Tahoma" w:hAnsi="Tahoma"/>
        </w:rPr>
        <w:t>).</w:t>
      </w:r>
      <w:r w:rsidR="00E204F6" w:rsidRPr="00650F05">
        <w:t xml:space="preserve"> </w:t>
      </w:r>
      <w:r w:rsidR="00E204F6" w:rsidRPr="00650F05">
        <w:rPr>
          <w:rFonts w:ascii="Tahoma" w:hAnsi="Tahoma"/>
        </w:rPr>
        <w:t>Future research using this theoretical frame</w:t>
      </w:r>
      <w:r w:rsidR="00290E2C" w:rsidRPr="00650F05">
        <w:rPr>
          <w:rFonts w:ascii="Tahoma" w:hAnsi="Tahoma"/>
        </w:rPr>
        <w:t>work</w:t>
      </w:r>
      <w:r w:rsidR="00E204F6" w:rsidRPr="00650F05">
        <w:rPr>
          <w:rFonts w:ascii="Tahoma" w:hAnsi="Tahoma"/>
        </w:rPr>
        <w:t xml:space="preserve"> could provide insight into how field, capital, and habitus inform </w:t>
      </w:r>
      <w:r w:rsidR="00CB62A5" w:rsidRPr="00650F05">
        <w:rPr>
          <w:rFonts w:ascii="Tahoma" w:hAnsi="Tahoma"/>
        </w:rPr>
        <w:t>non-traditional</w:t>
      </w:r>
      <w:r w:rsidR="00E204F6" w:rsidRPr="00650F05">
        <w:rPr>
          <w:rFonts w:ascii="Tahoma" w:hAnsi="Tahoma"/>
        </w:rPr>
        <w:t xml:space="preserve"> students</w:t>
      </w:r>
      <w:r w:rsidR="001428A1" w:rsidRPr="00650F05">
        <w:rPr>
          <w:rFonts w:ascii="Tahoma" w:hAnsi="Tahoma"/>
        </w:rPr>
        <w:t>’</w:t>
      </w:r>
      <w:r w:rsidR="00E204F6" w:rsidRPr="00650F05">
        <w:rPr>
          <w:rFonts w:ascii="Tahoma" w:hAnsi="Tahoma"/>
        </w:rPr>
        <w:t xml:space="preserve"> transition </w:t>
      </w:r>
      <w:r w:rsidR="00A40712" w:rsidRPr="00650F05">
        <w:rPr>
          <w:rFonts w:ascii="Tahoma" w:hAnsi="Tahoma"/>
        </w:rPr>
        <w:t>throughout their educational journey</w:t>
      </w:r>
      <w:r w:rsidR="000E391F" w:rsidRPr="00650F05">
        <w:rPr>
          <w:rFonts w:ascii="Tahoma" w:hAnsi="Tahoma"/>
        </w:rPr>
        <w:t xml:space="preserve">, not just </w:t>
      </w:r>
      <w:r w:rsidR="00693155" w:rsidRPr="00650F05">
        <w:rPr>
          <w:rFonts w:ascii="Tahoma" w:hAnsi="Tahoma"/>
        </w:rPr>
        <w:t>within the final</w:t>
      </w:r>
      <w:r w:rsidR="00563525" w:rsidRPr="00650F05">
        <w:rPr>
          <w:rFonts w:ascii="Tahoma" w:hAnsi="Tahoma"/>
        </w:rPr>
        <w:t xml:space="preserve"> year of study</w:t>
      </w:r>
      <w:r w:rsidR="00A40712" w:rsidRPr="00650F05">
        <w:rPr>
          <w:rFonts w:ascii="Tahoma" w:hAnsi="Tahoma"/>
        </w:rPr>
        <w:t>.</w:t>
      </w:r>
      <w:r w:rsidR="00CB62A5" w:rsidRPr="00650F05">
        <w:t xml:space="preserve"> </w:t>
      </w:r>
      <w:r w:rsidR="00CC7D9C" w:rsidRPr="00CC7D9C">
        <w:rPr>
          <w:rFonts w:ascii="Tahoma" w:hAnsi="Tahoma" w:cs="Tahoma"/>
        </w:rPr>
        <w:t xml:space="preserve">Finally, </w:t>
      </w:r>
      <w:r w:rsidR="00CC7D9C">
        <w:rPr>
          <w:rFonts w:ascii="Tahoma" w:hAnsi="Tahoma" w:cs="Tahoma"/>
        </w:rPr>
        <w:t>i</w:t>
      </w:r>
      <w:r w:rsidR="000E391F" w:rsidRPr="00650F05">
        <w:rPr>
          <w:rFonts w:ascii="Tahoma" w:hAnsi="Tahoma" w:cs="Tahoma"/>
        </w:rPr>
        <w:t>t</w:t>
      </w:r>
      <w:r w:rsidR="000E391F" w:rsidRPr="00650F05">
        <w:rPr>
          <w:rFonts w:ascii="Tahoma" w:hAnsi="Tahoma"/>
        </w:rPr>
        <w:t xml:space="preserve"> </w:t>
      </w:r>
      <w:r w:rsidR="005D2E30" w:rsidRPr="00650F05">
        <w:rPr>
          <w:rFonts w:ascii="Tahoma" w:hAnsi="Tahoma"/>
        </w:rPr>
        <w:t xml:space="preserve">is important to understand </w:t>
      </w:r>
      <w:r w:rsidR="000E391F" w:rsidRPr="00650F05">
        <w:rPr>
          <w:rFonts w:ascii="Tahoma" w:hAnsi="Tahoma"/>
        </w:rPr>
        <w:t xml:space="preserve">the researchers </w:t>
      </w:r>
      <w:r w:rsidR="00CB62A5" w:rsidRPr="00650F05">
        <w:rPr>
          <w:rFonts w:ascii="Tahoma" w:hAnsi="Tahoma"/>
        </w:rPr>
        <w:t>own position</w:t>
      </w:r>
      <w:r w:rsidR="000E391F" w:rsidRPr="00650F05">
        <w:rPr>
          <w:rFonts w:ascii="Tahoma" w:hAnsi="Tahoma"/>
        </w:rPr>
        <w:t xml:space="preserve"> </w:t>
      </w:r>
      <w:r w:rsidR="00CB62A5" w:rsidRPr="00650F05">
        <w:rPr>
          <w:rFonts w:ascii="Tahoma" w:hAnsi="Tahoma"/>
        </w:rPr>
        <w:t>in education</w:t>
      </w:r>
      <w:r w:rsidR="00152997" w:rsidRPr="00650F05">
        <w:rPr>
          <w:rFonts w:ascii="Tahoma" w:hAnsi="Tahoma"/>
        </w:rPr>
        <w:t xml:space="preserve"> and research</w:t>
      </w:r>
      <w:r w:rsidR="00CB62A5" w:rsidRPr="00650F05">
        <w:rPr>
          <w:rFonts w:ascii="Tahoma" w:hAnsi="Tahoma"/>
        </w:rPr>
        <w:t xml:space="preserve">, and </w:t>
      </w:r>
      <w:r w:rsidR="00D60022" w:rsidRPr="00650F05">
        <w:rPr>
          <w:rFonts w:ascii="Tahoma" w:hAnsi="Tahoma"/>
        </w:rPr>
        <w:t xml:space="preserve">how this may </w:t>
      </w:r>
      <w:r w:rsidR="00CB62A5" w:rsidRPr="00650F05">
        <w:rPr>
          <w:rFonts w:ascii="Tahoma" w:hAnsi="Tahoma"/>
        </w:rPr>
        <w:t>bias</w:t>
      </w:r>
      <w:r w:rsidR="00A7570A" w:rsidRPr="00650F05">
        <w:rPr>
          <w:rFonts w:ascii="Tahoma" w:hAnsi="Tahoma"/>
        </w:rPr>
        <w:t xml:space="preserve"> </w:t>
      </w:r>
      <w:r w:rsidR="00CB62A5" w:rsidRPr="00650F05">
        <w:rPr>
          <w:rFonts w:ascii="Tahoma" w:hAnsi="Tahoma"/>
        </w:rPr>
        <w:t xml:space="preserve">findings. </w:t>
      </w:r>
      <w:r w:rsidR="00E6267F" w:rsidRPr="00650F05">
        <w:rPr>
          <w:rFonts w:ascii="Tahoma" w:hAnsi="Tahoma"/>
        </w:rPr>
        <w:t xml:space="preserve">Interpretations were </w:t>
      </w:r>
      <w:r w:rsidR="00126019" w:rsidRPr="00650F05">
        <w:rPr>
          <w:rFonts w:ascii="Tahoma" w:hAnsi="Tahoma"/>
        </w:rPr>
        <w:t xml:space="preserve">based on the </w:t>
      </w:r>
      <w:r w:rsidR="00CB62A5" w:rsidRPr="00650F05">
        <w:rPr>
          <w:rFonts w:ascii="Tahoma" w:hAnsi="Tahoma"/>
        </w:rPr>
        <w:t>understanding of Bourdieu’s key concepts in relation to the data</w:t>
      </w:r>
      <w:r w:rsidR="00126019" w:rsidRPr="00650F05">
        <w:rPr>
          <w:rFonts w:ascii="Tahoma" w:hAnsi="Tahoma"/>
        </w:rPr>
        <w:t>, however,</w:t>
      </w:r>
      <w:r w:rsidR="00CB62A5" w:rsidRPr="00650F05">
        <w:rPr>
          <w:rFonts w:ascii="Tahoma" w:hAnsi="Tahoma"/>
        </w:rPr>
        <w:t xml:space="preserve"> </w:t>
      </w:r>
      <w:r w:rsidR="00126019" w:rsidRPr="00650F05">
        <w:rPr>
          <w:rFonts w:ascii="Tahoma" w:hAnsi="Tahoma"/>
        </w:rPr>
        <w:t xml:space="preserve">this provides only </w:t>
      </w:r>
      <w:r w:rsidR="00205268" w:rsidRPr="00650F05">
        <w:rPr>
          <w:rFonts w:ascii="Tahoma" w:hAnsi="Tahoma"/>
        </w:rPr>
        <w:t xml:space="preserve">the </w:t>
      </w:r>
      <w:r w:rsidR="00CB62A5" w:rsidRPr="00650F05">
        <w:rPr>
          <w:rFonts w:ascii="Tahoma" w:hAnsi="Tahoma"/>
        </w:rPr>
        <w:t>perspective</w:t>
      </w:r>
      <w:r w:rsidR="00290E2C" w:rsidRPr="00650F05">
        <w:rPr>
          <w:rFonts w:ascii="Tahoma" w:hAnsi="Tahoma"/>
        </w:rPr>
        <w:t xml:space="preserve"> of the researcher, </w:t>
      </w:r>
      <w:r w:rsidR="00CB62A5" w:rsidRPr="00650F05">
        <w:rPr>
          <w:rFonts w:ascii="Tahoma" w:hAnsi="Tahoma"/>
        </w:rPr>
        <w:t>exclud</w:t>
      </w:r>
      <w:r w:rsidR="00205268" w:rsidRPr="00650F05">
        <w:rPr>
          <w:rFonts w:ascii="Tahoma" w:hAnsi="Tahoma"/>
        </w:rPr>
        <w:t>ing</w:t>
      </w:r>
      <w:r w:rsidR="00CB62A5" w:rsidRPr="00650F05">
        <w:rPr>
          <w:rFonts w:ascii="Tahoma" w:hAnsi="Tahoma"/>
        </w:rPr>
        <w:t xml:space="preserve"> from consideration other </w:t>
      </w:r>
      <w:r w:rsidR="00780EC6" w:rsidRPr="00650F05">
        <w:rPr>
          <w:rFonts w:ascii="Tahoma" w:hAnsi="Tahoma"/>
        </w:rPr>
        <w:t xml:space="preserve">valid </w:t>
      </w:r>
      <w:r w:rsidR="00CB62A5" w:rsidRPr="00650F05">
        <w:rPr>
          <w:rFonts w:ascii="Tahoma" w:hAnsi="Tahoma"/>
        </w:rPr>
        <w:t>perspectives</w:t>
      </w:r>
      <w:r w:rsidR="00780EC6" w:rsidRPr="00650F05">
        <w:rPr>
          <w:rFonts w:ascii="Tahoma" w:hAnsi="Tahoma"/>
        </w:rPr>
        <w:t>.</w:t>
      </w:r>
    </w:p>
    <w:p w14:paraId="034AB12C" w14:textId="77777777" w:rsidR="006C6BBF" w:rsidRPr="00650F05" w:rsidRDefault="006C6BBF" w:rsidP="00D20486">
      <w:pPr>
        <w:spacing w:line="480" w:lineRule="auto"/>
        <w:jc w:val="both"/>
        <w:rPr>
          <w:rFonts w:ascii="Tahoma" w:hAnsi="Tahoma"/>
        </w:rPr>
      </w:pPr>
    </w:p>
    <w:p w14:paraId="1DD46B3A" w14:textId="28814BEE" w:rsidR="00392C3C" w:rsidRPr="00650F05" w:rsidRDefault="00392C3C" w:rsidP="00D20486">
      <w:pPr>
        <w:spacing w:line="480" w:lineRule="auto"/>
        <w:jc w:val="both"/>
        <w:rPr>
          <w:rFonts w:ascii="Tahoma" w:hAnsi="Tahoma" w:cs="Tahoma"/>
          <w:b/>
          <w:bCs/>
        </w:rPr>
      </w:pPr>
      <w:r w:rsidRPr="00650F05">
        <w:rPr>
          <w:rFonts w:ascii="Tahoma" w:hAnsi="Tahoma" w:cs="Tahoma"/>
          <w:b/>
          <w:bCs/>
        </w:rPr>
        <w:t>References</w:t>
      </w:r>
    </w:p>
    <w:p w14:paraId="04F2BF05" w14:textId="42C330AB" w:rsidR="00D20486" w:rsidRPr="00650F05" w:rsidRDefault="00651C5B" w:rsidP="00D20486">
      <w:pPr>
        <w:spacing w:line="480" w:lineRule="auto"/>
        <w:jc w:val="both"/>
        <w:rPr>
          <w:rFonts w:ascii="Tahoma" w:hAnsi="Tahoma" w:cs="Tahoma"/>
        </w:rPr>
      </w:pPr>
      <w:r w:rsidRPr="00651C5B">
        <w:rPr>
          <w:rFonts w:ascii="Tahoma" w:hAnsi="Tahoma" w:cs="Tahoma"/>
        </w:rPr>
        <w:lastRenderedPageBreak/>
        <w:t xml:space="preserve">Agllias, Kylie. "Student to practitioner: A study of preparedness for social work practice." </w:t>
      </w:r>
      <w:r w:rsidRPr="00602BFC">
        <w:rPr>
          <w:rFonts w:ascii="Tahoma" w:hAnsi="Tahoma" w:cs="Tahoma"/>
          <w:i/>
          <w:iCs/>
        </w:rPr>
        <w:t>Australian Social Work</w:t>
      </w:r>
      <w:r w:rsidRPr="00651C5B">
        <w:rPr>
          <w:rFonts w:ascii="Tahoma" w:hAnsi="Tahoma" w:cs="Tahoma"/>
        </w:rPr>
        <w:t xml:space="preserve"> 63, no. 3 (2010): 345-360.</w:t>
      </w:r>
    </w:p>
    <w:p w14:paraId="6F96E37A" w14:textId="2EB91342" w:rsidR="00D20486" w:rsidRPr="00650F05" w:rsidRDefault="00931D6A" w:rsidP="00D20486">
      <w:pPr>
        <w:spacing w:line="480" w:lineRule="auto"/>
        <w:jc w:val="both"/>
        <w:rPr>
          <w:rFonts w:ascii="Tahoma" w:hAnsi="Tahoma" w:cs="Tahoma"/>
        </w:rPr>
      </w:pPr>
      <w:r w:rsidRPr="00931D6A">
        <w:rPr>
          <w:rFonts w:ascii="Tahoma" w:hAnsi="Tahoma" w:cs="Tahoma"/>
        </w:rPr>
        <w:t>Allen, James Patrick, and Rolf Van der Velden. Skills for the 21st century: Implications for education. Vol. 11. Maastricht, The Netherlands: Researchcentrum voor Onderwijs en Arbeidsmarkt, Faculteit der Economische Wetenschappen</w:t>
      </w:r>
      <w:r w:rsidR="00F251D7">
        <w:rPr>
          <w:rFonts w:ascii="Tahoma" w:hAnsi="Tahoma" w:cs="Tahoma"/>
        </w:rPr>
        <w:t xml:space="preserve"> (</w:t>
      </w:r>
      <w:r w:rsidRPr="00931D6A">
        <w:rPr>
          <w:rFonts w:ascii="Tahoma" w:hAnsi="Tahoma" w:cs="Tahoma"/>
        </w:rPr>
        <w:t>2012</w:t>
      </w:r>
      <w:r w:rsidR="00F251D7">
        <w:rPr>
          <w:rFonts w:ascii="Tahoma" w:hAnsi="Tahoma" w:cs="Tahoma"/>
        </w:rPr>
        <w:t>)</w:t>
      </w:r>
      <w:r w:rsidRPr="00931D6A">
        <w:rPr>
          <w:rFonts w:ascii="Tahoma" w:hAnsi="Tahoma" w:cs="Tahoma"/>
        </w:rPr>
        <w:t>.</w:t>
      </w:r>
    </w:p>
    <w:p w14:paraId="463EB3F9" w14:textId="77777777" w:rsidR="00824A93" w:rsidRDefault="00824A93" w:rsidP="00D20486">
      <w:pPr>
        <w:spacing w:line="480" w:lineRule="auto"/>
        <w:jc w:val="both"/>
        <w:rPr>
          <w:rFonts w:ascii="Tahoma" w:hAnsi="Tahoma" w:cs="Tahoma"/>
        </w:rPr>
      </w:pPr>
      <w:r w:rsidRPr="00824A93">
        <w:rPr>
          <w:rFonts w:ascii="Tahoma" w:hAnsi="Tahoma" w:cs="Tahoma"/>
        </w:rPr>
        <w:t xml:space="preserve">Allen, Kim. "Top girls navigating austere times: Interrogating youth transitions since the ‘crisis’." </w:t>
      </w:r>
      <w:r w:rsidRPr="00824A93">
        <w:rPr>
          <w:rFonts w:ascii="Tahoma" w:hAnsi="Tahoma" w:cs="Tahoma"/>
          <w:i/>
          <w:iCs/>
        </w:rPr>
        <w:t>Journal of Youth Studies</w:t>
      </w:r>
      <w:r w:rsidRPr="00824A93">
        <w:rPr>
          <w:rFonts w:ascii="Tahoma" w:hAnsi="Tahoma" w:cs="Tahoma"/>
        </w:rPr>
        <w:t xml:space="preserve"> 19, no. 6 (2016): 805-820.</w:t>
      </w:r>
    </w:p>
    <w:p w14:paraId="01A14BF3" w14:textId="77777777" w:rsidR="00B94E51" w:rsidRDefault="00B94E51" w:rsidP="00D20486">
      <w:pPr>
        <w:spacing w:line="480" w:lineRule="auto"/>
        <w:jc w:val="both"/>
        <w:rPr>
          <w:rFonts w:ascii="Tahoma" w:hAnsi="Tahoma" w:cs="Tahoma"/>
        </w:rPr>
      </w:pPr>
      <w:r w:rsidRPr="00B94E51">
        <w:rPr>
          <w:rFonts w:ascii="Tahoma" w:hAnsi="Tahoma" w:cs="Tahoma"/>
        </w:rPr>
        <w:t xml:space="preserve">Almeida, Leandro S., M. Adelina Guisande, and Joanne Paisana. "Extra-curricular involvement, academic adjustment and achievement in higher education: A study of Portuguese students." </w:t>
      </w:r>
      <w:r w:rsidRPr="00B94E51">
        <w:rPr>
          <w:rFonts w:ascii="Tahoma" w:hAnsi="Tahoma" w:cs="Tahoma"/>
          <w:i/>
          <w:iCs/>
        </w:rPr>
        <w:t>Anales de psicología</w:t>
      </w:r>
      <w:r w:rsidRPr="00B94E51">
        <w:rPr>
          <w:rFonts w:ascii="Tahoma" w:hAnsi="Tahoma" w:cs="Tahoma"/>
        </w:rPr>
        <w:t xml:space="preserve"> 28, no. 3 (2012): 860-865.</w:t>
      </w:r>
    </w:p>
    <w:p w14:paraId="205970D6" w14:textId="77777777" w:rsidR="00FA0AEC" w:rsidRDefault="00FA0AEC" w:rsidP="00D20486">
      <w:pPr>
        <w:spacing w:line="480" w:lineRule="auto"/>
        <w:jc w:val="both"/>
        <w:rPr>
          <w:rFonts w:ascii="Tahoma" w:hAnsi="Tahoma" w:cs="Tahoma"/>
        </w:rPr>
      </w:pPr>
      <w:r w:rsidRPr="00FA0AEC">
        <w:rPr>
          <w:rFonts w:ascii="Tahoma" w:hAnsi="Tahoma" w:cs="Tahoma"/>
        </w:rPr>
        <w:t xml:space="preserve">Al-Ziftawi, Nour Hisham, Fatima Mohamed Elamin, and Mohamed Izham Mohamed Ibrahim. "Assessment of knowledge, attitudes, and readiness to practice regarding disaster medicine and preparedness among university health students." </w:t>
      </w:r>
      <w:r w:rsidRPr="00FA0AEC">
        <w:rPr>
          <w:rFonts w:ascii="Tahoma" w:hAnsi="Tahoma" w:cs="Tahoma"/>
          <w:i/>
          <w:iCs/>
        </w:rPr>
        <w:t>Disaster medicine and public health preparedness</w:t>
      </w:r>
      <w:r w:rsidRPr="00FA0AEC">
        <w:rPr>
          <w:rFonts w:ascii="Tahoma" w:hAnsi="Tahoma" w:cs="Tahoma"/>
        </w:rPr>
        <w:t xml:space="preserve"> 15, no. 3 (2021): 316-324.</w:t>
      </w:r>
    </w:p>
    <w:p w14:paraId="6D24F937" w14:textId="355A4124" w:rsidR="001F47AD" w:rsidRDefault="001F47AD" w:rsidP="00D20486">
      <w:pPr>
        <w:spacing w:line="480" w:lineRule="auto"/>
        <w:jc w:val="both"/>
        <w:rPr>
          <w:rFonts w:ascii="Tahoma" w:hAnsi="Tahoma" w:cs="Tahoma"/>
        </w:rPr>
      </w:pPr>
      <w:r w:rsidRPr="001F47AD">
        <w:rPr>
          <w:rFonts w:ascii="Tahoma" w:hAnsi="Tahoma" w:cs="Tahoma"/>
        </w:rPr>
        <w:t xml:space="preserve">Anderson, Mary L., Jane Goodman, and Nancy K. Schlossberg. </w:t>
      </w:r>
      <w:r w:rsidRPr="001F47AD">
        <w:rPr>
          <w:rFonts w:ascii="Tahoma" w:hAnsi="Tahoma" w:cs="Tahoma"/>
          <w:i/>
          <w:iCs/>
        </w:rPr>
        <w:t>Counseling adults in transition: Linking Schlossberg's theory with practice in a diverse world</w:t>
      </w:r>
      <w:r w:rsidRPr="001F47AD">
        <w:rPr>
          <w:rFonts w:ascii="Tahoma" w:hAnsi="Tahoma" w:cs="Tahoma"/>
        </w:rPr>
        <w:t>. Springer Publishing Company</w:t>
      </w:r>
      <w:r w:rsidR="00F251D7">
        <w:rPr>
          <w:rFonts w:ascii="Tahoma" w:hAnsi="Tahoma" w:cs="Tahoma"/>
        </w:rPr>
        <w:t xml:space="preserve"> (</w:t>
      </w:r>
      <w:r w:rsidRPr="001F47AD">
        <w:rPr>
          <w:rFonts w:ascii="Tahoma" w:hAnsi="Tahoma" w:cs="Tahoma"/>
        </w:rPr>
        <w:t>2011</w:t>
      </w:r>
      <w:r w:rsidR="00F251D7">
        <w:rPr>
          <w:rFonts w:ascii="Tahoma" w:hAnsi="Tahoma" w:cs="Tahoma"/>
        </w:rPr>
        <w:t>)</w:t>
      </w:r>
      <w:r w:rsidRPr="001F47AD">
        <w:rPr>
          <w:rFonts w:ascii="Tahoma" w:hAnsi="Tahoma" w:cs="Tahoma"/>
        </w:rPr>
        <w:t>.</w:t>
      </w:r>
    </w:p>
    <w:p w14:paraId="7045CC1E" w14:textId="5442EBBF" w:rsidR="00D20486" w:rsidRPr="00650F05" w:rsidRDefault="00D20486" w:rsidP="00D20486">
      <w:pPr>
        <w:spacing w:line="480" w:lineRule="auto"/>
        <w:jc w:val="both"/>
        <w:rPr>
          <w:rFonts w:ascii="Tahoma" w:hAnsi="Tahoma" w:cs="Tahoma"/>
        </w:rPr>
      </w:pPr>
      <w:r w:rsidRPr="00650F05">
        <w:rPr>
          <w:rFonts w:ascii="Tahoma" w:hAnsi="Tahoma" w:cs="Tahoma"/>
        </w:rPr>
        <w:t>Antonucci, L., Hamilton, M., and Roberts, S. (Eds.)</w:t>
      </w:r>
      <w:r w:rsidR="00AD4D40">
        <w:rPr>
          <w:rFonts w:ascii="Tahoma" w:hAnsi="Tahoma" w:cs="Tahoma"/>
        </w:rPr>
        <w:t>.</w:t>
      </w:r>
      <w:r w:rsidRPr="00650F05">
        <w:rPr>
          <w:rFonts w:ascii="Tahoma" w:hAnsi="Tahoma" w:cs="Tahoma"/>
        </w:rPr>
        <w:t xml:space="preserve"> </w:t>
      </w:r>
      <w:r w:rsidRPr="00E024DC">
        <w:rPr>
          <w:rFonts w:ascii="Tahoma" w:hAnsi="Tahoma" w:cs="Tahoma"/>
          <w:i/>
          <w:iCs/>
        </w:rPr>
        <w:t>Young people and social policy in Europe: Dealing with risk, inequality and precarity in times of crisis</w:t>
      </w:r>
      <w:r w:rsidRPr="00650F05">
        <w:rPr>
          <w:rFonts w:ascii="Tahoma" w:hAnsi="Tahoma" w:cs="Tahoma"/>
        </w:rPr>
        <w:t>. Palgrave Macmillan, Basingstoke</w:t>
      </w:r>
      <w:r w:rsidR="00F251D7">
        <w:rPr>
          <w:rFonts w:ascii="Tahoma" w:hAnsi="Tahoma" w:cs="Tahoma"/>
        </w:rPr>
        <w:t xml:space="preserve"> (</w:t>
      </w:r>
      <w:r w:rsidR="00367A87">
        <w:rPr>
          <w:rFonts w:ascii="Tahoma" w:hAnsi="Tahoma" w:cs="Tahoma"/>
        </w:rPr>
        <w:t>2014</w:t>
      </w:r>
      <w:r w:rsidR="00F251D7">
        <w:rPr>
          <w:rFonts w:ascii="Tahoma" w:hAnsi="Tahoma" w:cs="Tahoma"/>
        </w:rPr>
        <w:t>)</w:t>
      </w:r>
      <w:r w:rsidR="00367A87">
        <w:rPr>
          <w:rFonts w:ascii="Tahoma" w:hAnsi="Tahoma" w:cs="Tahoma"/>
        </w:rPr>
        <w:t>.</w:t>
      </w:r>
    </w:p>
    <w:p w14:paraId="40B48346" w14:textId="0E0774D4" w:rsidR="00D20486" w:rsidRPr="00650F05" w:rsidRDefault="001C5BFA" w:rsidP="00D20486">
      <w:pPr>
        <w:spacing w:line="480" w:lineRule="auto"/>
        <w:jc w:val="both"/>
        <w:rPr>
          <w:rFonts w:ascii="Tahoma" w:hAnsi="Tahoma" w:cs="Tahoma"/>
        </w:rPr>
      </w:pPr>
      <w:r w:rsidRPr="001C5BFA">
        <w:rPr>
          <w:rFonts w:ascii="Tahoma" w:hAnsi="Tahoma" w:cs="Tahoma"/>
        </w:rPr>
        <w:t xml:space="preserve">Ashton, David, and John Bynner. "Labour market, employment and skills." </w:t>
      </w:r>
      <w:r w:rsidRPr="001C5BFA">
        <w:rPr>
          <w:rFonts w:ascii="Tahoma" w:hAnsi="Tahoma" w:cs="Tahoma"/>
          <w:i/>
          <w:iCs/>
        </w:rPr>
        <w:t>In A Companion to Life Course Studies</w:t>
      </w:r>
      <w:r w:rsidRPr="001C5BFA">
        <w:rPr>
          <w:rFonts w:ascii="Tahoma" w:hAnsi="Tahoma" w:cs="Tahoma"/>
        </w:rPr>
        <w:t>, Routledge</w:t>
      </w:r>
      <w:r w:rsidR="00A735E0">
        <w:rPr>
          <w:rFonts w:ascii="Tahoma" w:hAnsi="Tahoma" w:cs="Tahoma"/>
        </w:rPr>
        <w:t xml:space="preserve">, </w:t>
      </w:r>
      <w:r w:rsidRPr="001C5BFA">
        <w:rPr>
          <w:rFonts w:ascii="Tahoma" w:hAnsi="Tahoma" w:cs="Tahoma"/>
        </w:rPr>
        <w:t>2011.</w:t>
      </w:r>
    </w:p>
    <w:p w14:paraId="681CEF51" w14:textId="73488EAA" w:rsidR="00D20486" w:rsidRPr="00650F05" w:rsidRDefault="004E22FC" w:rsidP="00D20486">
      <w:pPr>
        <w:spacing w:line="480" w:lineRule="auto"/>
        <w:jc w:val="both"/>
        <w:rPr>
          <w:rFonts w:ascii="Tahoma" w:hAnsi="Tahoma" w:cs="Tahoma"/>
        </w:rPr>
      </w:pPr>
      <w:r w:rsidRPr="004E22FC">
        <w:rPr>
          <w:rFonts w:ascii="Tahoma" w:hAnsi="Tahoma" w:cs="Tahoma"/>
        </w:rPr>
        <w:lastRenderedPageBreak/>
        <w:t xml:space="preserve">Baginsky, Mary, and Jill Manthorpe. "The views and experiences of step up to social work graduates: Two and a half years following qualification." </w:t>
      </w:r>
      <w:r w:rsidRPr="004E22FC">
        <w:rPr>
          <w:rFonts w:ascii="Tahoma" w:hAnsi="Tahoma" w:cs="Tahoma"/>
          <w:i/>
          <w:iCs/>
        </w:rPr>
        <w:t>British Journal of Social Work</w:t>
      </w:r>
      <w:r w:rsidRPr="004E22FC">
        <w:rPr>
          <w:rFonts w:ascii="Tahoma" w:hAnsi="Tahoma" w:cs="Tahoma"/>
        </w:rPr>
        <w:t xml:space="preserve"> 46, no. 7 (2016): 2016-2032.</w:t>
      </w:r>
    </w:p>
    <w:p w14:paraId="280CB47B" w14:textId="77777777" w:rsidR="005E2232" w:rsidRDefault="005E2232" w:rsidP="00D20486">
      <w:pPr>
        <w:spacing w:line="480" w:lineRule="auto"/>
        <w:jc w:val="both"/>
        <w:rPr>
          <w:rFonts w:ascii="Tahoma" w:hAnsi="Tahoma" w:cs="Tahoma"/>
        </w:rPr>
      </w:pPr>
      <w:r w:rsidRPr="005E2232">
        <w:rPr>
          <w:rFonts w:ascii="Tahoma" w:hAnsi="Tahoma" w:cs="Tahoma"/>
        </w:rPr>
        <w:t xml:space="preserve">Bakker, Arnold B., Ana Isabel Sanz Vergel, and Jeroen Kuntze. "Student engagement and performance: A weekly diary study on the role of openness." </w:t>
      </w:r>
      <w:r w:rsidRPr="005E2232">
        <w:rPr>
          <w:rFonts w:ascii="Tahoma" w:hAnsi="Tahoma" w:cs="Tahoma"/>
          <w:i/>
          <w:iCs/>
        </w:rPr>
        <w:t>Motivation and Emotion</w:t>
      </w:r>
      <w:r w:rsidRPr="005E2232">
        <w:rPr>
          <w:rFonts w:ascii="Tahoma" w:hAnsi="Tahoma" w:cs="Tahoma"/>
        </w:rPr>
        <w:t xml:space="preserve"> 39, no. 1 (2015): 49-62.</w:t>
      </w:r>
    </w:p>
    <w:p w14:paraId="578E1040" w14:textId="77777777" w:rsidR="0029487E" w:rsidRDefault="0029487E" w:rsidP="00D20486">
      <w:pPr>
        <w:spacing w:line="480" w:lineRule="auto"/>
        <w:jc w:val="both"/>
        <w:rPr>
          <w:rFonts w:ascii="Tahoma" w:hAnsi="Tahoma" w:cs="Tahoma"/>
        </w:rPr>
      </w:pPr>
      <w:r w:rsidRPr="0029487E">
        <w:rPr>
          <w:rFonts w:ascii="Tahoma" w:hAnsi="Tahoma" w:cs="Tahoma"/>
        </w:rPr>
        <w:t xml:space="preserve">Balmer, Dorene F., Boyd F. Richards, and Lara Varpio. "How students experience and navigate transitions in undergraduate medical education: an application of Bourdieu’s theoretical model." </w:t>
      </w:r>
      <w:r w:rsidRPr="0029487E">
        <w:rPr>
          <w:rFonts w:ascii="Tahoma" w:hAnsi="Tahoma" w:cs="Tahoma"/>
          <w:i/>
          <w:iCs/>
        </w:rPr>
        <w:t>Advances in Health Sciences Education</w:t>
      </w:r>
      <w:r w:rsidRPr="0029487E">
        <w:rPr>
          <w:rFonts w:ascii="Tahoma" w:hAnsi="Tahoma" w:cs="Tahoma"/>
        </w:rPr>
        <w:t xml:space="preserve"> 20, no. 4 (2015): 1073-1085.</w:t>
      </w:r>
    </w:p>
    <w:p w14:paraId="45EF2DC9" w14:textId="0C3E1EE3" w:rsidR="00D20486" w:rsidRPr="0029487E" w:rsidRDefault="00D20486" w:rsidP="00D20486">
      <w:pPr>
        <w:spacing w:line="480" w:lineRule="auto"/>
        <w:jc w:val="both"/>
        <w:rPr>
          <w:rFonts w:ascii="Tahoma" w:hAnsi="Tahoma" w:cs="Tahoma"/>
          <w:highlight w:val="yellow"/>
        </w:rPr>
      </w:pPr>
      <w:r w:rsidRPr="005C3727">
        <w:rPr>
          <w:rFonts w:ascii="Tahoma" w:hAnsi="Tahoma" w:cs="Tahoma"/>
        </w:rPr>
        <w:t>Bandura, A.</w:t>
      </w:r>
      <w:r w:rsidR="0029487E" w:rsidRPr="005C3727">
        <w:rPr>
          <w:rFonts w:ascii="Tahoma" w:hAnsi="Tahoma" w:cs="Tahoma"/>
        </w:rPr>
        <w:t xml:space="preserve"> </w:t>
      </w:r>
      <w:r w:rsidRPr="005C3727">
        <w:rPr>
          <w:rFonts w:ascii="Tahoma" w:hAnsi="Tahoma" w:cs="Tahoma"/>
        </w:rPr>
        <w:t>Self-efficacy: Toward a unifying theory of behavioural change</w:t>
      </w:r>
      <w:r w:rsidR="0029487E" w:rsidRPr="005C3727">
        <w:rPr>
          <w:rFonts w:ascii="Tahoma" w:hAnsi="Tahoma" w:cs="Tahoma"/>
        </w:rPr>
        <w:t xml:space="preserve"> </w:t>
      </w:r>
      <w:r w:rsidR="00884FE6">
        <w:rPr>
          <w:rFonts w:ascii="Tahoma" w:hAnsi="Tahoma" w:cs="Tahoma"/>
        </w:rPr>
        <w:t>(</w:t>
      </w:r>
      <w:r w:rsidR="0029487E" w:rsidRPr="005C3727">
        <w:rPr>
          <w:rFonts w:ascii="Tahoma" w:hAnsi="Tahoma" w:cs="Tahoma"/>
        </w:rPr>
        <w:t>1977</w:t>
      </w:r>
      <w:r w:rsidR="00884FE6">
        <w:rPr>
          <w:rFonts w:ascii="Tahoma" w:hAnsi="Tahoma" w:cs="Tahoma"/>
        </w:rPr>
        <w:t>)</w:t>
      </w:r>
      <w:r w:rsidR="0029487E" w:rsidRPr="005C3727">
        <w:rPr>
          <w:rFonts w:ascii="Tahoma" w:hAnsi="Tahoma" w:cs="Tahoma"/>
        </w:rPr>
        <w:t xml:space="preserve">. </w:t>
      </w:r>
      <w:r w:rsidRPr="005C3727">
        <w:rPr>
          <w:rFonts w:ascii="Tahoma" w:hAnsi="Tahoma" w:cs="Tahoma"/>
        </w:rPr>
        <w:t xml:space="preserve">Cited In: </w:t>
      </w:r>
      <w:r w:rsidR="005C3727" w:rsidRPr="005C3727">
        <w:rPr>
          <w:rFonts w:ascii="Tahoma" w:hAnsi="Tahoma" w:cs="Tahoma"/>
        </w:rPr>
        <w:t xml:space="preserve">Koivisto, Petri, Jukka Vuori, and Amiram D. Vinokur. "Transition to work: Effects of preparedness and goal construction on employment and depressive symptoms." </w:t>
      </w:r>
      <w:r w:rsidR="005C3727" w:rsidRPr="005C3727">
        <w:rPr>
          <w:rFonts w:ascii="Tahoma" w:hAnsi="Tahoma" w:cs="Tahoma"/>
          <w:i/>
          <w:iCs/>
        </w:rPr>
        <w:t>Journal of Research on Adolescence</w:t>
      </w:r>
      <w:r w:rsidR="005C3727" w:rsidRPr="005C3727">
        <w:rPr>
          <w:rFonts w:ascii="Tahoma" w:hAnsi="Tahoma" w:cs="Tahoma"/>
        </w:rPr>
        <w:t xml:space="preserve"> 20, no. 4 (2010): 869-892.</w:t>
      </w:r>
    </w:p>
    <w:p w14:paraId="03BC5F33" w14:textId="6FC1B158" w:rsidR="00D20486" w:rsidRPr="0029487E" w:rsidRDefault="00D20486" w:rsidP="00D20486">
      <w:pPr>
        <w:spacing w:line="480" w:lineRule="auto"/>
        <w:jc w:val="both"/>
        <w:rPr>
          <w:rFonts w:ascii="Tahoma" w:hAnsi="Tahoma" w:cs="Tahoma"/>
          <w:highlight w:val="yellow"/>
        </w:rPr>
      </w:pPr>
      <w:r w:rsidRPr="00CE3DE0">
        <w:rPr>
          <w:rFonts w:ascii="Tahoma" w:hAnsi="Tahoma" w:cs="Tahoma"/>
        </w:rPr>
        <w:t>Bandura, A</w:t>
      </w:r>
      <w:r w:rsidR="005C3727" w:rsidRPr="00CE3DE0">
        <w:rPr>
          <w:rFonts w:ascii="Tahoma" w:hAnsi="Tahoma" w:cs="Tahoma"/>
        </w:rPr>
        <w:t>.</w:t>
      </w:r>
      <w:r w:rsidRPr="00CE3DE0">
        <w:rPr>
          <w:rFonts w:ascii="Tahoma" w:hAnsi="Tahoma" w:cs="Tahoma"/>
        </w:rPr>
        <w:t xml:space="preserve"> Self-efficacy: toward a unifying theory of behavioral change</w:t>
      </w:r>
      <w:r w:rsidR="00884FE6">
        <w:rPr>
          <w:rFonts w:ascii="Tahoma" w:hAnsi="Tahoma" w:cs="Tahoma"/>
        </w:rPr>
        <w:t xml:space="preserve"> (</w:t>
      </w:r>
      <w:r w:rsidR="005C3727" w:rsidRPr="00CE3DE0">
        <w:rPr>
          <w:rFonts w:ascii="Tahoma" w:hAnsi="Tahoma" w:cs="Tahoma"/>
        </w:rPr>
        <w:t>1977</w:t>
      </w:r>
      <w:r w:rsidR="00884FE6">
        <w:rPr>
          <w:rFonts w:ascii="Tahoma" w:hAnsi="Tahoma" w:cs="Tahoma"/>
        </w:rPr>
        <w:t>)</w:t>
      </w:r>
      <w:r w:rsidR="005C3727" w:rsidRPr="00CE3DE0">
        <w:rPr>
          <w:rFonts w:ascii="Tahoma" w:hAnsi="Tahoma" w:cs="Tahoma"/>
        </w:rPr>
        <w:t>.</w:t>
      </w:r>
      <w:r w:rsidRPr="00CE3DE0">
        <w:rPr>
          <w:rFonts w:ascii="Tahoma" w:hAnsi="Tahoma" w:cs="Tahoma"/>
        </w:rPr>
        <w:t xml:space="preserve"> Cited In: </w:t>
      </w:r>
      <w:r w:rsidR="00CE3DE0" w:rsidRPr="00CE3DE0">
        <w:rPr>
          <w:rFonts w:ascii="Tahoma" w:hAnsi="Tahoma" w:cs="Tahoma"/>
        </w:rPr>
        <w:t xml:space="preserve">Lazarides, Rebecca, Jaana Viljaranta, Mette Ranta, and Katariina Salmela-Aro. "Adolescents’ preparedness and motivation across the transition to post-comprehensive education." </w:t>
      </w:r>
      <w:r w:rsidR="00CE3DE0" w:rsidRPr="00CE3DE0">
        <w:rPr>
          <w:rFonts w:ascii="Tahoma" w:hAnsi="Tahoma" w:cs="Tahoma"/>
          <w:i/>
          <w:iCs/>
        </w:rPr>
        <w:t>Contemporary Educational Psychology</w:t>
      </w:r>
      <w:r w:rsidR="00CE3DE0" w:rsidRPr="00CE3DE0">
        <w:rPr>
          <w:rFonts w:ascii="Tahoma" w:hAnsi="Tahoma" w:cs="Tahoma"/>
        </w:rPr>
        <w:t xml:space="preserve"> 49 (2017): 151-159.</w:t>
      </w:r>
    </w:p>
    <w:p w14:paraId="6C9CDF92" w14:textId="0833E006" w:rsidR="00D20486" w:rsidRPr="0029487E" w:rsidRDefault="00D20486" w:rsidP="00D20486">
      <w:pPr>
        <w:spacing w:line="480" w:lineRule="auto"/>
        <w:jc w:val="both"/>
        <w:rPr>
          <w:rFonts w:ascii="Tahoma" w:hAnsi="Tahoma" w:cs="Tahoma"/>
          <w:highlight w:val="yellow"/>
        </w:rPr>
      </w:pPr>
      <w:r w:rsidRPr="00CE3DE0">
        <w:rPr>
          <w:rFonts w:ascii="Tahoma" w:hAnsi="Tahoma" w:cs="Tahoma"/>
        </w:rPr>
        <w:t>Bandura, A.</w:t>
      </w:r>
      <w:r w:rsidR="00CE3DE0" w:rsidRPr="00CE3DE0">
        <w:rPr>
          <w:rFonts w:ascii="Tahoma" w:hAnsi="Tahoma" w:cs="Tahoma"/>
        </w:rPr>
        <w:t xml:space="preserve"> </w:t>
      </w:r>
      <w:r w:rsidRPr="00CE3DE0">
        <w:rPr>
          <w:rFonts w:ascii="Tahoma" w:hAnsi="Tahoma" w:cs="Tahoma"/>
        </w:rPr>
        <w:t>Social foundations of thought and action</w:t>
      </w:r>
      <w:r w:rsidR="00884FE6">
        <w:rPr>
          <w:rFonts w:ascii="Tahoma" w:hAnsi="Tahoma" w:cs="Tahoma"/>
        </w:rPr>
        <w:t xml:space="preserve"> (</w:t>
      </w:r>
      <w:r w:rsidR="00CE3DE0" w:rsidRPr="00CE3DE0">
        <w:rPr>
          <w:rFonts w:ascii="Tahoma" w:hAnsi="Tahoma" w:cs="Tahoma"/>
        </w:rPr>
        <w:t>1986</w:t>
      </w:r>
      <w:r w:rsidR="00884FE6">
        <w:rPr>
          <w:rFonts w:ascii="Tahoma" w:hAnsi="Tahoma" w:cs="Tahoma"/>
        </w:rPr>
        <w:t>)</w:t>
      </w:r>
      <w:r w:rsidR="00CE3DE0" w:rsidRPr="00CE3DE0">
        <w:rPr>
          <w:rFonts w:ascii="Tahoma" w:hAnsi="Tahoma" w:cs="Tahoma"/>
        </w:rPr>
        <w:t>.</w:t>
      </w:r>
      <w:r w:rsidRPr="00CE3DE0">
        <w:rPr>
          <w:rFonts w:ascii="Tahoma" w:hAnsi="Tahoma" w:cs="Tahoma"/>
        </w:rPr>
        <w:t xml:space="preserve"> </w:t>
      </w:r>
      <w:r w:rsidR="00CE3DE0" w:rsidRPr="00CE3DE0">
        <w:rPr>
          <w:rFonts w:ascii="Tahoma" w:hAnsi="Tahoma" w:cs="Tahoma"/>
        </w:rPr>
        <w:t xml:space="preserve">Cited In: Lazarides, Rebecca, Jaana Viljaranta, Mette Ranta, and Katariina Salmela-Aro. "Adolescents’ preparedness and motivation across the transition to post-comprehensive education." </w:t>
      </w:r>
      <w:r w:rsidR="00CE3DE0" w:rsidRPr="00CE3DE0">
        <w:rPr>
          <w:rFonts w:ascii="Tahoma" w:hAnsi="Tahoma" w:cs="Tahoma"/>
          <w:i/>
          <w:iCs/>
        </w:rPr>
        <w:t>Contemporary Educational Psychology</w:t>
      </w:r>
      <w:r w:rsidR="00CE3DE0" w:rsidRPr="00CE3DE0">
        <w:rPr>
          <w:rFonts w:ascii="Tahoma" w:hAnsi="Tahoma" w:cs="Tahoma"/>
        </w:rPr>
        <w:t xml:space="preserve"> 49 (2017): 151-159.</w:t>
      </w:r>
    </w:p>
    <w:p w14:paraId="0806BD15" w14:textId="55641B50" w:rsidR="00367DBA" w:rsidRDefault="00367DBA" w:rsidP="00D20486">
      <w:pPr>
        <w:spacing w:line="480" w:lineRule="auto"/>
        <w:jc w:val="both"/>
        <w:rPr>
          <w:rFonts w:ascii="Tahoma" w:hAnsi="Tahoma" w:cs="Tahoma"/>
        </w:rPr>
      </w:pPr>
      <w:r w:rsidRPr="00367DBA">
        <w:rPr>
          <w:rFonts w:ascii="Tahoma" w:hAnsi="Tahoma" w:cs="Tahoma"/>
        </w:rPr>
        <w:t xml:space="preserve">Bathmaker, Ann‐Marie. "Constructing a graduate career future: Working with Bourdieu to understand transitions from university to employment for students from working‐class backgrounds in England." </w:t>
      </w:r>
      <w:r w:rsidRPr="00367DBA">
        <w:rPr>
          <w:rFonts w:ascii="Tahoma" w:hAnsi="Tahoma" w:cs="Tahoma"/>
          <w:i/>
          <w:iCs/>
        </w:rPr>
        <w:t>European Journal of Education</w:t>
      </w:r>
      <w:r w:rsidRPr="00367DBA">
        <w:rPr>
          <w:rFonts w:ascii="Tahoma" w:hAnsi="Tahoma" w:cs="Tahoma"/>
        </w:rPr>
        <w:t xml:space="preserve"> 56, no. 1 (2021): 78-92.</w:t>
      </w:r>
    </w:p>
    <w:p w14:paraId="161BB7FA" w14:textId="77777777" w:rsidR="000F0456" w:rsidRDefault="000F0456" w:rsidP="00D20486">
      <w:pPr>
        <w:spacing w:line="480" w:lineRule="auto"/>
        <w:jc w:val="both"/>
        <w:rPr>
          <w:rFonts w:ascii="Tahoma" w:hAnsi="Tahoma" w:cs="Tahoma"/>
          <w:highlight w:val="yellow"/>
        </w:rPr>
      </w:pPr>
      <w:r w:rsidRPr="000F0456">
        <w:rPr>
          <w:rFonts w:ascii="Tahoma" w:hAnsi="Tahoma" w:cs="Tahoma"/>
        </w:rPr>
        <w:lastRenderedPageBreak/>
        <w:t xml:space="preserve">Bathmaker, Ann-Marie, Nicola Ingram, and Richard Waller. "Higher education, social class and the mobilisation of capitals: Recognising and playing the game." </w:t>
      </w:r>
      <w:r w:rsidRPr="000F0456">
        <w:rPr>
          <w:rFonts w:ascii="Tahoma" w:hAnsi="Tahoma" w:cs="Tahoma"/>
          <w:i/>
          <w:iCs/>
        </w:rPr>
        <w:t xml:space="preserve">British Journal of sociology of Education </w:t>
      </w:r>
      <w:r w:rsidRPr="000F0456">
        <w:rPr>
          <w:rFonts w:ascii="Tahoma" w:hAnsi="Tahoma" w:cs="Tahoma"/>
        </w:rPr>
        <w:t>34, no. 5-6 (2013): 723-743.</w:t>
      </w:r>
    </w:p>
    <w:p w14:paraId="63BA3CE9" w14:textId="780FA9BC" w:rsidR="00D20486" w:rsidRPr="00AF3B38" w:rsidRDefault="00D20486" w:rsidP="00D20486">
      <w:pPr>
        <w:spacing w:line="480" w:lineRule="auto"/>
        <w:jc w:val="both"/>
        <w:rPr>
          <w:rFonts w:ascii="Tahoma" w:hAnsi="Tahoma" w:cs="Tahoma"/>
        </w:rPr>
      </w:pPr>
      <w:r w:rsidRPr="00AF3B38">
        <w:rPr>
          <w:rFonts w:ascii="Tahoma" w:hAnsi="Tahoma" w:cs="Tahoma"/>
        </w:rPr>
        <w:t>Bathmaker, A.M., Ingram, N., Abrahams, J., Hoare, A., Waller, R.</w:t>
      </w:r>
      <w:r w:rsidR="00B325EE" w:rsidRPr="00AF3B38">
        <w:rPr>
          <w:rFonts w:ascii="Tahoma" w:hAnsi="Tahoma" w:cs="Tahoma"/>
        </w:rPr>
        <w:t>,</w:t>
      </w:r>
      <w:r w:rsidRPr="00AF3B38">
        <w:rPr>
          <w:rFonts w:ascii="Tahoma" w:hAnsi="Tahoma" w:cs="Tahoma"/>
        </w:rPr>
        <w:t xml:space="preserve"> and Bradley, H.</w:t>
      </w:r>
      <w:r w:rsidR="00AF3B38">
        <w:rPr>
          <w:rFonts w:ascii="Tahoma" w:hAnsi="Tahoma" w:cs="Tahoma"/>
        </w:rPr>
        <w:t xml:space="preserve"> </w:t>
      </w:r>
      <w:r w:rsidRPr="00AF3B38">
        <w:rPr>
          <w:rFonts w:ascii="Tahoma" w:hAnsi="Tahoma" w:cs="Tahoma"/>
          <w:i/>
          <w:iCs/>
        </w:rPr>
        <w:t>Higher education, social class and social mobility: The degree generation.</w:t>
      </w:r>
      <w:r w:rsidRPr="00AF3B38">
        <w:rPr>
          <w:rFonts w:ascii="Tahoma" w:hAnsi="Tahoma" w:cs="Tahoma"/>
        </w:rPr>
        <w:t xml:space="preserve"> Springer Publishing, New York</w:t>
      </w:r>
      <w:r w:rsidR="005E263E">
        <w:rPr>
          <w:rFonts w:ascii="Tahoma" w:hAnsi="Tahoma" w:cs="Tahoma"/>
        </w:rPr>
        <w:t xml:space="preserve"> (</w:t>
      </w:r>
      <w:r w:rsidR="00AF3B38" w:rsidRPr="00AF3B38">
        <w:rPr>
          <w:rFonts w:ascii="Tahoma" w:hAnsi="Tahoma" w:cs="Tahoma"/>
        </w:rPr>
        <w:t>2016</w:t>
      </w:r>
      <w:r w:rsidR="005E263E">
        <w:rPr>
          <w:rFonts w:ascii="Tahoma" w:hAnsi="Tahoma" w:cs="Tahoma"/>
        </w:rPr>
        <w:t>)</w:t>
      </w:r>
      <w:r w:rsidR="00AF3B38" w:rsidRPr="00AF3B38">
        <w:rPr>
          <w:rFonts w:ascii="Tahoma" w:hAnsi="Tahoma" w:cs="Tahoma"/>
        </w:rPr>
        <w:t>.</w:t>
      </w:r>
    </w:p>
    <w:p w14:paraId="0B24EDC8" w14:textId="77777777" w:rsidR="00DD4924" w:rsidRDefault="00DD4924" w:rsidP="00D20486">
      <w:pPr>
        <w:spacing w:line="480" w:lineRule="auto"/>
        <w:jc w:val="both"/>
        <w:rPr>
          <w:rFonts w:ascii="Tahoma" w:hAnsi="Tahoma" w:cs="Tahoma"/>
        </w:rPr>
      </w:pPr>
      <w:r w:rsidRPr="00DD4924">
        <w:rPr>
          <w:rFonts w:ascii="Tahoma" w:hAnsi="Tahoma" w:cs="Tahoma"/>
        </w:rPr>
        <w:t xml:space="preserve">Birt, Linda, Suzanne Scott, Debbie Cavers, Christine Campbell, and Fiona Walter. "Member checking: a tool to enhance trustworthiness or merely a nod to validation?." </w:t>
      </w:r>
      <w:r w:rsidRPr="00DD4924">
        <w:rPr>
          <w:rFonts w:ascii="Tahoma" w:hAnsi="Tahoma" w:cs="Tahoma"/>
          <w:i/>
          <w:iCs/>
        </w:rPr>
        <w:t>Qualitative health research</w:t>
      </w:r>
      <w:r w:rsidRPr="00DD4924">
        <w:rPr>
          <w:rFonts w:ascii="Tahoma" w:hAnsi="Tahoma" w:cs="Tahoma"/>
        </w:rPr>
        <w:t xml:space="preserve"> 26, no. 13 (2016): 1802-1811.</w:t>
      </w:r>
    </w:p>
    <w:p w14:paraId="66C6C187" w14:textId="77777777" w:rsidR="00AE6E69" w:rsidRDefault="00AE6E69" w:rsidP="00D20486">
      <w:pPr>
        <w:spacing w:line="480" w:lineRule="auto"/>
        <w:jc w:val="both"/>
        <w:rPr>
          <w:rFonts w:ascii="Tahoma" w:hAnsi="Tahoma" w:cs="Tahoma"/>
          <w:highlight w:val="yellow"/>
        </w:rPr>
      </w:pPr>
      <w:r w:rsidRPr="00AE6E69">
        <w:rPr>
          <w:rFonts w:ascii="Tahoma" w:hAnsi="Tahoma" w:cs="Tahoma"/>
        </w:rPr>
        <w:t xml:space="preserve">Bleakley, Alan, and Nicola Brennan. "Does undergraduate curriculum design make a difference to readiness to practice as a junior doctor?." </w:t>
      </w:r>
      <w:r w:rsidRPr="00AE6E69">
        <w:rPr>
          <w:rFonts w:ascii="Tahoma" w:hAnsi="Tahoma" w:cs="Tahoma"/>
          <w:i/>
          <w:iCs/>
        </w:rPr>
        <w:t>Medical teacher</w:t>
      </w:r>
      <w:r w:rsidRPr="00AE6E69">
        <w:rPr>
          <w:rFonts w:ascii="Tahoma" w:hAnsi="Tahoma" w:cs="Tahoma"/>
        </w:rPr>
        <w:t xml:space="preserve"> 33, no. 6 (2011): 459-467.</w:t>
      </w:r>
      <w:r w:rsidRPr="00AE6E69">
        <w:rPr>
          <w:rFonts w:ascii="Tahoma" w:hAnsi="Tahoma" w:cs="Tahoma"/>
          <w:highlight w:val="yellow"/>
        </w:rPr>
        <w:t xml:space="preserve"> </w:t>
      </w:r>
    </w:p>
    <w:p w14:paraId="082E8CAD" w14:textId="58D1509D" w:rsidR="00671283" w:rsidRDefault="00671283" w:rsidP="00D20486">
      <w:pPr>
        <w:spacing w:line="480" w:lineRule="auto"/>
        <w:jc w:val="both"/>
        <w:rPr>
          <w:rFonts w:ascii="Tahoma" w:hAnsi="Tahoma" w:cs="Tahoma"/>
          <w:highlight w:val="yellow"/>
        </w:rPr>
      </w:pPr>
      <w:r w:rsidRPr="00671283">
        <w:rPr>
          <w:rFonts w:ascii="Tahoma" w:hAnsi="Tahoma" w:cs="Tahoma"/>
        </w:rPr>
        <w:t xml:space="preserve">Blossfeld, Hans-Peter, Erik Klijzing, Melinda Mills, and Karin Kurz. </w:t>
      </w:r>
      <w:r w:rsidRPr="00671283">
        <w:rPr>
          <w:rFonts w:ascii="Tahoma" w:hAnsi="Tahoma" w:cs="Tahoma"/>
          <w:i/>
          <w:iCs/>
        </w:rPr>
        <w:t>Globalization, uncertainty and youth in society: The losers in a globalizing world</w:t>
      </w:r>
      <w:r w:rsidRPr="00671283">
        <w:rPr>
          <w:rFonts w:ascii="Tahoma" w:hAnsi="Tahoma" w:cs="Tahoma"/>
        </w:rPr>
        <w:t xml:space="preserve">. Routledge </w:t>
      </w:r>
      <w:r w:rsidR="00F251D7">
        <w:rPr>
          <w:rFonts w:ascii="Tahoma" w:hAnsi="Tahoma" w:cs="Tahoma"/>
        </w:rPr>
        <w:t>(</w:t>
      </w:r>
      <w:r w:rsidRPr="00671283">
        <w:rPr>
          <w:rFonts w:ascii="Tahoma" w:hAnsi="Tahoma" w:cs="Tahoma"/>
        </w:rPr>
        <w:t>2006</w:t>
      </w:r>
      <w:r w:rsidR="00F251D7">
        <w:rPr>
          <w:rFonts w:ascii="Tahoma" w:hAnsi="Tahoma" w:cs="Tahoma"/>
        </w:rPr>
        <w:t>)</w:t>
      </w:r>
      <w:r w:rsidRPr="00671283">
        <w:rPr>
          <w:rFonts w:ascii="Tahoma" w:hAnsi="Tahoma" w:cs="Tahoma"/>
        </w:rPr>
        <w:t>.</w:t>
      </w:r>
    </w:p>
    <w:p w14:paraId="210CB9C0" w14:textId="21C7B1CA" w:rsidR="00D20486" w:rsidRPr="0029487E" w:rsidRDefault="00D20486" w:rsidP="00D20486">
      <w:pPr>
        <w:spacing w:line="480" w:lineRule="auto"/>
        <w:jc w:val="both"/>
        <w:rPr>
          <w:rFonts w:ascii="Tahoma" w:hAnsi="Tahoma" w:cs="Tahoma"/>
          <w:highlight w:val="yellow"/>
        </w:rPr>
      </w:pPr>
      <w:r w:rsidRPr="008B761D">
        <w:rPr>
          <w:rFonts w:ascii="Tahoma" w:hAnsi="Tahoma" w:cs="Tahoma"/>
        </w:rPr>
        <w:t>Bourdieu, P</w:t>
      </w:r>
      <w:r w:rsidR="0085338F">
        <w:rPr>
          <w:rFonts w:ascii="Tahoma" w:hAnsi="Tahoma" w:cs="Tahoma"/>
        </w:rPr>
        <w:t>ierre</w:t>
      </w:r>
      <w:r w:rsidRPr="008B761D">
        <w:rPr>
          <w:rFonts w:ascii="Tahoma" w:hAnsi="Tahoma" w:cs="Tahoma"/>
        </w:rPr>
        <w:t>. Outline of a theory of practice</w:t>
      </w:r>
      <w:r w:rsidR="00F251D7">
        <w:rPr>
          <w:rFonts w:ascii="Tahoma" w:hAnsi="Tahoma" w:cs="Tahoma"/>
        </w:rPr>
        <w:t xml:space="preserve"> (</w:t>
      </w:r>
      <w:r w:rsidR="008B761D">
        <w:rPr>
          <w:rFonts w:ascii="Tahoma" w:hAnsi="Tahoma" w:cs="Tahoma"/>
        </w:rPr>
        <w:t>1977</w:t>
      </w:r>
      <w:r w:rsidR="00F251D7">
        <w:rPr>
          <w:rFonts w:ascii="Tahoma" w:hAnsi="Tahoma" w:cs="Tahoma"/>
        </w:rPr>
        <w:t>)</w:t>
      </w:r>
      <w:r w:rsidR="008B761D">
        <w:rPr>
          <w:rFonts w:ascii="Tahoma" w:hAnsi="Tahoma" w:cs="Tahoma"/>
        </w:rPr>
        <w:t>.</w:t>
      </w:r>
      <w:r w:rsidRPr="008B761D">
        <w:rPr>
          <w:rFonts w:ascii="Tahoma" w:hAnsi="Tahoma" w:cs="Tahoma"/>
        </w:rPr>
        <w:t xml:space="preserve"> </w:t>
      </w:r>
      <w:r w:rsidR="008B761D" w:rsidRPr="008B761D">
        <w:rPr>
          <w:rFonts w:ascii="Tahoma" w:hAnsi="Tahoma" w:cs="Tahoma"/>
        </w:rPr>
        <w:t xml:space="preserve">Cited In: Balmer, Dorene F., Boyd F. Richards, and Lara Varpio. "How students experience and navigate transitions in undergraduate medical education: an application of Bourdieu’s theoretical model." </w:t>
      </w:r>
      <w:r w:rsidR="008B761D" w:rsidRPr="008B761D">
        <w:rPr>
          <w:rFonts w:ascii="Tahoma" w:hAnsi="Tahoma" w:cs="Tahoma"/>
          <w:i/>
          <w:iCs/>
        </w:rPr>
        <w:t>Advances in Health Sciences Education</w:t>
      </w:r>
      <w:r w:rsidR="008B761D" w:rsidRPr="008B761D">
        <w:rPr>
          <w:rFonts w:ascii="Tahoma" w:hAnsi="Tahoma" w:cs="Tahoma"/>
        </w:rPr>
        <w:t xml:space="preserve"> 20, no. 4 (2015): 1073-1085.</w:t>
      </w:r>
    </w:p>
    <w:p w14:paraId="003EAC22" w14:textId="6FF20A93" w:rsidR="00D20486" w:rsidRPr="0029487E" w:rsidRDefault="00D20486" w:rsidP="00D20486">
      <w:pPr>
        <w:spacing w:line="480" w:lineRule="auto"/>
        <w:jc w:val="both"/>
        <w:rPr>
          <w:rFonts w:ascii="Tahoma" w:hAnsi="Tahoma" w:cs="Tahoma"/>
          <w:highlight w:val="yellow"/>
        </w:rPr>
      </w:pPr>
      <w:r w:rsidRPr="003D51CE">
        <w:rPr>
          <w:rFonts w:ascii="Tahoma" w:hAnsi="Tahoma" w:cs="Tahoma"/>
        </w:rPr>
        <w:t>Bourdieu, P</w:t>
      </w:r>
      <w:r w:rsidR="00265687">
        <w:rPr>
          <w:rFonts w:ascii="Tahoma" w:hAnsi="Tahoma" w:cs="Tahoma"/>
        </w:rPr>
        <w:t>ierre</w:t>
      </w:r>
      <w:r w:rsidRPr="003D51CE">
        <w:rPr>
          <w:rFonts w:ascii="Tahoma" w:hAnsi="Tahoma" w:cs="Tahoma"/>
        </w:rPr>
        <w:t>.</w:t>
      </w:r>
      <w:r w:rsidR="003D51CE">
        <w:rPr>
          <w:rFonts w:ascii="Tahoma" w:hAnsi="Tahoma" w:cs="Tahoma"/>
        </w:rPr>
        <w:t xml:space="preserve"> </w:t>
      </w:r>
      <w:r w:rsidRPr="003D51CE">
        <w:rPr>
          <w:rFonts w:ascii="Tahoma" w:hAnsi="Tahoma" w:cs="Tahoma"/>
        </w:rPr>
        <w:t>Homo academicus</w:t>
      </w:r>
      <w:r w:rsidR="005E263E">
        <w:rPr>
          <w:rFonts w:ascii="Tahoma" w:hAnsi="Tahoma" w:cs="Tahoma"/>
        </w:rPr>
        <w:t xml:space="preserve"> (</w:t>
      </w:r>
      <w:r w:rsidR="003D51CE" w:rsidRPr="003D51CE">
        <w:rPr>
          <w:rFonts w:ascii="Tahoma" w:hAnsi="Tahoma" w:cs="Tahoma"/>
        </w:rPr>
        <w:t>1988</w:t>
      </w:r>
      <w:r w:rsidR="005E263E">
        <w:rPr>
          <w:rFonts w:ascii="Tahoma" w:hAnsi="Tahoma" w:cs="Tahoma"/>
        </w:rPr>
        <w:t>)</w:t>
      </w:r>
      <w:r w:rsidR="003D51CE" w:rsidRPr="003D51CE">
        <w:rPr>
          <w:rFonts w:ascii="Tahoma" w:hAnsi="Tahoma" w:cs="Tahoma"/>
        </w:rPr>
        <w:t>.</w:t>
      </w:r>
      <w:r w:rsidR="003D51CE">
        <w:rPr>
          <w:rFonts w:ascii="Tahoma" w:hAnsi="Tahoma" w:cs="Tahoma"/>
        </w:rPr>
        <w:t xml:space="preserve"> </w:t>
      </w:r>
      <w:r w:rsidRPr="003D51CE">
        <w:rPr>
          <w:rFonts w:ascii="Tahoma" w:hAnsi="Tahoma" w:cs="Tahoma"/>
        </w:rPr>
        <w:t xml:space="preserve">Cited in: </w:t>
      </w:r>
      <w:r w:rsidR="003D51CE" w:rsidRPr="003D51CE">
        <w:rPr>
          <w:rFonts w:ascii="Tahoma" w:hAnsi="Tahoma" w:cs="Tahoma"/>
        </w:rPr>
        <w:t xml:space="preserve">Gale, Trevor, and Stephen Parker. "Navigating change: a typology of student transition in higher education." </w:t>
      </w:r>
      <w:r w:rsidR="003D51CE" w:rsidRPr="003D51CE">
        <w:rPr>
          <w:rFonts w:ascii="Tahoma" w:hAnsi="Tahoma" w:cs="Tahoma"/>
          <w:i/>
          <w:iCs/>
        </w:rPr>
        <w:t>Studies in higher education</w:t>
      </w:r>
      <w:r w:rsidR="003D51CE" w:rsidRPr="003D51CE">
        <w:rPr>
          <w:rFonts w:ascii="Tahoma" w:hAnsi="Tahoma" w:cs="Tahoma"/>
        </w:rPr>
        <w:t xml:space="preserve"> 39, no. 5 (2014): 734-753.</w:t>
      </w:r>
    </w:p>
    <w:p w14:paraId="34035D95" w14:textId="07B5D3DA" w:rsidR="0079532C" w:rsidRDefault="0079532C" w:rsidP="00D20486">
      <w:pPr>
        <w:spacing w:line="480" w:lineRule="auto"/>
        <w:jc w:val="both"/>
        <w:rPr>
          <w:rFonts w:ascii="Tahoma" w:hAnsi="Tahoma" w:cs="Tahoma"/>
          <w:highlight w:val="yellow"/>
        </w:rPr>
      </w:pPr>
      <w:r w:rsidRPr="0079532C">
        <w:rPr>
          <w:rFonts w:ascii="Tahoma" w:hAnsi="Tahoma" w:cs="Tahoma"/>
        </w:rPr>
        <w:t xml:space="preserve">Bourdieu, </w:t>
      </w:r>
      <w:r w:rsidR="00E02EFA">
        <w:rPr>
          <w:rFonts w:ascii="Tahoma" w:hAnsi="Tahoma" w:cs="Tahoma"/>
        </w:rPr>
        <w:t>P</w:t>
      </w:r>
      <w:r w:rsidR="00265687">
        <w:rPr>
          <w:rFonts w:ascii="Tahoma" w:hAnsi="Tahoma" w:cs="Tahoma"/>
        </w:rPr>
        <w:t>ierre</w:t>
      </w:r>
      <w:r w:rsidRPr="0079532C">
        <w:rPr>
          <w:rFonts w:ascii="Tahoma" w:hAnsi="Tahoma" w:cs="Tahoma"/>
        </w:rPr>
        <w:t xml:space="preserve">. "The field of cultural production, or: The economic world reversed." </w:t>
      </w:r>
      <w:r w:rsidRPr="0079532C">
        <w:rPr>
          <w:rFonts w:ascii="Tahoma" w:hAnsi="Tahoma" w:cs="Tahoma"/>
          <w:i/>
          <w:iCs/>
        </w:rPr>
        <w:t>Poetics</w:t>
      </w:r>
      <w:r w:rsidRPr="0079532C">
        <w:rPr>
          <w:rFonts w:ascii="Tahoma" w:hAnsi="Tahoma" w:cs="Tahoma"/>
        </w:rPr>
        <w:t xml:space="preserve"> 12, no. 4-5 (1983): 311-356.</w:t>
      </w:r>
    </w:p>
    <w:p w14:paraId="1A7BE038" w14:textId="3DFD76A5" w:rsidR="00F87131" w:rsidRDefault="00F87131" w:rsidP="00D20486">
      <w:pPr>
        <w:spacing w:line="480" w:lineRule="auto"/>
        <w:jc w:val="both"/>
        <w:rPr>
          <w:rFonts w:ascii="Tahoma" w:hAnsi="Tahoma" w:cs="Tahoma"/>
          <w:highlight w:val="yellow"/>
        </w:rPr>
      </w:pPr>
      <w:r w:rsidRPr="00F87131">
        <w:rPr>
          <w:rFonts w:ascii="Tahoma" w:hAnsi="Tahoma" w:cs="Tahoma"/>
        </w:rPr>
        <w:t xml:space="preserve">Bourdieu, </w:t>
      </w:r>
      <w:r w:rsidR="00E02EFA">
        <w:rPr>
          <w:rFonts w:ascii="Tahoma" w:hAnsi="Tahoma" w:cs="Tahoma"/>
        </w:rPr>
        <w:t>P</w:t>
      </w:r>
      <w:r w:rsidR="00265687">
        <w:rPr>
          <w:rFonts w:ascii="Tahoma" w:hAnsi="Tahoma" w:cs="Tahoma"/>
        </w:rPr>
        <w:t>ierre</w:t>
      </w:r>
      <w:r w:rsidRPr="00F87131">
        <w:rPr>
          <w:rFonts w:ascii="Tahoma" w:hAnsi="Tahoma" w:cs="Tahoma"/>
        </w:rPr>
        <w:t>. "The social space and the genesis of groups." Social Science Information 24, no. 2 (1985): 195-220.</w:t>
      </w:r>
    </w:p>
    <w:p w14:paraId="2303CE61" w14:textId="77777777" w:rsidR="009C69B8" w:rsidRDefault="009C69B8" w:rsidP="00D20486">
      <w:pPr>
        <w:spacing w:line="480" w:lineRule="auto"/>
        <w:jc w:val="both"/>
        <w:rPr>
          <w:rFonts w:ascii="Tahoma" w:hAnsi="Tahoma" w:cs="Tahoma"/>
        </w:rPr>
      </w:pPr>
      <w:r w:rsidRPr="009C69B8">
        <w:rPr>
          <w:rFonts w:ascii="Tahoma" w:hAnsi="Tahoma" w:cs="Tahoma"/>
        </w:rPr>
        <w:lastRenderedPageBreak/>
        <w:t xml:space="preserve">Bourdieu, Pierre. </w:t>
      </w:r>
      <w:r w:rsidRPr="009C69B8">
        <w:rPr>
          <w:rFonts w:ascii="Tahoma" w:hAnsi="Tahoma" w:cs="Tahoma"/>
          <w:i/>
          <w:iCs/>
        </w:rPr>
        <w:t>Practical reason: On the theory of action</w:t>
      </w:r>
      <w:r w:rsidRPr="009C69B8">
        <w:rPr>
          <w:rFonts w:ascii="Tahoma" w:hAnsi="Tahoma" w:cs="Tahoma"/>
        </w:rPr>
        <w:t>. Stanford University Press, 1998.</w:t>
      </w:r>
    </w:p>
    <w:p w14:paraId="6F551362" w14:textId="77777777" w:rsidR="00D32ED8" w:rsidRDefault="00D32ED8" w:rsidP="00D20486">
      <w:pPr>
        <w:spacing w:line="480" w:lineRule="auto"/>
        <w:jc w:val="both"/>
        <w:rPr>
          <w:rFonts w:ascii="Tahoma" w:hAnsi="Tahoma" w:cs="Tahoma"/>
        </w:rPr>
      </w:pPr>
      <w:r w:rsidRPr="00D32ED8">
        <w:rPr>
          <w:rFonts w:ascii="Tahoma" w:hAnsi="Tahoma" w:cs="Tahoma"/>
        </w:rPr>
        <w:t xml:space="preserve">Wacquant, Loïc JD, and Pierre Bourdieu. </w:t>
      </w:r>
      <w:r w:rsidRPr="00D32ED8">
        <w:rPr>
          <w:rFonts w:ascii="Tahoma" w:hAnsi="Tahoma" w:cs="Tahoma"/>
          <w:i/>
          <w:iCs/>
        </w:rPr>
        <w:t>An invitation to reflexive sociology</w:t>
      </w:r>
      <w:r w:rsidRPr="00D32ED8">
        <w:rPr>
          <w:rFonts w:ascii="Tahoma" w:hAnsi="Tahoma" w:cs="Tahoma"/>
        </w:rPr>
        <w:t>. Cambridge: Polity, 1992.</w:t>
      </w:r>
    </w:p>
    <w:p w14:paraId="3EAC70FF" w14:textId="58F2A29C" w:rsidR="00C22C17" w:rsidRDefault="00C22C17" w:rsidP="00D20486">
      <w:pPr>
        <w:spacing w:line="480" w:lineRule="auto"/>
        <w:jc w:val="both"/>
        <w:rPr>
          <w:rFonts w:ascii="Tahoma" w:hAnsi="Tahoma" w:cs="Tahoma"/>
          <w:highlight w:val="yellow"/>
        </w:rPr>
      </w:pPr>
      <w:r w:rsidRPr="00C22C17">
        <w:rPr>
          <w:rFonts w:ascii="Tahoma" w:hAnsi="Tahoma" w:cs="Tahoma"/>
        </w:rPr>
        <w:t xml:space="preserve">Braun, Virginia, and Victoria Clarke. "Using thematic analysis in psychology." </w:t>
      </w:r>
      <w:r w:rsidRPr="00C22C17">
        <w:rPr>
          <w:rFonts w:ascii="Tahoma" w:hAnsi="Tahoma" w:cs="Tahoma"/>
          <w:i/>
          <w:iCs/>
        </w:rPr>
        <w:t xml:space="preserve">Qualitative research in psychology </w:t>
      </w:r>
      <w:r w:rsidRPr="00C22C17">
        <w:rPr>
          <w:rFonts w:ascii="Tahoma" w:hAnsi="Tahoma" w:cs="Tahoma"/>
        </w:rPr>
        <w:t>3, no. 2 (2006): 77-101.</w:t>
      </w:r>
    </w:p>
    <w:p w14:paraId="57086B55" w14:textId="77777777" w:rsidR="006E3949" w:rsidRDefault="006E3949" w:rsidP="00D20486">
      <w:pPr>
        <w:spacing w:line="480" w:lineRule="auto"/>
        <w:jc w:val="both"/>
        <w:rPr>
          <w:rFonts w:ascii="Tahoma" w:hAnsi="Tahoma" w:cs="Tahoma"/>
        </w:rPr>
      </w:pPr>
      <w:r w:rsidRPr="006E3949">
        <w:rPr>
          <w:rFonts w:ascii="Tahoma" w:hAnsi="Tahoma" w:cs="Tahoma"/>
        </w:rPr>
        <w:t xml:space="preserve">Brown, Phillip, Anthony Hesketh, and Sara Williams. </w:t>
      </w:r>
      <w:r w:rsidRPr="006E3949">
        <w:rPr>
          <w:rFonts w:ascii="Tahoma" w:hAnsi="Tahoma" w:cs="Tahoma"/>
          <w:i/>
          <w:iCs/>
        </w:rPr>
        <w:t>The mismanagement of talent: Employability and jobs in the knowledge economy</w:t>
      </w:r>
      <w:r w:rsidRPr="006E3949">
        <w:rPr>
          <w:rFonts w:ascii="Tahoma" w:hAnsi="Tahoma" w:cs="Tahoma"/>
        </w:rPr>
        <w:t>. Oxford University Press on Demand, 2004.</w:t>
      </w:r>
    </w:p>
    <w:p w14:paraId="6763D2AE" w14:textId="098B0720" w:rsidR="00D20486" w:rsidRPr="00DE3733" w:rsidRDefault="00D20486" w:rsidP="00D20486">
      <w:pPr>
        <w:spacing w:line="480" w:lineRule="auto"/>
        <w:jc w:val="both"/>
        <w:rPr>
          <w:rFonts w:ascii="Tahoma" w:hAnsi="Tahoma" w:cs="Tahoma"/>
        </w:rPr>
      </w:pPr>
      <w:r w:rsidRPr="00DE3733">
        <w:rPr>
          <w:rFonts w:ascii="Tahoma" w:hAnsi="Tahoma" w:cs="Tahoma"/>
        </w:rPr>
        <w:t xml:space="preserve">Burke, C. </w:t>
      </w:r>
      <w:r w:rsidRPr="00DE3733">
        <w:rPr>
          <w:rFonts w:ascii="Tahoma" w:hAnsi="Tahoma" w:cs="Tahoma"/>
          <w:i/>
          <w:iCs/>
        </w:rPr>
        <w:t>Culture, capitals and graduate futures: Degrees of class</w:t>
      </w:r>
      <w:r w:rsidRPr="00DE3733">
        <w:rPr>
          <w:rFonts w:ascii="Tahoma" w:hAnsi="Tahoma" w:cs="Tahoma"/>
        </w:rPr>
        <w:t>. Routledge</w:t>
      </w:r>
      <w:r w:rsidR="006E3949">
        <w:rPr>
          <w:rFonts w:ascii="Tahoma" w:hAnsi="Tahoma" w:cs="Tahoma"/>
        </w:rPr>
        <w:t xml:space="preserve">, </w:t>
      </w:r>
      <w:r w:rsidR="00451FEB" w:rsidRPr="00DE3733">
        <w:rPr>
          <w:rFonts w:ascii="Tahoma" w:hAnsi="Tahoma" w:cs="Tahoma"/>
        </w:rPr>
        <w:t>2015.</w:t>
      </w:r>
    </w:p>
    <w:p w14:paraId="7BCE421B" w14:textId="77777777" w:rsidR="00280E4D" w:rsidRDefault="00280E4D" w:rsidP="00D20486">
      <w:pPr>
        <w:spacing w:line="480" w:lineRule="auto"/>
        <w:jc w:val="both"/>
        <w:rPr>
          <w:rFonts w:ascii="Tahoma" w:hAnsi="Tahoma" w:cs="Tahoma"/>
          <w:highlight w:val="yellow"/>
        </w:rPr>
      </w:pPr>
      <w:r w:rsidRPr="00280E4D">
        <w:rPr>
          <w:rFonts w:ascii="Tahoma" w:hAnsi="Tahoma" w:cs="Tahoma"/>
        </w:rPr>
        <w:t xml:space="preserve">Burke, Ciaran, Tracy Scurry, and John Blenkinsopp. "Navigating the graduate labour market: The impact of social class on student understandings of graduate careers and the graduate labour market." </w:t>
      </w:r>
      <w:r w:rsidRPr="00280E4D">
        <w:rPr>
          <w:rFonts w:ascii="Tahoma" w:hAnsi="Tahoma" w:cs="Tahoma"/>
          <w:i/>
          <w:iCs/>
        </w:rPr>
        <w:t>Studies in Higher Education</w:t>
      </w:r>
      <w:r w:rsidRPr="00280E4D">
        <w:rPr>
          <w:rFonts w:ascii="Tahoma" w:hAnsi="Tahoma" w:cs="Tahoma"/>
        </w:rPr>
        <w:t xml:space="preserve"> 45, no. 8 (2020): 1711-1722.</w:t>
      </w:r>
    </w:p>
    <w:p w14:paraId="7B5F4118" w14:textId="77777777" w:rsidR="006814C2" w:rsidRDefault="006814C2" w:rsidP="00D20486">
      <w:pPr>
        <w:spacing w:line="480" w:lineRule="auto"/>
        <w:jc w:val="both"/>
        <w:rPr>
          <w:rFonts w:ascii="Tahoma" w:hAnsi="Tahoma" w:cs="Tahoma"/>
          <w:highlight w:val="yellow"/>
        </w:rPr>
      </w:pPr>
      <w:r w:rsidRPr="006814C2">
        <w:rPr>
          <w:rFonts w:ascii="Tahoma" w:hAnsi="Tahoma" w:cs="Tahoma"/>
        </w:rPr>
        <w:t xml:space="preserve">Byrne, David. "A worked example of Braun and Clarke’s approach to reflexive thematic analysis." </w:t>
      </w:r>
      <w:r w:rsidRPr="006814C2">
        <w:rPr>
          <w:rFonts w:ascii="Tahoma" w:hAnsi="Tahoma" w:cs="Tahoma"/>
          <w:i/>
          <w:iCs/>
        </w:rPr>
        <w:t>Quality &amp; quantity</w:t>
      </w:r>
      <w:r w:rsidRPr="006814C2">
        <w:rPr>
          <w:rFonts w:ascii="Tahoma" w:hAnsi="Tahoma" w:cs="Tahoma"/>
        </w:rPr>
        <w:t xml:space="preserve"> 56, no. 3 (2022): 1391-1412.</w:t>
      </w:r>
    </w:p>
    <w:p w14:paraId="3514842F" w14:textId="77777777" w:rsidR="002D229F" w:rsidRDefault="002D229F" w:rsidP="00D20486">
      <w:pPr>
        <w:spacing w:line="480" w:lineRule="auto"/>
        <w:jc w:val="both"/>
        <w:rPr>
          <w:rFonts w:ascii="Tahoma" w:hAnsi="Tahoma" w:cs="Tahoma"/>
          <w:highlight w:val="yellow"/>
        </w:rPr>
      </w:pPr>
      <w:r w:rsidRPr="002D229F">
        <w:rPr>
          <w:rFonts w:ascii="Tahoma" w:hAnsi="Tahoma" w:cs="Tahoma"/>
        </w:rPr>
        <w:t xml:space="preserve">Calma, Kaara Ray B., Elizabeth Halcomb, and Moira Stephens. "The impact of curriculum on nursing students’ attitudes, perceptions and preparedness to work in primary health care: An integrative review." </w:t>
      </w:r>
      <w:r w:rsidRPr="002D229F">
        <w:rPr>
          <w:rFonts w:ascii="Tahoma" w:hAnsi="Tahoma" w:cs="Tahoma"/>
          <w:i/>
          <w:iCs/>
        </w:rPr>
        <w:t>Nurse Education in Practice</w:t>
      </w:r>
      <w:r w:rsidRPr="002D229F">
        <w:rPr>
          <w:rFonts w:ascii="Tahoma" w:hAnsi="Tahoma" w:cs="Tahoma"/>
        </w:rPr>
        <w:t xml:space="preserve"> 39 (2019): 1-10.</w:t>
      </w:r>
    </w:p>
    <w:p w14:paraId="4BF81B8A" w14:textId="3F659680" w:rsidR="00D20486" w:rsidRPr="0028319D" w:rsidRDefault="00D20486" w:rsidP="00D20486">
      <w:pPr>
        <w:spacing w:line="480" w:lineRule="auto"/>
        <w:jc w:val="both"/>
        <w:rPr>
          <w:rFonts w:ascii="Tahoma" w:hAnsi="Tahoma" w:cs="Tahoma"/>
        </w:rPr>
      </w:pPr>
      <w:r w:rsidRPr="0028319D">
        <w:rPr>
          <w:rFonts w:ascii="Tahoma" w:hAnsi="Tahoma" w:cs="Tahoma"/>
        </w:rPr>
        <w:t xml:space="preserve">Creswell, J.W. </w:t>
      </w:r>
      <w:r w:rsidRPr="006E3949">
        <w:rPr>
          <w:rFonts w:ascii="Tahoma" w:hAnsi="Tahoma" w:cs="Tahoma"/>
          <w:i/>
          <w:iCs/>
        </w:rPr>
        <w:t>Research design: Qualitative, quantitative, and mixed methods approaches</w:t>
      </w:r>
      <w:r w:rsidRPr="0028319D">
        <w:rPr>
          <w:rFonts w:ascii="Tahoma" w:hAnsi="Tahoma" w:cs="Tahoma"/>
        </w:rPr>
        <w:t xml:space="preserve">. (2nd ed.). Sage Publications, </w:t>
      </w:r>
      <w:r w:rsidR="00207309" w:rsidRPr="0028319D">
        <w:rPr>
          <w:rFonts w:ascii="Tahoma" w:hAnsi="Tahoma" w:cs="Tahoma"/>
        </w:rPr>
        <w:t>2003.</w:t>
      </w:r>
    </w:p>
    <w:p w14:paraId="5475597A" w14:textId="77777777" w:rsidR="00DE4B06" w:rsidRDefault="00DE4B06" w:rsidP="00D20486">
      <w:pPr>
        <w:spacing w:line="480" w:lineRule="auto"/>
        <w:jc w:val="both"/>
        <w:rPr>
          <w:rFonts w:ascii="Tahoma" w:hAnsi="Tahoma" w:cs="Tahoma"/>
          <w:highlight w:val="yellow"/>
        </w:rPr>
      </w:pPr>
      <w:r w:rsidRPr="00DE4B06">
        <w:rPr>
          <w:rFonts w:ascii="Tahoma" w:hAnsi="Tahoma" w:cs="Tahoma"/>
        </w:rPr>
        <w:t xml:space="preserve">Derous, Eva, and Ann Marie Ryan. "When earning is beneficial for learning: The relation of employment and leisure activities to academic outcomes." </w:t>
      </w:r>
      <w:r w:rsidRPr="00DE4B06">
        <w:rPr>
          <w:rFonts w:ascii="Tahoma" w:hAnsi="Tahoma" w:cs="Tahoma"/>
          <w:i/>
          <w:iCs/>
        </w:rPr>
        <w:t>Journal of Vocational Behavior</w:t>
      </w:r>
      <w:r w:rsidRPr="00DE4B06">
        <w:rPr>
          <w:rFonts w:ascii="Tahoma" w:hAnsi="Tahoma" w:cs="Tahoma"/>
        </w:rPr>
        <w:t xml:space="preserve"> 73, no. 1 (2008): 118-131.</w:t>
      </w:r>
    </w:p>
    <w:p w14:paraId="0E6C3CDD" w14:textId="77777777" w:rsidR="000E1F8E" w:rsidRDefault="000E1F8E" w:rsidP="00D20486">
      <w:pPr>
        <w:spacing w:line="480" w:lineRule="auto"/>
        <w:jc w:val="both"/>
        <w:rPr>
          <w:rFonts w:ascii="Tahoma" w:hAnsi="Tahoma" w:cs="Tahoma"/>
          <w:highlight w:val="yellow"/>
        </w:rPr>
      </w:pPr>
      <w:r w:rsidRPr="000E1F8E">
        <w:rPr>
          <w:rFonts w:ascii="Tahoma" w:hAnsi="Tahoma" w:cs="Tahoma"/>
        </w:rPr>
        <w:lastRenderedPageBreak/>
        <w:t>Deters, Jessica R., Marie C. Paretti, and Robin Ott. "</w:t>
      </w:r>
      <w:r w:rsidRPr="00C06378">
        <w:rPr>
          <w:rFonts w:ascii="Tahoma" w:hAnsi="Tahoma" w:cs="Tahoma"/>
          <w:i/>
          <w:iCs/>
        </w:rPr>
        <w:t>Engineering Graduates Perceived Preparedness for the First Three-Months of Work in Industry</w:t>
      </w:r>
      <w:r w:rsidRPr="000E1F8E">
        <w:rPr>
          <w:rFonts w:ascii="Tahoma" w:hAnsi="Tahoma" w:cs="Tahoma"/>
        </w:rPr>
        <w:t>." In 2020 IEEE Frontiers in Education Conference (FIE), pp. 1-5. IEEE, 2020.</w:t>
      </w:r>
    </w:p>
    <w:p w14:paraId="4E16F201" w14:textId="77777777" w:rsidR="00C06378" w:rsidRDefault="00C06378" w:rsidP="00D20486">
      <w:pPr>
        <w:spacing w:line="480" w:lineRule="auto"/>
        <w:jc w:val="both"/>
        <w:rPr>
          <w:rFonts w:ascii="Tahoma" w:hAnsi="Tahoma" w:cs="Tahoma"/>
          <w:highlight w:val="yellow"/>
        </w:rPr>
      </w:pPr>
      <w:r w:rsidRPr="00C06378">
        <w:rPr>
          <w:rFonts w:ascii="Tahoma" w:hAnsi="Tahoma" w:cs="Tahoma"/>
        </w:rPr>
        <w:t xml:space="preserve">Dietrich, Julia, Philip Parker, and Katariina Salmela-Aro. "Phase-adequate engagement at the post-school transition." </w:t>
      </w:r>
      <w:r w:rsidRPr="00C06378">
        <w:rPr>
          <w:rFonts w:ascii="Tahoma" w:hAnsi="Tahoma" w:cs="Tahoma"/>
          <w:i/>
          <w:iCs/>
        </w:rPr>
        <w:t>Developmental psychology</w:t>
      </w:r>
      <w:r w:rsidRPr="00C06378">
        <w:rPr>
          <w:rFonts w:ascii="Tahoma" w:hAnsi="Tahoma" w:cs="Tahoma"/>
        </w:rPr>
        <w:t xml:space="preserve"> 48, no. 6 (2012): 1575.</w:t>
      </w:r>
    </w:p>
    <w:p w14:paraId="79540460" w14:textId="0F7C8155" w:rsidR="00D20486" w:rsidRPr="003733D7" w:rsidRDefault="00D20486" w:rsidP="00D20486">
      <w:pPr>
        <w:spacing w:line="480" w:lineRule="auto"/>
        <w:jc w:val="both"/>
        <w:rPr>
          <w:rFonts w:ascii="Tahoma" w:hAnsi="Tahoma" w:cs="Tahoma"/>
        </w:rPr>
      </w:pPr>
      <w:r w:rsidRPr="003733D7">
        <w:rPr>
          <w:rFonts w:ascii="Tahoma" w:hAnsi="Tahoma" w:cs="Tahoma"/>
        </w:rPr>
        <w:t>Ecclestone, K., Biesta, G.</w:t>
      </w:r>
      <w:r w:rsidR="00230671" w:rsidRPr="003733D7">
        <w:rPr>
          <w:rFonts w:ascii="Tahoma" w:hAnsi="Tahoma" w:cs="Tahoma"/>
        </w:rPr>
        <w:t>,</w:t>
      </w:r>
      <w:r w:rsidRPr="003733D7">
        <w:rPr>
          <w:rFonts w:ascii="Tahoma" w:hAnsi="Tahoma" w:cs="Tahoma"/>
        </w:rPr>
        <w:t xml:space="preserve"> and Hughes, M. (Eds.). Transitions and learning through the life course. Routledge, London, U.K.</w:t>
      </w:r>
      <w:r w:rsidR="003733D7" w:rsidRPr="003733D7">
        <w:rPr>
          <w:rFonts w:ascii="Tahoma" w:hAnsi="Tahoma" w:cs="Tahoma"/>
        </w:rPr>
        <w:t xml:space="preserve"> (2010).</w:t>
      </w:r>
    </w:p>
    <w:p w14:paraId="59D076F9" w14:textId="77777777" w:rsidR="003733D7" w:rsidRDefault="003733D7" w:rsidP="00D20486">
      <w:pPr>
        <w:spacing w:line="480" w:lineRule="auto"/>
        <w:jc w:val="both"/>
        <w:rPr>
          <w:rFonts w:ascii="Tahoma" w:hAnsi="Tahoma" w:cs="Tahoma"/>
          <w:highlight w:val="yellow"/>
        </w:rPr>
      </w:pPr>
      <w:r w:rsidRPr="003733D7">
        <w:rPr>
          <w:rFonts w:ascii="Tahoma" w:hAnsi="Tahoma" w:cs="Tahoma"/>
        </w:rPr>
        <w:t xml:space="preserve">Edwards, Matt. "The impact of placements on students’ self-efficacy." </w:t>
      </w:r>
      <w:r w:rsidRPr="00173B67">
        <w:rPr>
          <w:rFonts w:ascii="Tahoma" w:hAnsi="Tahoma" w:cs="Tahoma"/>
          <w:i/>
          <w:iCs/>
        </w:rPr>
        <w:t>Higher Education, Skills and Work-Based Learning</w:t>
      </w:r>
      <w:r w:rsidRPr="003733D7">
        <w:rPr>
          <w:rFonts w:ascii="Tahoma" w:hAnsi="Tahoma" w:cs="Tahoma"/>
        </w:rPr>
        <w:t xml:space="preserve"> (2014).</w:t>
      </w:r>
    </w:p>
    <w:p w14:paraId="6C6F784F" w14:textId="77777777" w:rsidR="00D466DC" w:rsidRDefault="00D466DC" w:rsidP="00D20486">
      <w:pPr>
        <w:spacing w:line="480" w:lineRule="auto"/>
        <w:jc w:val="both"/>
        <w:rPr>
          <w:rFonts w:ascii="Tahoma" w:hAnsi="Tahoma" w:cs="Tahoma"/>
          <w:highlight w:val="yellow"/>
        </w:rPr>
      </w:pPr>
      <w:r w:rsidRPr="00D466DC">
        <w:rPr>
          <w:rFonts w:ascii="Tahoma" w:hAnsi="Tahoma" w:cs="Tahoma"/>
        </w:rPr>
        <w:t xml:space="preserve">Etikan, Ilker, Sulaiman Abubakar Musa, and Rukayya Sunusi Alkassim. "Comparison of convenience sampling and purposive sampling." </w:t>
      </w:r>
      <w:r w:rsidRPr="00D466DC">
        <w:rPr>
          <w:rFonts w:ascii="Tahoma" w:hAnsi="Tahoma" w:cs="Tahoma"/>
          <w:i/>
          <w:iCs/>
        </w:rPr>
        <w:t>American journal of theoretical and applied statistics</w:t>
      </w:r>
      <w:r w:rsidRPr="00D466DC">
        <w:rPr>
          <w:rFonts w:ascii="Tahoma" w:hAnsi="Tahoma" w:cs="Tahoma"/>
        </w:rPr>
        <w:t xml:space="preserve"> 5, no. 1 (2016): 1-4.</w:t>
      </w:r>
    </w:p>
    <w:p w14:paraId="2CC46F00" w14:textId="77777777" w:rsidR="00EF22F5" w:rsidRDefault="00EF22F5" w:rsidP="00D20486">
      <w:pPr>
        <w:spacing w:line="480" w:lineRule="auto"/>
        <w:jc w:val="both"/>
        <w:rPr>
          <w:rFonts w:ascii="Tahoma" w:hAnsi="Tahoma" w:cs="Tahoma"/>
          <w:highlight w:val="yellow"/>
        </w:rPr>
      </w:pPr>
      <w:r w:rsidRPr="00EF22F5">
        <w:rPr>
          <w:rFonts w:ascii="Tahoma" w:hAnsi="Tahoma" w:cs="Tahoma"/>
        </w:rPr>
        <w:t xml:space="preserve">Froehlich, Dominik E., Simon AJ Beausaert, and Mien SR Segers. "Age, employability and the role of learning activities and their motivational antecedents: a conceptual model." </w:t>
      </w:r>
      <w:r w:rsidRPr="00EF22F5">
        <w:rPr>
          <w:rFonts w:ascii="Tahoma" w:hAnsi="Tahoma" w:cs="Tahoma"/>
          <w:i/>
          <w:iCs/>
        </w:rPr>
        <w:t>The International Journal of Human Resource Management</w:t>
      </w:r>
      <w:r w:rsidRPr="00EF22F5">
        <w:rPr>
          <w:rFonts w:ascii="Tahoma" w:hAnsi="Tahoma" w:cs="Tahoma"/>
        </w:rPr>
        <w:t xml:space="preserve"> 26, no. 16 (2015): 2087-2101.</w:t>
      </w:r>
      <w:r w:rsidRPr="00EF22F5">
        <w:rPr>
          <w:rFonts w:ascii="Tahoma" w:hAnsi="Tahoma" w:cs="Tahoma"/>
          <w:highlight w:val="yellow"/>
        </w:rPr>
        <w:t xml:space="preserve"> </w:t>
      </w:r>
    </w:p>
    <w:p w14:paraId="33AED4B8" w14:textId="59F3845E" w:rsidR="00D20486" w:rsidRPr="0029487E" w:rsidRDefault="00B01E6E" w:rsidP="00D20486">
      <w:pPr>
        <w:spacing w:line="480" w:lineRule="auto"/>
        <w:jc w:val="both"/>
        <w:rPr>
          <w:rFonts w:ascii="Tahoma" w:hAnsi="Tahoma" w:cs="Tahoma"/>
          <w:highlight w:val="yellow"/>
        </w:rPr>
      </w:pPr>
      <w:r w:rsidRPr="00B01E6E">
        <w:rPr>
          <w:rFonts w:ascii="Tahoma" w:hAnsi="Tahoma" w:cs="Tahoma"/>
        </w:rPr>
        <w:t xml:space="preserve">Gale, Trevor, and Stephen Parker. "Navigating change: a typology of student transition in higher education." </w:t>
      </w:r>
      <w:r w:rsidRPr="00B01E6E">
        <w:rPr>
          <w:rFonts w:ascii="Tahoma" w:hAnsi="Tahoma" w:cs="Tahoma"/>
          <w:i/>
          <w:iCs/>
        </w:rPr>
        <w:t>Studies in higher education</w:t>
      </w:r>
      <w:r w:rsidRPr="00B01E6E">
        <w:rPr>
          <w:rFonts w:ascii="Tahoma" w:hAnsi="Tahoma" w:cs="Tahoma"/>
        </w:rPr>
        <w:t xml:space="preserve"> 39, no. 5 (2014): 734-753.</w:t>
      </w:r>
    </w:p>
    <w:p w14:paraId="726593F5" w14:textId="77777777" w:rsidR="00E14086" w:rsidRDefault="00E14086" w:rsidP="00D20486">
      <w:pPr>
        <w:spacing w:line="480" w:lineRule="auto"/>
        <w:jc w:val="both"/>
        <w:rPr>
          <w:rFonts w:ascii="Tahoma" w:hAnsi="Tahoma" w:cs="Tahoma"/>
          <w:highlight w:val="yellow"/>
        </w:rPr>
      </w:pPr>
      <w:r w:rsidRPr="00E14086">
        <w:rPr>
          <w:rFonts w:ascii="Tahoma" w:hAnsi="Tahoma" w:cs="Tahoma"/>
        </w:rPr>
        <w:t xml:space="preserve">Galvani, Sarah, and Donald Forrester. "How well prepared are newly qualified social workers for working with substance use issues? Findings from a national survey in England." </w:t>
      </w:r>
      <w:r w:rsidRPr="00E14086">
        <w:rPr>
          <w:rFonts w:ascii="Tahoma" w:hAnsi="Tahoma" w:cs="Tahoma"/>
          <w:i/>
          <w:iCs/>
        </w:rPr>
        <w:t>Social Work Education</w:t>
      </w:r>
      <w:r w:rsidRPr="00E14086">
        <w:rPr>
          <w:rFonts w:ascii="Tahoma" w:hAnsi="Tahoma" w:cs="Tahoma"/>
        </w:rPr>
        <w:t xml:space="preserve"> 30, no. 04 (2011): 422-439.</w:t>
      </w:r>
    </w:p>
    <w:p w14:paraId="6083175E" w14:textId="77777777" w:rsidR="00E14086" w:rsidRDefault="00E14086" w:rsidP="00D20486">
      <w:pPr>
        <w:spacing w:line="480" w:lineRule="auto"/>
        <w:jc w:val="both"/>
        <w:rPr>
          <w:rFonts w:ascii="Tahoma" w:hAnsi="Tahoma" w:cs="Tahoma"/>
          <w:highlight w:val="yellow"/>
        </w:rPr>
      </w:pPr>
      <w:r w:rsidRPr="00E14086">
        <w:rPr>
          <w:rFonts w:ascii="Tahoma" w:hAnsi="Tahoma" w:cs="Tahoma"/>
        </w:rPr>
        <w:t xml:space="preserve">García-Aracil, Adela, Sílvia Monteiro, and Leandro S. Almeida. "Students’ perceptions of their preparedness for transition to work after graduation." </w:t>
      </w:r>
      <w:r w:rsidRPr="00E14086">
        <w:rPr>
          <w:rFonts w:ascii="Tahoma" w:hAnsi="Tahoma" w:cs="Tahoma"/>
          <w:i/>
          <w:iCs/>
        </w:rPr>
        <w:t>Active learning in higher education</w:t>
      </w:r>
      <w:r w:rsidRPr="00E14086">
        <w:rPr>
          <w:rFonts w:ascii="Tahoma" w:hAnsi="Tahoma" w:cs="Tahoma"/>
        </w:rPr>
        <w:t xml:space="preserve"> 22, no. 1 (2021): 49-62.</w:t>
      </w:r>
    </w:p>
    <w:p w14:paraId="5A7D5731" w14:textId="278F1D46" w:rsidR="00F35589" w:rsidRDefault="00EB3D9F" w:rsidP="00D20486">
      <w:pPr>
        <w:spacing w:line="480" w:lineRule="auto"/>
        <w:jc w:val="both"/>
        <w:rPr>
          <w:rFonts w:ascii="Tahoma" w:hAnsi="Tahoma" w:cs="Tahoma"/>
        </w:rPr>
      </w:pPr>
      <w:r w:rsidRPr="00EB3D9F">
        <w:rPr>
          <w:rFonts w:ascii="Tahoma" w:hAnsi="Tahoma" w:cs="Tahoma"/>
        </w:rPr>
        <w:lastRenderedPageBreak/>
        <w:t xml:space="preserve">Gill, Ashley JG. </w:t>
      </w:r>
      <w:r w:rsidR="00F35589" w:rsidRPr="00F35589">
        <w:rPr>
          <w:rFonts w:ascii="Tahoma" w:hAnsi="Tahoma" w:cs="Tahoma"/>
        </w:rPr>
        <w:t xml:space="preserve">"The transitional experiences of sport and exercise students from further to higher education." </w:t>
      </w:r>
      <w:r w:rsidR="00F35589" w:rsidRPr="00F35589">
        <w:rPr>
          <w:rFonts w:ascii="Tahoma" w:hAnsi="Tahoma" w:cs="Tahoma"/>
          <w:i/>
          <w:iCs/>
        </w:rPr>
        <w:t>Innovative Practice in Higher Education</w:t>
      </w:r>
      <w:r w:rsidR="00F35589" w:rsidRPr="00F35589">
        <w:rPr>
          <w:rFonts w:ascii="Tahoma" w:hAnsi="Tahoma" w:cs="Tahoma"/>
        </w:rPr>
        <w:t xml:space="preserve"> 3, no. 1 (2017)</w:t>
      </w:r>
      <w:r w:rsidR="00170B6F">
        <w:rPr>
          <w:rFonts w:ascii="Tahoma" w:hAnsi="Tahoma" w:cs="Tahoma"/>
        </w:rPr>
        <w:t>: 22-47.</w:t>
      </w:r>
    </w:p>
    <w:p w14:paraId="7F4D3B57" w14:textId="57404AE2" w:rsidR="00575F02" w:rsidRDefault="00EB3D9F" w:rsidP="00D20486">
      <w:pPr>
        <w:spacing w:line="480" w:lineRule="auto"/>
        <w:jc w:val="both"/>
        <w:rPr>
          <w:rFonts w:ascii="Tahoma" w:hAnsi="Tahoma" w:cs="Tahoma"/>
          <w:highlight w:val="yellow"/>
        </w:rPr>
      </w:pPr>
      <w:r w:rsidRPr="00EB3D9F">
        <w:rPr>
          <w:rFonts w:ascii="Tahoma" w:hAnsi="Tahoma" w:cs="Tahoma"/>
        </w:rPr>
        <w:t>Gill, Ashley JG</w:t>
      </w:r>
      <w:r w:rsidR="00575F02" w:rsidRPr="00F35589">
        <w:rPr>
          <w:rFonts w:ascii="Tahoma" w:hAnsi="Tahoma" w:cs="Tahoma"/>
        </w:rPr>
        <w:t xml:space="preserve">. </w:t>
      </w:r>
      <w:r w:rsidR="00575F02" w:rsidRPr="00575F02">
        <w:rPr>
          <w:rFonts w:ascii="Tahoma" w:hAnsi="Tahoma" w:cs="Tahoma"/>
        </w:rPr>
        <w:t xml:space="preserve">"Student Transition into Higher Education: Exploring BTEC Sport and Exercise Students Forthcoming Transition to Higher Education Taught within a Further Education Setting." </w:t>
      </w:r>
      <w:r w:rsidR="00575F02" w:rsidRPr="00575F02">
        <w:rPr>
          <w:rFonts w:ascii="Tahoma" w:hAnsi="Tahoma" w:cs="Tahoma"/>
          <w:i/>
          <w:iCs/>
        </w:rPr>
        <w:t>Innovative Practice in Higher Education</w:t>
      </w:r>
      <w:r w:rsidR="00575F02" w:rsidRPr="00575F02">
        <w:rPr>
          <w:rFonts w:ascii="Tahoma" w:hAnsi="Tahoma" w:cs="Tahoma"/>
        </w:rPr>
        <w:t xml:space="preserve"> 3, no. 3 (2019): 90-112.</w:t>
      </w:r>
    </w:p>
    <w:p w14:paraId="7BB03509" w14:textId="074296F1" w:rsidR="00D20486" w:rsidRPr="0029487E" w:rsidRDefault="00D20486" w:rsidP="00D20486">
      <w:pPr>
        <w:spacing w:line="480" w:lineRule="auto"/>
        <w:jc w:val="both"/>
        <w:rPr>
          <w:rFonts w:ascii="Tahoma" w:hAnsi="Tahoma" w:cs="Tahoma"/>
          <w:highlight w:val="yellow"/>
        </w:rPr>
      </w:pPr>
      <w:r w:rsidRPr="00EB3D9F">
        <w:rPr>
          <w:rFonts w:ascii="Tahoma" w:hAnsi="Tahoma" w:cs="Tahoma"/>
        </w:rPr>
        <w:t xml:space="preserve">Gill, </w:t>
      </w:r>
      <w:r w:rsidR="00EB3D9F" w:rsidRPr="00EB3D9F">
        <w:rPr>
          <w:rFonts w:ascii="Tahoma" w:hAnsi="Tahoma" w:cs="Tahoma"/>
        </w:rPr>
        <w:t xml:space="preserve">Ashley JG. "The thoughts, feelings and perceptions of sport and exercise students progressing from vocational education and training to academic education." </w:t>
      </w:r>
      <w:r w:rsidR="00EB3D9F" w:rsidRPr="00EB3D9F">
        <w:rPr>
          <w:rFonts w:ascii="Tahoma" w:hAnsi="Tahoma" w:cs="Tahoma"/>
          <w:i/>
          <w:iCs/>
        </w:rPr>
        <w:t xml:space="preserve">Journal of Further and Higher Education </w:t>
      </w:r>
      <w:r w:rsidR="00EB3D9F" w:rsidRPr="00EB3D9F">
        <w:rPr>
          <w:rFonts w:ascii="Tahoma" w:hAnsi="Tahoma" w:cs="Tahoma"/>
        </w:rPr>
        <w:t>44, no. 6 (2020): 795-808.</w:t>
      </w:r>
    </w:p>
    <w:p w14:paraId="19CD7609" w14:textId="77777777" w:rsidR="005E4BE3" w:rsidRPr="006078CE" w:rsidRDefault="005E4BE3" w:rsidP="00D20486">
      <w:pPr>
        <w:spacing w:line="480" w:lineRule="auto"/>
        <w:jc w:val="both"/>
        <w:rPr>
          <w:rFonts w:ascii="Tahoma" w:hAnsi="Tahoma" w:cs="Tahoma"/>
        </w:rPr>
      </w:pPr>
      <w:r w:rsidRPr="005E4BE3">
        <w:rPr>
          <w:rFonts w:ascii="Tahoma" w:hAnsi="Tahoma" w:cs="Tahoma"/>
        </w:rPr>
        <w:t xml:space="preserve">Gill, Ashley JG. "Difficulties and support in the transition to higher education for non-traditional </w:t>
      </w:r>
      <w:r w:rsidRPr="006078CE">
        <w:rPr>
          <w:rFonts w:ascii="Tahoma" w:hAnsi="Tahoma" w:cs="Tahoma"/>
        </w:rPr>
        <w:t xml:space="preserve">students." </w:t>
      </w:r>
      <w:r w:rsidRPr="006078CE">
        <w:rPr>
          <w:rFonts w:ascii="Tahoma" w:hAnsi="Tahoma" w:cs="Tahoma"/>
          <w:i/>
          <w:iCs/>
        </w:rPr>
        <w:t>Research in Post-Compulsory Education</w:t>
      </w:r>
      <w:r w:rsidRPr="006078CE">
        <w:rPr>
          <w:rFonts w:ascii="Tahoma" w:hAnsi="Tahoma" w:cs="Tahoma"/>
        </w:rPr>
        <w:t xml:space="preserve"> 26, no. 4 (2021): 410-441.</w:t>
      </w:r>
    </w:p>
    <w:p w14:paraId="4DEF3DC2" w14:textId="5A08ACC0" w:rsidR="00D20486" w:rsidRPr="0029487E" w:rsidRDefault="00D20486" w:rsidP="00D20486">
      <w:pPr>
        <w:spacing w:line="480" w:lineRule="auto"/>
        <w:jc w:val="both"/>
        <w:rPr>
          <w:rFonts w:ascii="Tahoma" w:hAnsi="Tahoma" w:cs="Tahoma"/>
          <w:highlight w:val="yellow"/>
        </w:rPr>
      </w:pPr>
      <w:r w:rsidRPr="006078CE">
        <w:rPr>
          <w:rFonts w:ascii="Tahoma" w:hAnsi="Tahoma" w:cs="Tahoma"/>
        </w:rPr>
        <w:t>Graham, C., and McKenzie, A</w:t>
      </w:r>
      <w:r w:rsidR="00CA4FBC" w:rsidRPr="006078CE">
        <w:rPr>
          <w:rFonts w:ascii="Tahoma" w:hAnsi="Tahoma" w:cs="Tahoma"/>
        </w:rPr>
        <w:t>.</w:t>
      </w:r>
      <w:r w:rsidRPr="006078CE">
        <w:rPr>
          <w:rFonts w:ascii="Tahoma" w:hAnsi="Tahoma" w:cs="Tahoma"/>
        </w:rPr>
        <w:t xml:space="preserve"> Delivering the promise: the transition from higher education to work</w:t>
      </w:r>
      <w:r w:rsidR="00CA4FBC" w:rsidRPr="006078CE">
        <w:rPr>
          <w:rFonts w:ascii="Tahoma" w:hAnsi="Tahoma" w:cs="Tahoma"/>
        </w:rPr>
        <w:t xml:space="preserve"> (1995)</w:t>
      </w:r>
      <w:r w:rsidRPr="006078CE">
        <w:rPr>
          <w:rFonts w:ascii="Tahoma" w:hAnsi="Tahoma" w:cs="Tahoma"/>
        </w:rPr>
        <w:t xml:space="preserve">. Cited In: </w:t>
      </w:r>
      <w:r w:rsidR="00CA4FBC" w:rsidRPr="006078CE">
        <w:rPr>
          <w:rFonts w:ascii="Tahoma" w:hAnsi="Tahoma" w:cs="Tahoma"/>
        </w:rPr>
        <w:t>Turner, Kelly, Elizabeth Jones, Michael Davies, and Sheryl Ramsay. "Student teacher perceptions of</w:t>
      </w:r>
      <w:r w:rsidR="00CA4FBC" w:rsidRPr="00CA4FBC">
        <w:rPr>
          <w:rFonts w:ascii="Tahoma" w:hAnsi="Tahoma" w:cs="Tahoma"/>
        </w:rPr>
        <w:t xml:space="preserve"> preparedness for teaching." </w:t>
      </w:r>
      <w:r w:rsidR="00CA4FBC" w:rsidRPr="00CA4FBC">
        <w:rPr>
          <w:rFonts w:ascii="Tahoma" w:hAnsi="Tahoma" w:cs="Tahoma"/>
          <w:i/>
          <w:iCs/>
        </w:rPr>
        <w:t>Educating: Weaving research into practice</w:t>
      </w:r>
      <w:r w:rsidR="00CA4FBC" w:rsidRPr="00CA4FBC">
        <w:rPr>
          <w:rFonts w:ascii="Tahoma" w:hAnsi="Tahoma" w:cs="Tahoma"/>
        </w:rPr>
        <w:t xml:space="preserve"> 3 (2004): 184-193.</w:t>
      </w:r>
    </w:p>
    <w:p w14:paraId="6E211B15" w14:textId="03C07EC1" w:rsidR="00D20486" w:rsidRPr="003C41A3" w:rsidRDefault="00D20486" w:rsidP="00D20486">
      <w:pPr>
        <w:spacing w:line="480" w:lineRule="auto"/>
        <w:jc w:val="both"/>
        <w:rPr>
          <w:rFonts w:ascii="Tahoma" w:hAnsi="Tahoma" w:cs="Tahoma"/>
        </w:rPr>
      </w:pPr>
      <w:r w:rsidRPr="003C41A3">
        <w:rPr>
          <w:rFonts w:ascii="Tahoma" w:hAnsi="Tahoma" w:cs="Tahoma"/>
        </w:rPr>
        <w:t>Gratton, C., and Jones, I. Research Methods for Sports Studies. Routledge</w:t>
      </w:r>
      <w:r w:rsidR="00186B04">
        <w:rPr>
          <w:rFonts w:ascii="Tahoma" w:hAnsi="Tahoma" w:cs="Tahoma"/>
        </w:rPr>
        <w:t xml:space="preserve">, </w:t>
      </w:r>
      <w:r w:rsidR="006078CE" w:rsidRPr="003C41A3">
        <w:rPr>
          <w:rFonts w:ascii="Tahoma" w:hAnsi="Tahoma" w:cs="Tahoma"/>
        </w:rPr>
        <w:t>2010.</w:t>
      </w:r>
    </w:p>
    <w:p w14:paraId="6AFA17C8" w14:textId="77777777" w:rsidR="00D42A52" w:rsidRDefault="00D42A52" w:rsidP="00D20486">
      <w:pPr>
        <w:spacing w:line="480" w:lineRule="auto"/>
        <w:jc w:val="both"/>
        <w:rPr>
          <w:rFonts w:ascii="Tahoma" w:hAnsi="Tahoma" w:cs="Tahoma"/>
        </w:rPr>
      </w:pPr>
      <w:r w:rsidRPr="00D42A52">
        <w:rPr>
          <w:rFonts w:ascii="Tahoma" w:hAnsi="Tahoma" w:cs="Tahoma"/>
        </w:rPr>
        <w:t>Grubb, W. Norton, and Marvin Lazerson. "Education and the labor market: Recycling the youth problem." Work, youth, and schooling (1982): 110-141.</w:t>
      </w:r>
    </w:p>
    <w:p w14:paraId="62EE2C0F" w14:textId="0CE5E7CB" w:rsidR="00A13F6D" w:rsidRDefault="00A13F6D" w:rsidP="00D20486">
      <w:pPr>
        <w:spacing w:line="480" w:lineRule="auto"/>
        <w:jc w:val="both"/>
        <w:rPr>
          <w:rFonts w:ascii="Tahoma" w:hAnsi="Tahoma" w:cs="Tahoma"/>
        </w:rPr>
      </w:pPr>
      <w:r w:rsidRPr="00A13F6D">
        <w:rPr>
          <w:rFonts w:ascii="Tahoma" w:hAnsi="Tahoma" w:cs="Tahoma"/>
        </w:rPr>
        <w:t xml:space="preserve">Holmes, Leonard. "Competing perspectives on graduate employability: possession, position or process?." </w:t>
      </w:r>
      <w:r w:rsidRPr="00A13F6D">
        <w:rPr>
          <w:rFonts w:ascii="Tahoma" w:hAnsi="Tahoma" w:cs="Tahoma"/>
          <w:i/>
          <w:iCs/>
        </w:rPr>
        <w:t>Studies in higher education</w:t>
      </w:r>
      <w:r w:rsidRPr="00A13F6D">
        <w:rPr>
          <w:rFonts w:ascii="Tahoma" w:hAnsi="Tahoma" w:cs="Tahoma"/>
        </w:rPr>
        <w:t xml:space="preserve"> 38, no. 4 (2013): 538-554.</w:t>
      </w:r>
    </w:p>
    <w:p w14:paraId="5CAF19BA" w14:textId="77777777" w:rsidR="00A13F6D" w:rsidRDefault="00A13F6D" w:rsidP="00D20486">
      <w:pPr>
        <w:spacing w:line="480" w:lineRule="auto"/>
        <w:jc w:val="both"/>
        <w:rPr>
          <w:rFonts w:ascii="Tahoma" w:hAnsi="Tahoma" w:cs="Tahoma"/>
          <w:highlight w:val="yellow"/>
        </w:rPr>
      </w:pPr>
      <w:r w:rsidRPr="00A13F6D">
        <w:rPr>
          <w:rFonts w:ascii="Tahoma" w:hAnsi="Tahoma" w:cs="Tahoma"/>
        </w:rPr>
        <w:t xml:space="preserve">Holt, Nicholas L., Camilla J. Knight, and Peter Zukiwski. "Female athletes’ perceptions of teammate conflict in sport: Implications for sport psychology consultants." </w:t>
      </w:r>
      <w:r w:rsidRPr="00A13F6D">
        <w:rPr>
          <w:rFonts w:ascii="Tahoma" w:hAnsi="Tahoma" w:cs="Tahoma"/>
          <w:i/>
          <w:iCs/>
        </w:rPr>
        <w:t>The Sport Psychologist</w:t>
      </w:r>
      <w:r w:rsidRPr="00A13F6D">
        <w:rPr>
          <w:rFonts w:ascii="Tahoma" w:hAnsi="Tahoma" w:cs="Tahoma"/>
        </w:rPr>
        <w:t xml:space="preserve"> 26, no. 1 (2012): 135-154.</w:t>
      </w:r>
    </w:p>
    <w:p w14:paraId="0A788052" w14:textId="77777777" w:rsidR="00817E80" w:rsidRDefault="00817E80" w:rsidP="00D20486">
      <w:pPr>
        <w:spacing w:line="480" w:lineRule="auto"/>
        <w:jc w:val="both"/>
        <w:rPr>
          <w:rFonts w:ascii="Tahoma" w:hAnsi="Tahoma" w:cs="Tahoma"/>
          <w:highlight w:val="yellow"/>
        </w:rPr>
      </w:pPr>
      <w:r w:rsidRPr="00817E80">
        <w:rPr>
          <w:rFonts w:ascii="Tahoma" w:hAnsi="Tahoma" w:cs="Tahoma"/>
        </w:rPr>
        <w:t xml:space="preserve">Illing, Jan C., Gill M. Morrow, Charlotte R. Rothwell nee Kergon, Bryan C. Burford, Beate K. Baldauf, Carol L. Davies, Ed B. Peile et al. "Perceptions of UK medical graduates’ preparedness </w:t>
      </w:r>
      <w:r w:rsidRPr="00817E80">
        <w:rPr>
          <w:rFonts w:ascii="Tahoma" w:hAnsi="Tahoma" w:cs="Tahoma"/>
        </w:rPr>
        <w:lastRenderedPageBreak/>
        <w:t xml:space="preserve">for practice: a multi-centre qualitative study reflecting the importance of learning on the job." </w:t>
      </w:r>
      <w:r w:rsidRPr="00817E80">
        <w:rPr>
          <w:rFonts w:ascii="Tahoma" w:hAnsi="Tahoma" w:cs="Tahoma"/>
          <w:i/>
          <w:iCs/>
        </w:rPr>
        <w:t>BMC medical education</w:t>
      </w:r>
      <w:r w:rsidRPr="00817E80">
        <w:rPr>
          <w:rFonts w:ascii="Tahoma" w:hAnsi="Tahoma" w:cs="Tahoma"/>
        </w:rPr>
        <w:t xml:space="preserve"> 13, no. 1 (2013): 1-12.</w:t>
      </w:r>
    </w:p>
    <w:p w14:paraId="596C2F74" w14:textId="1684A7B1" w:rsidR="00FB125E" w:rsidRDefault="00FB125E" w:rsidP="00D20486">
      <w:pPr>
        <w:spacing w:line="480" w:lineRule="auto"/>
        <w:jc w:val="both"/>
        <w:rPr>
          <w:rFonts w:ascii="Tahoma" w:hAnsi="Tahoma" w:cs="Tahoma"/>
          <w:highlight w:val="yellow"/>
        </w:rPr>
      </w:pPr>
      <w:r w:rsidRPr="00FB125E">
        <w:rPr>
          <w:rFonts w:ascii="Tahoma" w:hAnsi="Tahoma" w:cs="Tahoma"/>
        </w:rPr>
        <w:t xml:space="preserve">Jacklin, Angela, and Pat Le Riche. "Reconceptualising student support: from ‘support to supportive’." </w:t>
      </w:r>
      <w:r w:rsidRPr="00FB125E">
        <w:rPr>
          <w:rFonts w:ascii="Tahoma" w:hAnsi="Tahoma" w:cs="Tahoma"/>
          <w:i/>
          <w:iCs/>
        </w:rPr>
        <w:t>Studies in Higher Education</w:t>
      </w:r>
      <w:r w:rsidRPr="00FB125E">
        <w:rPr>
          <w:rFonts w:ascii="Tahoma" w:hAnsi="Tahoma" w:cs="Tahoma"/>
        </w:rPr>
        <w:t xml:space="preserve"> 34, no. 7 (2009): 735-749.</w:t>
      </w:r>
    </w:p>
    <w:p w14:paraId="2F2C2D30" w14:textId="77777777" w:rsidR="006F1248" w:rsidRDefault="006F1248" w:rsidP="00D20486">
      <w:pPr>
        <w:spacing w:line="480" w:lineRule="auto"/>
        <w:jc w:val="both"/>
        <w:rPr>
          <w:rFonts w:ascii="Tahoma" w:hAnsi="Tahoma" w:cs="Tahoma"/>
          <w:highlight w:val="yellow"/>
        </w:rPr>
      </w:pPr>
      <w:r w:rsidRPr="006F1248">
        <w:rPr>
          <w:rFonts w:ascii="Tahoma" w:hAnsi="Tahoma" w:cs="Tahoma"/>
        </w:rPr>
        <w:t xml:space="preserve">Jamieson, Isabel, Deborah Sims, Arindam Basu, and Kate Pugh. "Readiness for practice: The views of New Zealand senior nursing students." </w:t>
      </w:r>
      <w:r w:rsidRPr="006F1248">
        <w:rPr>
          <w:rFonts w:ascii="Tahoma" w:hAnsi="Tahoma" w:cs="Tahoma"/>
          <w:i/>
          <w:iCs/>
        </w:rPr>
        <w:t>Nurse education in practice</w:t>
      </w:r>
      <w:r w:rsidRPr="006F1248">
        <w:rPr>
          <w:rFonts w:ascii="Tahoma" w:hAnsi="Tahoma" w:cs="Tahoma"/>
        </w:rPr>
        <w:t xml:space="preserve"> 38 (2019): 27-33.</w:t>
      </w:r>
    </w:p>
    <w:p w14:paraId="5895B9B5" w14:textId="77777777" w:rsidR="008E45E2" w:rsidRDefault="008E45E2" w:rsidP="00D20486">
      <w:pPr>
        <w:spacing w:line="480" w:lineRule="auto"/>
        <w:jc w:val="both"/>
        <w:rPr>
          <w:rFonts w:ascii="Tahoma" w:hAnsi="Tahoma" w:cs="Tahoma"/>
          <w:highlight w:val="yellow"/>
        </w:rPr>
      </w:pPr>
      <w:r w:rsidRPr="008E45E2">
        <w:rPr>
          <w:rFonts w:ascii="Tahoma" w:hAnsi="Tahoma" w:cs="Tahoma"/>
        </w:rPr>
        <w:t xml:space="preserve">Katartzi, Eugenia, and Geoff Hayward. "Conceptualising transitions from vocational to higher education: bringing together Bourdieu and Bernstein." </w:t>
      </w:r>
      <w:r w:rsidRPr="008E45E2">
        <w:rPr>
          <w:rFonts w:ascii="Tahoma" w:hAnsi="Tahoma" w:cs="Tahoma"/>
          <w:i/>
          <w:iCs/>
        </w:rPr>
        <w:t>British Journal of Sociology of Education</w:t>
      </w:r>
      <w:r w:rsidRPr="008E45E2">
        <w:rPr>
          <w:rFonts w:ascii="Tahoma" w:hAnsi="Tahoma" w:cs="Tahoma"/>
        </w:rPr>
        <w:t xml:space="preserve"> 41, no. 3 (2020): 299-314.</w:t>
      </w:r>
    </w:p>
    <w:p w14:paraId="653FA4D8" w14:textId="77777777" w:rsidR="00D309A8" w:rsidRDefault="00D309A8" w:rsidP="00D20486">
      <w:pPr>
        <w:spacing w:line="480" w:lineRule="auto"/>
        <w:jc w:val="both"/>
        <w:rPr>
          <w:rFonts w:ascii="Tahoma" w:hAnsi="Tahoma" w:cs="Tahoma"/>
          <w:highlight w:val="yellow"/>
        </w:rPr>
      </w:pPr>
      <w:r w:rsidRPr="00D309A8">
        <w:rPr>
          <w:rFonts w:ascii="Tahoma" w:hAnsi="Tahoma" w:cs="Tahoma"/>
        </w:rPr>
        <w:t xml:space="preserve">Koivisto, Petri, Jukka Vuori, and Amiram D. Vinokur. "Transition to work: Effects of preparedness and goal construction on employment and depressive symptoms." </w:t>
      </w:r>
      <w:r w:rsidRPr="00D309A8">
        <w:rPr>
          <w:rFonts w:ascii="Tahoma" w:hAnsi="Tahoma" w:cs="Tahoma"/>
          <w:i/>
          <w:iCs/>
        </w:rPr>
        <w:t>Journal of Research on Adolescence</w:t>
      </w:r>
      <w:r w:rsidRPr="00D309A8">
        <w:rPr>
          <w:rFonts w:ascii="Tahoma" w:hAnsi="Tahoma" w:cs="Tahoma"/>
        </w:rPr>
        <w:t xml:space="preserve"> 20, no. 4 (2010): 869-892.</w:t>
      </w:r>
    </w:p>
    <w:p w14:paraId="0242848A" w14:textId="636B769F" w:rsidR="00D20486" w:rsidRPr="0029487E" w:rsidRDefault="00D309A8" w:rsidP="00D20486">
      <w:pPr>
        <w:spacing w:line="480" w:lineRule="auto"/>
        <w:jc w:val="both"/>
        <w:rPr>
          <w:rFonts w:ascii="Tahoma" w:hAnsi="Tahoma" w:cs="Tahoma"/>
          <w:highlight w:val="yellow"/>
        </w:rPr>
      </w:pPr>
      <w:r w:rsidRPr="0000624B">
        <w:rPr>
          <w:rFonts w:ascii="Tahoma" w:hAnsi="Tahoma" w:cs="Tahoma"/>
        </w:rPr>
        <w:t xml:space="preserve">Lagali-Jirge, Vasanti, and Meenaxi Umarani. "Evaluation of readiness to practice among interns at an Indian dental school." </w:t>
      </w:r>
      <w:r w:rsidR="0000624B" w:rsidRPr="00D42A52">
        <w:rPr>
          <w:rFonts w:ascii="Tahoma" w:hAnsi="Tahoma" w:cs="Tahoma"/>
          <w:i/>
          <w:iCs/>
        </w:rPr>
        <w:t>Journal of Contemporary Medical Education</w:t>
      </w:r>
      <w:r w:rsidR="0000624B" w:rsidRPr="00D309A8">
        <w:rPr>
          <w:rFonts w:ascii="Tahoma" w:hAnsi="Tahoma" w:cs="Tahoma"/>
        </w:rPr>
        <w:t xml:space="preserve"> </w:t>
      </w:r>
      <w:r w:rsidRPr="00D309A8">
        <w:rPr>
          <w:rFonts w:ascii="Tahoma" w:hAnsi="Tahoma" w:cs="Tahoma"/>
        </w:rPr>
        <w:t>2, no. 4 (2014): 227.</w:t>
      </w:r>
    </w:p>
    <w:p w14:paraId="2947A19D" w14:textId="77777777" w:rsidR="00FA2BA5" w:rsidRDefault="00FA2BA5" w:rsidP="00D20486">
      <w:pPr>
        <w:spacing w:line="480" w:lineRule="auto"/>
        <w:jc w:val="both"/>
        <w:rPr>
          <w:rFonts w:ascii="Tahoma" w:hAnsi="Tahoma" w:cs="Tahoma"/>
          <w:highlight w:val="yellow"/>
        </w:rPr>
      </w:pPr>
      <w:r w:rsidRPr="00FA2BA5">
        <w:rPr>
          <w:rFonts w:ascii="Tahoma" w:hAnsi="Tahoma" w:cs="Tahoma"/>
        </w:rPr>
        <w:t xml:space="preserve">Lazarides, Rebecca, Jaana Viljaranta, Mette Ranta, and Katariina Salmela-Aro. "Adolescents’ preparedness and motivation across the transition to post-comprehensive education." </w:t>
      </w:r>
      <w:r w:rsidRPr="00FA2BA5">
        <w:rPr>
          <w:rFonts w:ascii="Tahoma" w:hAnsi="Tahoma" w:cs="Tahoma"/>
          <w:i/>
          <w:iCs/>
        </w:rPr>
        <w:t>Contemporary Educational Psychology</w:t>
      </w:r>
      <w:r w:rsidRPr="00FA2BA5">
        <w:rPr>
          <w:rFonts w:ascii="Tahoma" w:hAnsi="Tahoma" w:cs="Tahoma"/>
        </w:rPr>
        <w:t xml:space="preserve"> 49 (2017): 151-159.</w:t>
      </w:r>
    </w:p>
    <w:p w14:paraId="290FBE5B" w14:textId="77777777" w:rsidR="00FA2BA5" w:rsidRDefault="00FA2BA5" w:rsidP="00D20486">
      <w:pPr>
        <w:spacing w:line="480" w:lineRule="auto"/>
        <w:jc w:val="both"/>
        <w:rPr>
          <w:rFonts w:ascii="Tahoma" w:hAnsi="Tahoma" w:cs="Tahoma"/>
        </w:rPr>
      </w:pPr>
      <w:r w:rsidRPr="00FA2BA5">
        <w:rPr>
          <w:rFonts w:ascii="Tahoma" w:hAnsi="Tahoma" w:cs="Tahoma"/>
        </w:rPr>
        <w:t xml:space="preserve">Lozano, Rodrigo, Rebeka Lukman, Francisco J. Lozano, Donald Huisingh, and Wim Lambrechts. "Declarations for sustainability in higher education: becoming better leaders, through addressing the university system." </w:t>
      </w:r>
      <w:r w:rsidRPr="00FA2BA5">
        <w:rPr>
          <w:rFonts w:ascii="Tahoma" w:hAnsi="Tahoma" w:cs="Tahoma"/>
          <w:i/>
          <w:iCs/>
        </w:rPr>
        <w:t>Journal of Cleaner Production</w:t>
      </w:r>
      <w:r w:rsidRPr="00FA2BA5">
        <w:rPr>
          <w:rFonts w:ascii="Tahoma" w:hAnsi="Tahoma" w:cs="Tahoma"/>
        </w:rPr>
        <w:t xml:space="preserve"> 48 (2013): 10-19.</w:t>
      </w:r>
    </w:p>
    <w:p w14:paraId="7FE9F01B" w14:textId="35686B20" w:rsidR="00D20486" w:rsidRPr="007370D9" w:rsidRDefault="00D20486" w:rsidP="00D20486">
      <w:pPr>
        <w:spacing w:line="480" w:lineRule="auto"/>
        <w:jc w:val="both"/>
        <w:rPr>
          <w:rFonts w:ascii="Tahoma" w:hAnsi="Tahoma" w:cs="Tahoma"/>
        </w:rPr>
      </w:pPr>
      <w:r w:rsidRPr="007370D9">
        <w:rPr>
          <w:rFonts w:ascii="Tahoma" w:hAnsi="Tahoma" w:cs="Tahoma"/>
        </w:rPr>
        <w:t>Madriz, E. Focus Groups in Feminist Research</w:t>
      </w:r>
      <w:r w:rsidR="00FA2BA5" w:rsidRPr="007370D9">
        <w:rPr>
          <w:rFonts w:ascii="Tahoma" w:hAnsi="Tahoma" w:cs="Tahoma"/>
        </w:rPr>
        <w:t xml:space="preserve"> (2000).</w:t>
      </w:r>
      <w:r w:rsidRPr="007370D9">
        <w:rPr>
          <w:rFonts w:ascii="Tahoma" w:hAnsi="Tahoma" w:cs="Tahoma"/>
        </w:rPr>
        <w:t xml:space="preserve"> Cited in: Denzin, N.K., Lincoln, Y. The Handbook of Qualitative Research. (5th ed.). Sage Publications</w:t>
      </w:r>
      <w:r w:rsidR="00D42A52">
        <w:rPr>
          <w:rFonts w:ascii="Tahoma" w:hAnsi="Tahoma" w:cs="Tahoma"/>
        </w:rPr>
        <w:t xml:space="preserve">, </w:t>
      </w:r>
      <w:r w:rsidR="007370D9" w:rsidRPr="007370D9">
        <w:rPr>
          <w:rFonts w:ascii="Tahoma" w:hAnsi="Tahoma" w:cs="Tahoma"/>
        </w:rPr>
        <w:t>2018</w:t>
      </w:r>
      <w:r w:rsidR="00D42A52">
        <w:rPr>
          <w:rFonts w:ascii="Tahoma" w:hAnsi="Tahoma" w:cs="Tahoma"/>
        </w:rPr>
        <w:t>.</w:t>
      </w:r>
    </w:p>
    <w:p w14:paraId="3476D5FB" w14:textId="77777777" w:rsidR="00AF0F91" w:rsidRDefault="00AF0F91" w:rsidP="00D20486">
      <w:pPr>
        <w:spacing w:line="480" w:lineRule="auto"/>
        <w:jc w:val="both"/>
        <w:rPr>
          <w:rFonts w:ascii="Tahoma" w:hAnsi="Tahoma" w:cs="Tahoma"/>
          <w:highlight w:val="yellow"/>
        </w:rPr>
      </w:pPr>
      <w:r w:rsidRPr="00AF0F91">
        <w:rPr>
          <w:rFonts w:ascii="Tahoma" w:hAnsi="Tahoma" w:cs="Tahoma"/>
        </w:rPr>
        <w:lastRenderedPageBreak/>
        <w:t xml:space="preserve">Malin, Joel R., Debra D. Bragg, and Donald G. Hackmann. "College and career readiness and the Every Student Succeeds Act." </w:t>
      </w:r>
      <w:r w:rsidRPr="00AF0F91">
        <w:rPr>
          <w:rFonts w:ascii="Tahoma" w:hAnsi="Tahoma" w:cs="Tahoma"/>
          <w:i/>
          <w:iCs/>
        </w:rPr>
        <w:t>Educational Administration Quarterly</w:t>
      </w:r>
      <w:r w:rsidRPr="00AF0F91">
        <w:rPr>
          <w:rFonts w:ascii="Tahoma" w:hAnsi="Tahoma" w:cs="Tahoma"/>
        </w:rPr>
        <w:t xml:space="preserve"> 53, no. 5 (2017): 809-838.</w:t>
      </w:r>
    </w:p>
    <w:p w14:paraId="6D35DD59" w14:textId="77777777" w:rsidR="00D42A52" w:rsidRDefault="002D0425" w:rsidP="00D20486">
      <w:pPr>
        <w:spacing w:line="480" w:lineRule="auto"/>
        <w:jc w:val="both"/>
        <w:rPr>
          <w:rFonts w:ascii="Tahoma" w:hAnsi="Tahoma" w:cs="Tahoma"/>
        </w:rPr>
      </w:pPr>
      <w:r w:rsidRPr="002D0425">
        <w:rPr>
          <w:rFonts w:ascii="Tahoma" w:hAnsi="Tahoma" w:cs="Tahoma"/>
        </w:rPr>
        <w:t xml:space="preserve">Mattern, Krista, Jeremy Burrus, Wayne Camara, Ryan O'Connor, Mary Ann Hansen, James Gambrell, Alex Casillas, and Becky Bobek. "Broadening the Definition of College and Career Readiness: A Holistic Approach. </w:t>
      </w:r>
      <w:r w:rsidRPr="002D0425">
        <w:rPr>
          <w:rFonts w:ascii="Tahoma" w:hAnsi="Tahoma" w:cs="Tahoma"/>
          <w:i/>
          <w:iCs/>
        </w:rPr>
        <w:t>ACT Research Report Series</w:t>
      </w:r>
      <w:r w:rsidRPr="002D0425">
        <w:rPr>
          <w:rFonts w:ascii="Tahoma" w:hAnsi="Tahoma" w:cs="Tahoma"/>
        </w:rPr>
        <w:t>, 2014 (5)." ACT, Inc. (2014).</w:t>
      </w:r>
    </w:p>
    <w:p w14:paraId="43C3D01D" w14:textId="6E4BCE4A" w:rsidR="007A38D9" w:rsidRDefault="007A38D9" w:rsidP="00D20486">
      <w:pPr>
        <w:spacing w:line="480" w:lineRule="auto"/>
        <w:jc w:val="both"/>
        <w:rPr>
          <w:rFonts w:ascii="Tahoma" w:hAnsi="Tahoma" w:cs="Tahoma"/>
          <w:highlight w:val="yellow"/>
        </w:rPr>
      </w:pPr>
      <w:r w:rsidRPr="007A38D9">
        <w:rPr>
          <w:rFonts w:ascii="Tahoma" w:hAnsi="Tahoma" w:cs="Tahoma"/>
        </w:rPr>
        <w:t xml:space="preserve">McCracken, Martin, Denise Currie, and Jeanette Harrison. "Understanding graduate recruitment, development and retention for the enhancement of talent management: Sharpening ‘the edge’ of graduate talent." </w:t>
      </w:r>
      <w:r w:rsidRPr="007A38D9">
        <w:rPr>
          <w:rFonts w:ascii="Tahoma" w:hAnsi="Tahoma" w:cs="Tahoma"/>
          <w:i/>
          <w:iCs/>
        </w:rPr>
        <w:t xml:space="preserve">The International Journal of Human Resource Management </w:t>
      </w:r>
      <w:r w:rsidRPr="007A38D9">
        <w:rPr>
          <w:rFonts w:ascii="Tahoma" w:hAnsi="Tahoma" w:cs="Tahoma"/>
        </w:rPr>
        <w:t>27, no. 22 (2016): 2727-2752.</w:t>
      </w:r>
    </w:p>
    <w:p w14:paraId="1C020E56" w14:textId="77777777" w:rsidR="00B72458" w:rsidRDefault="00B72458" w:rsidP="00D20486">
      <w:pPr>
        <w:spacing w:line="480" w:lineRule="auto"/>
        <w:jc w:val="both"/>
        <w:rPr>
          <w:rFonts w:ascii="Tahoma" w:hAnsi="Tahoma" w:cs="Tahoma"/>
          <w:highlight w:val="yellow"/>
        </w:rPr>
      </w:pPr>
      <w:r w:rsidRPr="00B72458">
        <w:rPr>
          <w:rFonts w:ascii="Tahoma" w:hAnsi="Tahoma" w:cs="Tahoma"/>
        </w:rPr>
        <w:t xml:space="preserve">McLeod, John. "The phenomenological approach." </w:t>
      </w:r>
      <w:r w:rsidRPr="003B336D">
        <w:rPr>
          <w:rFonts w:ascii="Tahoma" w:hAnsi="Tahoma" w:cs="Tahoma"/>
          <w:i/>
          <w:iCs/>
        </w:rPr>
        <w:t>Qualitative research in counselling and psychotherapy</w:t>
      </w:r>
      <w:r w:rsidRPr="00B72458">
        <w:rPr>
          <w:rFonts w:ascii="Tahoma" w:hAnsi="Tahoma" w:cs="Tahoma"/>
        </w:rPr>
        <w:t xml:space="preserve"> (2001): 36-53.</w:t>
      </w:r>
    </w:p>
    <w:p w14:paraId="44E7DC25" w14:textId="77777777" w:rsidR="003B336D" w:rsidRDefault="003B336D" w:rsidP="00D20486">
      <w:pPr>
        <w:spacing w:line="480" w:lineRule="auto"/>
        <w:jc w:val="both"/>
        <w:rPr>
          <w:rFonts w:ascii="Tahoma" w:hAnsi="Tahoma" w:cs="Tahoma"/>
          <w:highlight w:val="yellow"/>
        </w:rPr>
      </w:pPr>
      <w:r w:rsidRPr="003B336D">
        <w:rPr>
          <w:rFonts w:ascii="Tahoma" w:hAnsi="Tahoma" w:cs="Tahoma"/>
        </w:rPr>
        <w:t xml:space="preserve">McSweeney, Fiona, and Dave Williams. "Social care graduates’ judgements of their readiness and preparedness for practice." </w:t>
      </w:r>
      <w:r w:rsidRPr="003B336D">
        <w:rPr>
          <w:rFonts w:ascii="Tahoma" w:hAnsi="Tahoma" w:cs="Tahoma"/>
          <w:i/>
          <w:iCs/>
        </w:rPr>
        <w:t>Social Work Education</w:t>
      </w:r>
      <w:r w:rsidRPr="003B336D">
        <w:rPr>
          <w:rFonts w:ascii="Tahoma" w:hAnsi="Tahoma" w:cs="Tahoma"/>
        </w:rPr>
        <w:t xml:space="preserve"> 38, no. 3 (2019): 359-376.</w:t>
      </w:r>
    </w:p>
    <w:p w14:paraId="7FE9D825" w14:textId="77777777" w:rsidR="003B336D" w:rsidRDefault="003B336D" w:rsidP="00D20486">
      <w:pPr>
        <w:spacing w:line="480" w:lineRule="auto"/>
        <w:jc w:val="both"/>
        <w:rPr>
          <w:rFonts w:ascii="Tahoma" w:hAnsi="Tahoma" w:cs="Tahoma"/>
          <w:highlight w:val="yellow"/>
        </w:rPr>
      </w:pPr>
      <w:r w:rsidRPr="003B336D">
        <w:rPr>
          <w:rFonts w:ascii="Tahoma" w:hAnsi="Tahoma" w:cs="Tahoma"/>
        </w:rPr>
        <w:t xml:space="preserve">McSweeney, Fiona. "‘Moving In’: Difficulties and Support in the Transition to Higher Education for In-Service Social Care Students." </w:t>
      </w:r>
      <w:r w:rsidRPr="003B336D">
        <w:rPr>
          <w:rFonts w:ascii="Tahoma" w:hAnsi="Tahoma" w:cs="Tahoma"/>
          <w:i/>
          <w:iCs/>
        </w:rPr>
        <w:t>Social Work Education</w:t>
      </w:r>
      <w:r w:rsidRPr="003B336D">
        <w:rPr>
          <w:rFonts w:ascii="Tahoma" w:hAnsi="Tahoma" w:cs="Tahoma"/>
        </w:rPr>
        <w:t xml:space="preserve"> 33, no. 3 (2014): 317-337.</w:t>
      </w:r>
    </w:p>
    <w:p w14:paraId="16BA8227" w14:textId="0D8419D6" w:rsidR="002031AD" w:rsidRDefault="00146C4B" w:rsidP="00D20486">
      <w:pPr>
        <w:spacing w:line="480" w:lineRule="auto"/>
        <w:jc w:val="both"/>
        <w:rPr>
          <w:rFonts w:ascii="Tahoma" w:hAnsi="Tahoma" w:cs="Tahoma"/>
        </w:rPr>
      </w:pPr>
      <w:r w:rsidRPr="00146C4B">
        <w:rPr>
          <w:rFonts w:ascii="Tahoma" w:hAnsi="Tahoma" w:cs="Tahoma"/>
        </w:rPr>
        <w:t xml:space="preserve">Meichenbaum, Donald. "Stress inoculation training." New York 304 (1985). </w:t>
      </w:r>
      <w:r w:rsidR="00D20486" w:rsidRPr="00146C4B">
        <w:rPr>
          <w:rFonts w:ascii="Tahoma" w:hAnsi="Tahoma" w:cs="Tahoma"/>
        </w:rPr>
        <w:t xml:space="preserve">Cited In: </w:t>
      </w:r>
      <w:r w:rsidR="002031AD" w:rsidRPr="00146C4B">
        <w:rPr>
          <w:rFonts w:ascii="Tahoma" w:hAnsi="Tahoma" w:cs="Tahoma"/>
        </w:rPr>
        <w:t>Lazarides, Rebecca, Jaana Viljaranta, Mette Ranta, and Katariina Salmela-Aro. "Adolescents’ preparedness and motivation across the transition to post-comprehensive education."</w:t>
      </w:r>
      <w:r w:rsidR="002031AD" w:rsidRPr="002031AD">
        <w:rPr>
          <w:rFonts w:ascii="Tahoma" w:hAnsi="Tahoma" w:cs="Tahoma"/>
        </w:rPr>
        <w:t xml:space="preserve"> </w:t>
      </w:r>
      <w:r w:rsidR="002031AD" w:rsidRPr="002031AD">
        <w:rPr>
          <w:rFonts w:ascii="Tahoma" w:hAnsi="Tahoma" w:cs="Tahoma"/>
          <w:i/>
          <w:iCs/>
        </w:rPr>
        <w:t>Contemporary Educational Psychology</w:t>
      </w:r>
      <w:r w:rsidR="002031AD" w:rsidRPr="002031AD">
        <w:rPr>
          <w:rFonts w:ascii="Tahoma" w:hAnsi="Tahoma" w:cs="Tahoma"/>
        </w:rPr>
        <w:t xml:space="preserve"> 49 (2017): 151-159.</w:t>
      </w:r>
    </w:p>
    <w:p w14:paraId="4514528D" w14:textId="77777777" w:rsidR="002C0FCE" w:rsidRDefault="002C0FCE" w:rsidP="00D20486">
      <w:pPr>
        <w:spacing w:line="480" w:lineRule="auto"/>
        <w:jc w:val="both"/>
        <w:rPr>
          <w:rFonts w:ascii="Tahoma" w:hAnsi="Tahoma" w:cs="Tahoma"/>
          <w:highlight w:val="yellow"/>
        </w:rPr>
      </w:pPr>
      <w:r w:rsidRPr="002C0FCE">
        <w:rPr>
          <w:rFonts w:ascii="Tahoma" w:hAnsi="Tahoma" w:cs="Tahoma"/>
        </w:rPr>
        <w:t xml:space="preserve">Merrill, Barbara. "Determined to stay or determined to leave? A tale of learner identities, biographies and adult students in higher education." </w:t>
      </w:r>
      <w:r w:rsidRPr="008F22D8">
        <w:rPr>
          <w:rFonts w:ascii="Tahoma" w:hAnsi="Tahoma" w:cs="Tahoma"/>
          <w:i/>
          <w:iCs/>
        </w:rPr>
        <w:t>Studies in higher education</w:t>
      </w:r>
      <w:r w:rsidRPr="002C0FCE">
        <w:rPr>
          <w:rFonts w:ascii="Tahoma" w:hAnsi="Tahoma" w:cs="Tahoma"/>
        </w:rPr>
        <w:t xml:space="preserve"> 40, no. 10 (2015): 1859-1871.</w:t>
      </w:r>
    </w:p>
    <w:p w14:paraId="0EE8DD6C" w14:textId="77777777" w:rsidR="008F22D8" w:rsidRDefault="008F22D8" w:rsidP="00D20486">
      <w:pPr>
        <w:spacing w:line="480" w:lineRule="auto"/>
        <w:jc w:val="both"/>
        <w:rPr>
          <w:rFonts w:ascii="Tahoma" w:hAnsi="Tahoma" w:cs="Tahoma"/>
          <w:highlight w:val="yellow"/>
        </w:rPr>
      </w:pPr>
      <w:r w:rsidRPr="008F22D8">
        <w:rPr>
          <w:rFonts w:ascii="Tahoma" w:hAnsi="Tahoma" w:cs="Tahoma"/>
        </w:rPr>
        <w:lastRenderedPageBreak/>
        <w:t xml:space="preserve">Mirza, Noeman, Louela Manankil-Rankin, Dawn Prentice, Lisa-Anne Hagerman, and Christopher Draenos. "Practice readiness of new nursing graduates: A concept analysis." </w:t>
      </w:r>
      <w:r w:rsidRPr="008F22D8">
        <w:rPr>
          <w:rFonts w:ascii="Tahoma" w:hAnsi="Tahoma" w:cs="Tahoma"/>
          <w:i/>
          <w:iCs/>
        </w:rPr>
        <w:t>Nurse Education in Practice</w:t>
      </w:r>
      <w:r w:rsidRPr="008F22D8">
        <w:rPr>
          <w:rFonts w:ascii="Tahoma" w:hAnsi="Tahoma" w:cs="Tahoma"/>
        </w:rPr>
        <w:t xml:space="preserve"> 37 (2019): 68-74.</w:t>
      </w:r>
    </w:p>
    <w:p w14:paraId="5AD6F06B" w14:textId="77777777" w:rsidR="0035043F" w:rsidRDefault="0035043F" w:rsidP="00D20486">
      <w:pPr>
        <w:spacing w:line="480" w:lineRule="auto"/>
        <w:jc w:val="both"/>
        <w:rPr>
          <w:rFonts w:ascii="Tahoma" w:hAnsi="Tahoma" w:cs="Tahoma"/>
          <w:highlight w:val="yellow"/>
        </w:rPr>
      </w:pPr>
      <w:r w:rsidRPr="0035043F">
        <w:rPr>
          <w:rFonts w:ascii="Tahoma" w:hAnsi="Tahoma" w:cs="Tahoma"/>
        </w:rPr>
        <w:t xml:space="preserve">Moreau, Marie‐Pierre, and Carole Leathwood. "Graduates' employment and the discourse of employability: a critical analysis." </w:t>
      </w:r>
      <w:r w:rsidRPr="0035043F">
        <w:rPr>
          <w:rFonts w:ascii="Tahoma" w:hAnsi="Tahoma" w:cs="Tahoma"/>
          <w:i/>
          <w:iCs/>
        </w:rPr>
        <w:t>Journal of education and work</w:t>
      </w:r>
      <w:r w:rsidRPr="0035043F">
        <w:rPr>
          <w:rFonts w:ascii="Tahoma" w:hAnsi="Tahoma" w:cs="Tahoma"/>
        </w:rPr>
        <w:t xml:space="preserve"> 19, no. 4 (2006): 305-324.</w:t>
      </w:r>
    </w:p>
    <w:p w14:paraId="334CD003" w14:textId="77777777" w:rsidR="005A447B" w:rsidRDefault="005A447B" w:rsidP="00D20486">
      <w:pPr>
        <w:spacing w:line="480" w:lineRule="auto"/>
        <w:jc w:val="both"/>
        <w:rPr>
          <w:rFonts w:ascii="Tahoma" w:hAnsi="Tahoma" w:cs="Tahoma"/>
          <w:highlight w:val="yellow"/>
        </w:rPr>
      </w:pPr>
      <w:r w:rsidRPr="005A447B">
        <w:rPr>
          <w:rFonts w:ascii="Tahoma" w:hAnsi="Tahoma" w:cs="Tahoma"/>
        </w:rPr>
        <w:t xml:space="preserve">Morrison, Andrew Robert. "‘You have to be well spoken’: students’ views on employability within the graduate labour market." </w:t>
      </w:r>
      <w:r w:rsidRPr="005A447B">
        <w:rPr>
          <w:rFonts w:ascii="Tahoma" w:hAnsi="Tahoma" w:cs="Tahoma"/>
          <w:i/>
          <w:iCs/>
        </w:rPr>
        <w:t>Journal of Education and Work</w:t>
      </w:r>
      <w:r w:rsidRPr="005A447B">
        <w:rPr>
          <w:rFonts w:ascii="Tahoma" w:hAnsi="Tahoma" w:cs="Tahoma"/>
        </w:rPr>
        <w:t xml:space="preserve"> 27, no. 2 (2014): 179-198.</w:t>
      </w:r>
    </w:p>
    <w:p w14:paraId="48AA0BC3" w14:textId="77777777" w:rsidR="00B00509" w:rsidRDefault="00B00509" w:rsidP="00D20486">
      <w:pPr>
        <w:spacing w:line="480" w:lineRule="auto"/>
        <w:jc w:val="both"/>
        <w:rPr>
          <w:rFonts w:ascii="Tahoma" w:hAnsi="Tahoma" w:cs="Tahoma"/>
        </w:rPr>
      </w:pPr>
      <w:r w:rsidRPr="00B00509">
        <w:rPr>
          <w:rFonts w:ascii="Tahoma" w:hAnsi="Tahoma" w:cs="Tahoma"/>
        </w:rPr>
        <w:t xml:space="preserve">Muñiz, Elizabeth J., and Priya Eimerbrink. "Career readiness education (CRED) program." </w:t>
      </w:r>
      <w:r w:rsidRPr="00B00509">
        <w:rPr>
          <w:rFonts w:ascii="Tahoma" w:hAnsi="Tahoma" w:cs="Tahoma"/>
          <w:i/>
          <w:iCs/>
        </w:rPr>
        <w:t>Journal of Higher Education Theory and Practice</w:t>
      </w:r>
      <w:r w:rsidRPr="00B00509">
        <w:rPr>
          <w:rFonts w:ascii="Tahoma" w:hAnsi="Tahoma" w:cs="Tahoma"/>
        </w:rPr>
        <w:t xml:space="preserve"> 18, no. 6 (2018): 110.</w:t>
      </w:r>
    </w:p>
    <w:p w14:paraId="4116906F" w14:textId="19AFDAC7" w:rsidR="00D80010" w:rsidRDefault="00D80010" w:rsidP="00016FE4">
      <w:pPr>
        <w:spacing w:line="480" w:lineRule="auto"/>
        <w:rPr>
          <w:rFonts w:ascii="Tahoma" w:hAnsi="Tahoma" w:cs="Tahoma"/>
        </w:rPr>
      </w:pPr>
      <w:r w:rsidRPr="00D80010">
        <w:rPr>
          <w:rFonts w:ascii="Tahoma" w:hAnsi="Tahoma" w:cs="Tahoma"/>
        </w:rPr>
        <w:t>O'Brien, Abigail. "</w:t>
      </w:r>
      <w:r w:rsidRPr="00D80010">
        <w:rPr>
          <w:rFonts w:ascii="Tahoma" w:hAnsi="Tahoma" w:cs="Tahoma"/>
          <w:i/>
          <w:iCs/>
        </w:rPr>
        <w:t>Widening Participation in Higher Education: Exploring factors that prevent secondary school students, from disadvantaged/non-traditional backgrounds, from engaging in Higher Education with ‘elite’</w:t>
      </w:r>
      <w:r>
        <w:rPr>
          <w:rFonts w:ascii="Tahoma" w:hAnsi="Tahoma" w:cs="Tahoma"/>
          <w:i/>
          <w:iCs/>
        </w:rPr>
        <w:t xml:space="preserve"> </w:t>
      </w:r>
      <w:r w:rsidRPr="00D80010">
        <w:rPr>
          <w:rFonts w:ascii="Tahoma" w:hAnsi="Tahoma" w:cs="Tahoma"/>
          <w:i/>
          <w:iCs/>
        </w:rPr>
        <w:t>universities</w:t>
      </w:r>
      <w:r w:rsidRPr="00D80010">
        <w:rPr>
          <w:rFonts w:ascii="Tahoma" w:hAnsi="Tahoma" w:cs="Tahoma"/>
        </w:rPr>
        <w:t>." (2022).</w:t>
      </w:r>
    </w:p>
    <w:p w14:paraId="4E72D4C2" w14:textId="375C195C" w:rsidR="00D20486" w:rsidRPr="006F3818" w:rsidRDefault="00D20486" w:rsidP="00016FE4">
      <w:pPr>
        <w:spacing w:line="480" w:lineRule="auto"/>
        <w:rPr>
          <w:rFonts w:ascii="Tahoma" w:hAnsi="Tahoma" w:cs="Tahoma"/>
        </w:rPr>
      </w:pPr>
      <w:r w:rsidRPr="006F3818">
        <w:rPr>
          <w:rFonts w:ascii="Tahoma" w:hAnsi="Tahoma" w:cs="Tahoma"/>
        </w:rPr>
        <w:t xml:space="preserve">Office for National Statistics </w:t>
      </w:r>
      <w:r w:rsidR="003F6A42">
        <w:rPr>
          <w:rFonts w:ascii="Tahoma" w:hAnsi="Tahoma" w:cs="Tahoma"/>
        </w:rPr>
        <w:t>[</w:t>
      </w:r>
      <w:r w:rsidR="004938EA">
        <w:rPr>
          <w:rFonts w:ascii="Tahoma" w:hAnsi="Tahoma" w:cs="Tahoma"/>
        </w:rPr>
        <w:t>Online</w:t>
      </w:r>
      <w:r w:rsidR="003F6A42">
        <w:rPr>
          <w:rFonts w:ascii="Tahoma" w:hAnsi="Tahoma" w:cs="Tahoma"/>
        </w:rPr>
        <w:t>]</w:t>
      </w:r>
      <w:r w:rsidRPr="006F3818">
        <w:rPr>
          <w:rFonts w:ascii="Tahoma" w:hAnsi="Tahoma" w:cs="Tahoma"/>
        </w:rPr>
        <w:t xml:space="preserve">. </w:t>
      </w:r>
      <w:r w:rsidRPr="003F6A42">
        <w:rPr>
          <w:rFonts w:ascii="Tahoma" w:hAnsi="Tahoma" w:cs="Tahoma"/>
          <w:i/>
          <w:iCs/>
        </w:rPr>
        <w:t>Graduates in the UK Labour Market</w:t>
      </w:r>
      <w:r w:rsidRPr="006F3818">
        <w:rPr>
          <w:rFonts w:ascii="Tahoma" w:hAnsi="Tahoma" w:cs="Tahoma"/>
        </w:rPr>
        <w:t>: ONS</w:t>
      </w:r>
      <w:r w:rsidR="006059AD" w:rsidRPr="006F3818">
        <w:rPr>
          <w:rFonts w:ascii="Tahoma" w:hAnsi="Tahoma" w:cs="Tahoma"/>
        </w:rPr>
        <w:t xml:space="preserve"> (2017)</w:t>
      </w:r>
      <w:r w:rsidR="00FD7883" w:rsidRPr="006F3818">
        <w:rPr>
          <w:rFonts w:ascii="Tahoma" w:hAnsi="Tahoma" w:cs="Tahoma"/>
        </w:rPr>
        <w:t>.</w:t>
      </w:r>
      <w:r w:rsidRPr="006F3818">
        <w:rPr>
          <w:rFonts w:ascii="Tahoma" w:hAnsi="Tahoma" w:cs="Tahoma"/>
        </w:rPr>
        <w:t xml:space="preserve"> Retrieved from: </w:t>
      </w:r>
      <w:hyperlink r:id="rId13" w:anchor=":~:text=Graduates%20in%20the%20UK%20labour%20market%3A%202017,of%20male%20and%20female%20graduates" w:history="1">
        <w:r w:rsidR="00016FE4" w:rsidRPr="006F3818">
          <w:rPr>
            <w:rStyle w:val="Hyperlink"/>
            <w:rFonts w:ascii="Tahoma" w:hAnsi="Tahoma" w:cs="Tahoma"/>
          </w:rPr>
          <w:t>https://www.ons.gov.uk/employmentandlabourmarket/peopleinwork/employmentandemployeetypes/articles/graduatesintheuklabourmarket/2017#:~:text=Graduates%20in%20the%20UK%20labour%20market%3A%202017,of%20male%20and%20female%20graduates</w:t>
        </w:r>
      </w:hyperlink>
      <w:r w:rsidR="00016FE4" w:rsidRPr="006F3818">
        <w:rPr>
          <w:rFonts w:ascii="Tahoma" w:hAnsi="Tahoma" w:cs="Tahoma"/>
        </w:rPr>
        <w:t xml:space="preserve"> </w:t>
      </w:r>
      <w:r w:rsidRPr="006F3818">
        <w:rPr>
          <w:rFonts w:ascii="Tahoma" w:hAnsi="Tahoma" w:cs="Tahoma"/>
        </w:rPr>
        <w:t xml:space="preserve"> [Accessed: 14/05/2021].</w:t>
      </w:r>
    </w:p>
    <w:p w14:paraId="5F8F897A" w14:textId="77777777" w:rsidR="00FD7883" w:rsidRDefault="00FD7883" w:rsidP="00D20486">
      <w:pPr>
        <w:spacing w:line="480" w:lineRule="auto"/>
        <w:jc w:val="both"/>
        <w:rPr>
          <w:rFonts w:ascii="Tahoma" w:hAnsi="Tahoma" w:cs="Tahoma"/>
          <w:highlight w:val="yellow"/>
        </w:rPr>
      </w:pPr>
      <w:r w:rsidRPr="00FD7883">
        <w:rPr>
          <w:rFonts w:ascii="Tahoma" w:hAnsi="Tahoma" w:cs="Tahoma"/>
        </w:rPr>
        <w:t xml:space="preserve">O'Shea, Sarah. "Arriving, surviving, and succeeding: First-in-family women and their experiences of transitioning into the first year of university." </w:t>
      </w:r>
      <w:r w:rsidRPr="00FD7883">
        <w:rPr>
          <w:rFonts w:ascii="Tahoma" w:hAnsi="Tahoma" w:cs="Tahoma"/>
          <w:i/>
          <w:iCs/>
        </w:rPr>
        <w:t>Journal of College Student Development</w:t>
      </w:r>
      <w:r w:rsidRPr="00FD7883">
        <w:rPr>
          <w:rFonts w:ascii="Tahoma" w:hAnsi="Tahoma" w:cs="Tahoma"/>
        </w:rPr>
        <w:t xml:space="preserve"> 56, no. 5 (2015): 499-517.</w:t>
      </w:r>
    </w:p>
    <w:p w14:paraId="49F46998" w14:textId="77777777" w:rsidR="006F3818" w:rsidRDefault="006F3818" w:rsidP="00D20486">
      <w:pPr>
        <w:spacing w:line="480" w:lineRule="auto"/>
        <w:jc w:val="both"/>
        <w:rPr>
          <w:rFonts w:ascii="Tahoma" w:hAnsi="Tahoma" w:cs="Tahoma"/>
          <w:highlight w:val="yellow"/>
        </w:rPr>
      </w:pPr>
      <w:r w:rsidRPr="006F3818">
        <w:rPr>
          <w:rFonts w:ascii="Tahoma" w:hAnsi="Tahoma" w:cs="Tahoma"/>
        </w:rPr>
        <w:t xml:space="preserve">Ottrey, Ella, Charlotte E. Rees, Caitlin Kemp, Tina P. Brock, Michelle Leech, Kayley Lyons, Lynn V. Monrouxe, Julia Morphet, and Claire Palermo. "Exploring health care graduates' </w:t>
      </w:r>
      <w:r w:rsidRPr="006F3818">
        <w:rPr>
          <w:rFonts w:ascii="Tahoma" w:hAnsi="Tahoma" w:cs="Tahoma"/>
        </w:rPr>
        <w:lastRenderedPageBreak/>
        <w:t xml:space="preserve">conceptualisations of preparedness for practice: A longitudinal qualitative research study." </w:t>
      </w:r>
      <w:r w:rsidRPr="006F3818">
        <w:rPr>
          <w:rFonts w:ascii="Tahoma" w:hAnsi="Tahoma" w:cs="Tahoma"/>
          <w:i/>
          <w:iCs/>
        </w:rPr>
        <w:t>Medical Education</w:t>
      </w:r>
      <w:r w:rsidRPr="006F3818">
        <w:rPr>
          <w:rFonts w:ascii="Tahoma" w:hAnsi="Tahoma" w:cs="Tahoma"/>
        </w:rPr>
        <w:t xml:space="preserve"> 55, no. 9 (2021): 1078-1090.</w:t>
      </w:r>
    </w:p>
    <w:p w14:paraId="0A9F9BE6" w14:textId="77777777" w:rsidR="00FF0D58" w:rsidRDefault="00FF0D58" w:rsidP="00D20486">
      <w:pPr>
        <w:spacing w:line="480" w:lineRule="auto"/>
        <w:jc w:val="both"/>
        <w:rPr>
          <w:rFonts w:ascii="Tahoma" w:hAnsi="Tahoma" w:cs="Tahoma"/>
          <w:highlight w:val="yellow"/>
        </w:rPr>
      </w:pPr>
      <w:r w:rsidRPr="00FF0D58">
        <w:rPr>
          <w:rFonts w:ascii="Tahoma" w:hAnsi="Tahoma" w:cs="Tahoma"/>
        </w:rPr>
        <w:t xml:space="preserve">Patton, Michael Quinn. "Two decades of developments in qualitative inquiry: A personal, experiential perspective." </w:t>
      </w:r>
      <w:r w:rsidRPr="00FF0D58">
        <w:rPr>
          <w:rFonts w:ascii="Tahoma" w:hAnsi="Tahoma" w:cs="Tahoma"/>
          <w:i/>
          <w:iCs/>
        </w:rPr>
        <w:t>Qualitative social work</w:t>
      </w:r>
      <w:r w:rsidRPr="00FF0D58">
        <w:rPr>
          <w:rFonts w:ascii="Tahoma" w:hAnsi="Tahoma" w:cs="Tahoma"/>
        </w:rPr>
        <w:t xml:space="preserve"> 1, no. 3 (2002): 261-283.</w:t>
      </w:r>
    </w:p>
    <w:p w14:paraId="012C965D" w14:textId="77777777" w:rsidR="00F67F3D" w:rsidRDefault="00F67F3D" w:rsidP="00D20486">
      <w:pPr>
        <w:spacing w:line="480" w:lineRule="auto"/>
        <w:jc w:val="both"/>
        <w:rPr>
          <w:rFonts w:ascii="Tahoma" w:hAnsi="Tahoma" w:cs="Tahoma"/>
        </w:rPr>
      </w:pPr>
      <w:r w:rsidRPr="00F67F3D">
        <w:rPr>
          <w:rFonts w:ascii="Tahoma" w:hAnsi="Tahoma" w:cs="Tahoma"/>
        </w:rPr>
        <w:t xml:space="preserve">Pike, Angela, and John Harrison. "Crossing the FE/HE divide: the transition experiences of direct entrants at Level 6." </w:t>
      </w:r>
      <w:r w:rsidRPr="00F67F3D">
        <w:rPr>
          <w:rFonts w:ascii="Tahoma" w:hAnsi="Tahoma" w:cs="Tahoma"/>
          <w:i/>
          <w:iCs/>
        </w:rPr>
        <w:t>Journal of Further and Higher Education</w:t>
      </w:r>
      <w:r w:rsidRPr="00F67F3D">
        <w:rPr>
          <w:rFonts w:ascii="Tahoma" w:hAnsi="Tahoma" w:cs="Tahoma"/>
        </w:rPr>
        <w:t xml:space="preserve"> 35, no. 1 (2011): 55-67</w:t>
      </w:r>
      <w:r>
        <w:rPr>
          <w:rFonts w:ascii="Tahoma" w:hAnsi="Tahoma" w:cs="Tahoma"/>
        </w:rPr>
        <w:t>.</w:t>
      </w:r>
    </w:p>
    <w:p w14:paraId="6B88881F" w14:textId="77777777" w:rsidR="008364CF" w:rsidRDefault="008364CF" w:rsidP="00016FE4">
      <w:pPr>
        <w:spacing w:line="480" w:lineRule="auto"/>
        <w:rPr>
          <w:rFonts w:ascii="Tahoma" w:hAnsi="Tahoma" w:cs="Tahoma"/>
          <w:highlight w:val="yellow"/>
        </w:rPr>
      </w:pPr>
      <w:r w:rsidRPr="008364CF">
        <w:rPr>
          <w:rFonts w:ascii="Tahoma" w:hAnsi="Tahoma" w:cs="Tahoma"/>
        </w:rPr>
        <w:t xml:space="preserve">Postareff, Liisa, Markus Mattsson, Sari Lindblom-Ylänne, and Telle Hailikari. "The complex relationship between emotions, approaches to learning, study success and study progress during the transition to university." </w:t>
      </w:r>
      <w:r w:rsidRPr="008364CF">
        <w:rPr>
          <w:rFonts w:ascii="Tahoma" w:hAnsi="Tahoma" w:cs="Tahoma"/>
          <w:i/>
          <w:iCs/>
        </w:rPr>
        <w:t>Higher education</w:t>
      </w:r>
      <w:r w:rsidRPr="008364CF">
        <w:rPr>
          <w:rFonts w:ascii="Tahoma" w:hAnsi="Tahoma" w:cs="Tahoma"/>
        </w:rPr>
        <w:t xml:space="preserve"> 73, no. 3 (2017): 441-457.</w:t>
      </w:r>
    </w:p>
    <w:p w14:paraId="1D263BC5" w14:textId="55747AB5" w:rsidR="00D20486" w:rsidRPr="008364CF" w:rsidRDefault="00D20486" w:rsidP="00016FE4">
      <w:pPr>
        <w:spacing w:line="480" w:lineRule="auto"/>
        <w:rPr>
          <w:rFonts w:ascii="Tahoma" w:hAnsi="Tahoma" w:cs="Tahoma"/>
        </w:rPr>
      </w:pPr>
      <w:r w:rsidRPr="008364CF">
        <w:rPr>
          <w:rFonts w:ascii="Tahoma" w:hAnsi="Tahoma" w:cs="Tahoma"/>
        </w:rPr>
        <w:t>Public Health England. [Online] Local Authority Health Profile. Public Health England</w:t>
      </w:r>
      <w:r w:rsidR="008364CF" w:rsidRPr="008364CF">
        <w:rPr>
          <w:rFonts w:ascii="Tahoma" w:hAnsi="Tahoma" w:cs="Tahoma"/>
        </w:rPr>
        <w:t xml:space="preserve"> (2020)</w:t>
      </w:r>
      <w:r w:rsidRPr="008364CF">
        <w:rPr>
          <w:rFonts w:ascii="Tahoma" w:hAnsi="Tahoma" w:cs="Tahoma"/>
        </w:rPr>
        <w:t xml:space="preserve">. Available at: </w:t>
      </w:r>
      <w:hyperlink r:id="rId14" w:history="1">
        <w:r w:rsidR="00016FE4" w:rsidRPr="008364CF">
          <w:rPr>
            <w:rStyle w:val="Hyperlink"/>
            <w:rFonts w:ascii="Tahoma" w:hAnsi="Tahoma" w:cs="Tahoma"/>
          </w:rPr>
          <w:t>https://fingertips.phe.org.uk/static-reports/health-profiles/2019/e06000021.html?area-name=stoke-on-trent</w:t>
        </w:r>
      </w:hyperlink>
      <w:r w:rsidR="00016FE4" w:rsidRPr="008364CF">
        <w:rPr>
          <w:rFonts w:ascii="Tahoma" w:hAnsi="Tahoma" w:cs="Tahoma"/>
        </w:rPr>
        <w:t xml:space="preserve"> </w:t>
      </w:r>
      <w:r w:rsidRPr="008364CF">
        <w:rPr>
          <w:rFonts w:ascii="Tahoma" w:hAnsi="Tahoma" w:cs="Tahoma"/>
        </w:rPr>
        <w:t xml:space="preserve"> </w:t>
      </w:r>
      <w:r w:rsidR="00136297" w:rsidRPr="008364CF">
        <w:rPr>
          <w:rFonts w:ascii="Tahoma" w:hAnsi="Tahoma" w:cs="Tahoma"/>
        </w:rPr>
        <w:t>[Accessed on 20/03/2020].</w:t>
      </w:r>
    </w:p>
    <w:p w14:paraId="4DD21DF7" w14:textId="746450C1" w:rsidR="00E73CF1" w:rsidRDefault="00E73CF1" w:rsidP="00D20486">
      <w:pPr>
        <w:spacing w:line="480" w:lineRule="auto"/>
        <w:jc w:val="both"/>
        <w:rPr>
          <w:rFonts w:ascii="Tahoma" w:hAnsi="Tahoma" w:cs="Tahoma"/>
          <w:highlight w:val="yellow"/>
        </w:rPr>
      </w:pPr>
      <w:r w:rsidRPr="00E73CF1">
        <w:rPr>
          <w:rFonts w:ascii="Tahoma" w:hAnsi="Tahoma" w:cs="Tahoma"/>
        </w:rPr>
        <w:t xml:space="preserve">Quinn, J. "Rethinking </w:t>
      </w:r>
      <w:r w:rsidR="00BB141E">
        <w:rPr>
          <w:rFonts w:ascii="Tahoma" w:hAnsi="Tahoma" w:cs="Tahoma"/>
        </w:rPr>
        <w:t>‘</w:t>
      </w:r>
      <w:r w:rsidRPr="00E73CF1">
        <w:rPr>
          <w:rFonts w:ascii="Tahoma" w:hAnsi="Tahoma" w:cs="Tahoma"/>
        </w:rPr>
        <w:t>failed transitions</w:t>
      </w:r>
      <w:r w:rsidR="00BB141E">
        <w:rPr>
          <w:rFonts w:ascii="Tahoma" w:hAnsi="Tahoma" w:cs="Tahoma"/>
        </w:rPr>
        <w:t>’</w:t>
      </w:r>
      <w:r w:rsidRPr="00E73CF1">
        <w:rPr>
          <w:rFonts w:ascii="Tahoma" w:hAnsi="Tahoma" w:cs="Tahoma"/>
        </w:rPr>
        <w:t xml:space="preserve"> to higher education</w:t>
      </w:r>
      <w:r w:rsidR="00BB141E">
        <w:rPr>
          <w:rFonts w:ascii="Tahoma" w:hAnsi="Tahoma" w:cs="Tahoma"/>
        </w:rPr>
        <w:t>”</w:t>
      </w:r>
      <w:r w:rsidRPr="00E73CF1">
        <w:rPr>
          <w:rFonts w:ascii="Tahoma" w:hAnsi="Tahoma" w:cs="Tahoma"/>
        </w:rPr>
        <w:t>.</w:t>
      </w:r>
      <w:r w:rsidR="00717F74">
        <w:rPr>
          <w:rFonts w:ascii="Tahoma" w:hAnsi="Tahoma" w:cs="Tahoma"/>
        </w:rPr>
        <w:t xml:space="preserve"> Cited In:</w:t>
      </w:r>
      <w:r w:rsidRPr="00E73CF1">
        <w:rPr>
          <w:rFonts w:ascii="Tahoma" w:hAnsi="Tahoma" w:cs="Tahoma"/>
        </w:rPr>
        <w:t xml:space="preserve"> Teoksessa Ecclestone, K., Biesta, G. &amp; Hughes, M. </w:t>
      </w:r>
      <w:r w:rsidRPr="00717F74">
        <w:rPr>
          <w:rFonts w:ascii="Tahoma" w:hAnsi="Tahoma" w:cs="Tahoma"/>
          <w:i/>
          <w:iCs/>
        </w:rPr>
        <w:t>Transitions and learning through the life course</w:t>
      </w:r>
      <w:r w:rsidRPr="00E73CF1">
        <w:rPr>
          <w:rFonts w:ascii="Tahoma" w:hAnsi="Tahoma" w:cs="Tahoma"/>
        </w:rPr>
        <w:t>." (2010): 118-129.</w:t>
      </w:r>
    </w:p>
    <w:p w14:paraId="527EF5EF" w14:textId="77777777" w:rsidR="00510B2F" w:rsidRDefault="00510B2F" w:rsidP="00D20486">
      <w:pPr>
        <w:spacing w:line="480" w:lineRule="auto"/>
        <w:jc w:val="both"/>
        <w:rPr>
          <w:rFonts w:ascii="Tahoma" w:hAnsi="Tahoma" w:cs="Tahoma"/>
        </w:rPr>
      </w:pPr>
      <w:r w:rsidRPr="00510B2F">
        <w:rPr>
          <w:rFonts w:ascii="Tahoma" w:hAnsi="Tahoma" w:cs="Tahoma"/>
        </w:rPr>
        <w:t xml:space="preserve">Reeves, Thomas Charles, and John G. Hedberg. </w:t>
      </w:r>
      <w:r w:rsidRPr="00510B2F">
        <w:rPr>
          <w:rFonts w:ascii="Tahoma" w:hAnsi="Tahoma" w:cs="Tahoma"/>
          <w:i/>
          <w:iCs/>
        </w:rPr>
        <w:t>Interactive learning systems evaluation</w:t>
      </w:r>
      <w:r w:rsidRPr="00510B2F">
        <w:rPr>
          <w:rFonts w:ascii="Tahoma" w:hAnsi="Tahoma" w:cs="Tahoma"/>
        </w:rPr>
        <w:t>. Educational Technology, 2003.</w:t>
      </w:r>
    </w:p>
    <w:p w14:paraId="116EA4CE" w14:textId="5FB58A13" w:rsidR="00720E92" w:rsidRDefault="00720E92" w:rsidP="00D20486">
      <w:pPr>
        <w:spacing w:line="480" w:lineRule="auto"/>
        <w:jc w:val="both"/>
        <w:rPr>
          <w:rFonts w:ascii="Tahoma" w:hAnsi="Tahoma" w:cs="Tahoma"/>
          <w:highlight w:val="yellow"/>
        </w:rPr>
      </w:pPr>
      <w:r w:rsidRPr="00720E92">
        <w:rPr>
          <w:rFonts w:ascii="Tahoma" w:hAnsi="Tahoma" w:cs="Tahoma"/>
        </w:rPr>
        <w:t xml:space="preserve">Rocca, Kelly A. "Student participation in the college classroom: An extended multidisciplinary literature review." </w:t>
      </w:r>
      <w:r w:rsidRPr="00720E92">
        <w:rPr>
          <w:rFonts w:ascii="Tahoma" w:hAnsi="Tahoma" w:cs="Tahoma"/>
          <w:i/>
          <w:iCs/>
        </w:rPr>
        <w:t>Communication education</w:t>
      </w:r>
      <w:r w:rsidRPr="00720E92">
        <w:rPr>
          <w:rFonts w:ascii="Tahoma" w:hAnsi="Tahoma" w:cs="Tahoma"/>
        </w:rPr>
        <w:t xml:space="preserve"> 59, no. 2 (2010): 185-213.</w:t>
      </w:r>
    </w:p>
    <w:p w14:paraId="770EC9DC" w14:textId="77777777" w:rsidR="004A5D53" w:rsidRDefault="004A5D53" w:rsidP="00D20486">
      <w:pPr>
        <w:spacing w:line="480" w:lineRule="auto"/>
        <w:jc w:val="both"/>
        <w:rPr>
          <w:rFonts w:ascii="Tahoma" w:hAnsi="Tahoma" w:cs="Tahoma"/>
        </w:rPr>
      </w:pPr>
      <w:r w:rsidRPr="004A5D53">
        <w:rPr>
          <w:rFonts w:ascii="Tahoma" w:hAnsi="Tahoma" w:cs="Tahoma"/>
        </w:rPr>
        <w:t xml:space="preserve">Rogers, Antoinette M. "Non-Traditional Entrants to Higher Education: They Talk about People like Me." </w:t>
      </w:r>
      <w:r w:rsidRPr="004A5D53">
        <w:rPr>
          <w:rFonts w:ascii="Tahoma" w:hAnsi="Tahoma" w:cs="Tahoma"/>
          <w:i/>
          <w:iCs/>
        </w:rPr>
        <w:t>The Journal of Negro Education</w:t>
      </w:r>
      <w:r w:rsidRPr="004A5D53">
        <w:rPr>
          <w:rFonts w:ascii="Tahoma" w:hAnsi="Tahoma" w:cs="Tahoma"/>
        </w:rPr>
        <w:t xml:space="preserve"> 74, no. 3 (2005): 291.</w:t>
      </w:r>
    </w:p>
    <w:p w14:paraId="66AE716A" w14:textId="1744C038" w:rsidR="00BF6ADB" w:rsidRDefault="00BF6ADB" w:rsidP="00D20486">
      <w:pPr>
        <w:spacing w:line="480" w:lineRule="auto"/>
        <w:jc w:val="both"/>
        <w:rPr>
          <w:rFonts w:ascii="Tahoma" w:hAnsi="Tahoma" w:cs="Tahoma"/>
        </w:rPr>
      </w:pPr>
      <w:r w:rsidRPr="00BF6ADB">
        <w:rPr>
          <w:rFonts w:ascii="Tahoma" w:hAnsi="Tahoma" w:cs="Tahoma"/>
        </w:rPr>
        <w:t>Salmela-Aro, Katariina, and Jukka Vuori. "</w:t>
      </w:r>
      <w:r w:rsidRPr="00BF6ADB">
        <w:rPr>
          <w:rFonts w:ascii="Tahoma" w:hAnsi="Tahoma" w:cs="Tahoma"/>
          <w:i/>
          <w:iCs/>
        </w:rPr>
        <w:t>School engagement and burnout among students: Preparing for work life</w:t>
      </w:r>
      <w:r w:rsidRPr="00BF6ADB">
        <w:rPr>
          <w:rFonts w:ascii="Tahoma" w:hAnsi="Tahoma" w:cs="Tahoma"/>
        </w:rPr>
        <w:t xml:space="preserve">." </w:t>
      </w:r>
      <w:r>
        <w:rPr>
          <w:rFonts w:ascii="Tahoma" w:hAnsi="Tahoma" w:cs="Tahoma"/>
        </w:rPr>
        <w:t>Ci</w:t>
      </w:r>
      <w:r w:rsidR="00622B93">
        <w:rPr>
          <w:rFonts w:ascii="Tahoma" w:hAnsi="Tahoma" w:cs="Tahoma"/>
        </w:rPr>
        <w:t>ted i</w:t>
      </w:r>
      <w:r w:rsidRPr="00BF6ADB">
        <w:rPr>
          <w:rFonts w:ascii="Tahoma" w:hAnsi="Tahoma" w:cs="Tahoma"/>
        </w:rPr>
        <w:t>n Sustainable working lives, pp. 51-64. Springer, Dordrecht, 2015.</w:t>
      </w:r>
    </w:p>
    <w:p w14:paraId="5406462D" w14:textId="05AD5BFB" w:rsidR="00D7647B" w:rsidRDefault="00D7647B" w:rsidP="00D20486">
      <w:pPr>
        <w:spacing w:line="480" w:lineRule="auto"/>
        <w:jc w:val="both"/>
        <w:rPr>
          <w:rFonts w:ascii="Tahoma" w:hAnsi="Tahoma" w:cs="Tahoma"/>
          <w:highlight w:val="yellow"/>
        </w:rPr>
      </w:pPr>
      <w:r w:rsidRPr="00D7647B">
        <w:rPr>
          <w:rFonts w:ascii="Tahoma" w:hAnsi="Tahoma" w:cs="Tahoma"/>
        </w:rPr>
        <w:lastRenderedPageBreak/>
        <w:t xml:space="preserve">Salmela-Aro, Katariina, Pertti Mutanen, and Jukka Vuori. "Promoting career preparedness and intrinsic work-goal motivation: RCT intervention." </w:t>
      </w:r>
      <w:r w:rsidRPr="00D7647B">
        <w:rPr>
          <w:rFonts w:ascii="Tahoma" w:hAnsi="Tahoma" w:cs="Tahoma"/>
          <w:i/>
          <w:iCs/>
        </w:rPr>
        <w:t>Journal of Vocational Behavior</w:t>
      </w:r>
      <w:r w:rsidRPr="00D7647B">
        <w:rPr>
          <w:rFonts w:ascii="Tahoma" w:hAnsi="Tahoma" w:cs="Tahoma"/>
        </w:rPr>
        <w:t xml:space="preserve"> 80, no. 1 (2012): 67-75.</w:t>
      </w:r>
    </w:p>
    <w:p w14:paraId="0A29B763" w14:textId="77777777" w:rsidR="00C1098E" w:rsidRDefault="00C1098E" w:rsidP="00D20486">
      <w:pPr>
        <w:spacing w:line="480" w:lineRule="auto"/>
        <w:jc w:val="both"/>
        <w:rPr>
          <w:rFonts w:ascii="Tahoma" w:hAnsi="Tahoma" w:cs="Tahoma"/>
        </w:rPr>
      </w:pPr>
      <w:r w:rsidRPr="00C1098E">
        <w:rPr>
          <w:rFonts w:ascii="Tahoma" w:hAnsi="Tahoma" w:cs="Tahoma"/>
        </w:rPr>
        <w:t xml:space="preserve">Salmela-Aro, Katariina, Pertti Mutanen, Petri Koivisto, and Jukka Vuori. "Adolescents' future education-related personal goals, concerns, and internal motivation during the “Towards Working Life” group intervention." </w:t>
      </w:r>
      <w:r w:rsidRPr="00C1098E">
        <w:rPr>
          <w:rFonts w:ascii="Tahoma" w:hAnsi="Tahoma" w:cs="Tahoma"/>
          <w:i/>
          <w:iCs/>
        </w:rPr>
        <w:t>European journal of developmental psychology</w:t>
      </w:r>
      <w:r w:rsidRPr="00C1098E">
        <w:rPr>
          <w:rFonts w:ascii="Tahoma" w:hAnsi="Tahoma" w:cs="Tahoma"/>
        </w:rPr>
        <w:t xml:space="preserve"> 7, no. 4 (2010): 445-462.</w:t>
      </w:r>
    </w:p>
    <w:p w14:paraId="349D9126" w14:textId="77777777" w:rsidR="00802939" w:rsidRDefault="00802939" w:rsidP="00D20486">
      <w:pPr>
        <w:spacing w:line="480" w:lineRule="auto"/>
        <w:jc w:val="both"/>
        <w:rPr>
          <w:rFonts w:ascii="Tahoma" w:hAnsi="Tahoma" w:cs="Tahoma"/>
          <w:highlight w:val="yellow"/>
        </w:rPr>
      </w:pPr>
      <w:r w:rsidRPr="00802939">
        <w:rPr>
          <w:rFonts w:ascii="Tahoma" w:hAnsi="Tahoma" w:cs="Tahoma"/>
        </w:rPr>
        <w:t>Schmitt, Catherine A., and Rachelle J. Lancaster. "Readiness to practice in generation Z nursing students." Journal of Nursing Education 58, no. 10 (2019): 604-606.</w:t>
      </w:r>
    </w:p>
    <w:p w14:paraId="3CAC4CFF" w14:textId="77777777" w:rsidR="00802939" w:rsidRDefault="00802939" w:rsidP="00D20486">
      <w:pPr>
        <w:spacing w:line="480" w:lineRule="auto"/>
        <w:jc w:val="both"/>
        <w:rPr>
          <w:rFonts w:ascii="Tahoma" w:hAnsi="Tahoma" w:cs="Tahoma"/>
          <w:highlight w:val="yellow"/>
        </w:rPr>
      </w:pPr>
      <w:r w:rsidRPr="00802939">
        <w:rPr>
          <w:rFonts w:ascii="Tahoma" w:hAnsi="Tahoma" w:cs="Tahoma"/>
        </w:rPr>
        <w:t>Schoon, Ingrid. "Adaptations to changing times: Agency in context." International Journal of Psychology 42, no. 2 (2007): 94-101.</w:t>
      </w:r>
    </w:p>
    <w:p w14:paraId="54F8B67E" w14:textId="0A611C4E" w:rsidR="00A96B87" w:rsidRDefault="00A96B87" w:rsidP="00D20486">
      <w:pPr>
        <w:spacing w:line="480" w:lineRule="auto"/>
        <w:jc w:val="both"/>
        <w:rPr>
          <w:rFonts w:ascii="Tahoma" w:hAnsi="Tahoma" w:cs="Tahoma"/>
          <w:highlight w:val="yellow"/>
        </w:rPr>
      </w:pPr>
      <w:r w:rsidRPr="00A96B87">
        <w:rPr>
          <w:rFonts w:ascii="Tahoma" w:hAnsi="Tahoma" w:cs="Tahoma"/>
        </w:rPr>
        <w:t xml:space="preserve">Schoon, Ingrid, and John Bynner, eds. </w:t>
      </w:r>
      <w:r w:rsidRPr="00A96B87">
        <w:rPr>
          <w:rFonts w:ascii="Tahoma" w:hAnsi="Tahoma" w:cs="Tahoma"/>
          <w:i/>
          <w:iCs/>
        </w:rPr>
        <w:t>Young people's development and the Great Recession: Uncertain transitions and precarious futures</w:t>
      </w:r>
      <w:r w:rsidRPr="00A96B87">
        <w:rPr>
          <w:rFonts w:ascii="Tahoma" w:hAnsi="Tahoma" w:cs="Tahoma"/>
        </w:rPr>
        <w:t>. Cambridge University Press</w:t>
      </w:r>
      <w:r w:rsidR="00622B93">
        <w:rPr>
          <w:rFonts w:ascii="Tahoma" w:hAnsi="Tahoma" w:cs="Tahoma"/>
        </w:rPr>
        <w:t xml:space="preserve">, </w:t>
      </w:r>
      <w:r w:rsidRPr="00A96B87">
        <w:rPr>
          <w:rFonts w:ascii="Tahoma" w:hAnsi="Tahoma" w:cs="Tahoma"/>
        </w:rPr>
        <w:t>2017.</w:t>
      </w:r>
    </w:p>
    <w:p w14:paraId="720D706C" w14:textId="77777777" w:rsidR="002C0B03" w:rsidRDefault="002C0B03" w:rsidP="00D20486">
      <w:pPr>
        <w:spacing w:line="480" w:lineRule="auto"/>
        <w:jc w:val="both"/>
        <w:rPr>
          <w:rFonts w:ascii="Tahoma" w:hAnsi="Tahoma" w:cs="Tahoma"/>
          <w:highlight w:val="yellow"/>
        </w:rPr>
      </w:pPr>
      <w:r w:rsidRPr="002C0B03">
        <w:rPr>
          <w:rFonts w:ascii="Tahoma" w:hAnsi="Tahoma" w:cs="Tahoma"/>
        </w:rPr>
        <w:t xml:space="preserve">Schoon, Ingrid, and John Bynner. "Young people and the Great Recession: Variations in the school-to-work transition in Europe and the United States." </w:t>
      </w:r>
      <w:r w:rsidRPr="00331727">
        <w:rPr>
          <w:rFonts w:ascii="Tahoma" w:hAnsi="Tahoma" w:cs="Tahoma"/>
          <w:i/>
          <w:iCs/>
        </w:rPr>
        <w:t>Longitudinal and Life Course Studies</w:t>
      </w:r>
      <w:r w:rsidRPr="002C0B03">
        <w:rPr>
          <w:rFonts w:ascii="Tahoma" w:hAnsi="Tahoma" w:cs="Tahoma"/>
        </w:rPr>
        <w:t xml:space="preserve"> 10, no. 2 (2019): 153-173.</w:t>
      </w:r>
    </w:p>
    <w:p w14:paraId="70110305" w14:textId="77777777" w:rsidR="00331727" w:rsidRDefault="00331727" w:rsidP="00D20486">
      <w:pPr>
        <w:spacing w:line="480" w:lineRule="auto"/>
        <w:jc w:val="both"/>
        <w:rPr>
          <w:rFonts w:ascii="Tahoma" w:hAnsi="Tahoma" w:cs="Tahoma"/>
          <w:highlight w:val="yellow"/>
        </w:rPr>
      </w:pPr>
      <w:r w:rsidRPr="00331727">
        <w:rPr>
          <w:rFonts w:ascii="Tahoma" w:hAnsi="Tahoma" w:cs="Tahoma"/>
        </w:rPr>
        <w:t xml:space="preserve">Schoon, Ingrid, and Mark Lyons-Amos. "Diverse pathways in becoming an adult: The role of structure, agency and context." </w:t>
      </w:r>
      <w:r w:rsidRPr="00331727">
        <w:rPr>
          <w:rFonts w:ascii="Tahoma" w:hAnsi="Tahoma" w:cs="Tahoma"/>
          <w:i/>
          <w:iCs/>
        </w:rPr>
        <w:t>Research in Social Stratification and Mobility</w:t>
      </w:r>
      <w:r w:rsidRPr="00331727">
        <w:rPr>
          <w:rFonts w:ascii="Tahoma" w:hAnsi="Tahoma" w:cs="Tahoma"/>
        </w:rPr>
        <w:t xml:space="preserve"> 46 (2016): 11-20.</w:t>
      </w:r>
    </w:p>
    <w:p w14:paraId="74877BD8" w14:textId="0CA6FD0A" w:rsidR="00A9691B" w:rsidRDefault="009A794F" w:rsidP="00D20486">
      <w:pPr>
        <w:spacing w:line="480" w:lineRule="auto"/>
        <w:jc w:val="both"/>
        <w:rPr>
          <w:rFonts w:ascii="Tahoma" w:hAnsi="Tahoma" w:cs="Tahoma"/>
        </w:rPr>
      </w:pPr>
      <w:r w:rsidRPr="009A794F">
        <w:rPr>
          <w:rFonts w:ascii="Tahoma" w:hAnsi="Tahoma" w:cs="Tahoma"/>
        </w:rPr>
        <w:t xml:space="preserve">Settersten Jr, Richard A., Timothy M. Ottusch, and Barbara Schneider. "Becoming adult: Meanings of markers to adulthood." </w:t>
      </w:r>
      <w:r w:rsidRPr="00A9691B">
        <w:rPr>
          <w:rFonts w:ascii="Tahoma" w:hAnsi="Tahoma" w:cs="Tahoma"/>
          <w:i/>
          <w:iCs/>
        </w:rPr>
        <w:t>Emerging trends in the social and behavioral sciences: An interdisciplinary, searchable, and linkable resource</w:t>
      </w:r>
      <w:r w:rsidRPr="009A794F">
        <w:rPr>
          <w:rFonts w:ascii="Tahoma" w:hAnsi="Tahoma" w:cs="Tahoma"/>
        </w:rPr>
        <w:t xml:space="preserve"> (2015): 1-16.</w:t>
      </w:r>
    </w:p>
    <w:p w14:paraId="612F99AC" w14:textId="77777777" w:rsidR="00892DDF" w:rsidRDefault="00892DDF" w:rsidP="00D20486">
      <w:pPr>
        <w:spacing w:line="480" w:lineRule="auto"/>
        <w:jc w:val="both"/>
        <w:rPr>
          <w:rFonts w:ascii="Tahoma" w:hAnsi="Tahoma" w:cs="Tahoma"/>
        </w:rPr>
      </w:pPr>
      <w:r w:rsidRPr="00892DDF">
        <w:rPr>
          <w:rFonts w:ascii="Tahoma" w:hAnsi="Tahoma" w:cs="Tahoma"/>
        </w:rPr>
        <w:lastRenderedPageBreak/>
        <w:t>Sharpe, Endellion, Jo Moriarty, Martin Stevens, Jill Manthorpe, and Shereen Hussein. "</w:t>
      </w:r>
      <w:r w:rsidRPr="00892DDF">
        <w:rPr>
          <w:rFonts w:ascii="Tahoma" w:hAnsi="Tahoma" w:cs="Tahoma"/>
          <w:i/>
          <w:iCs/>
        </w:rPr>
        <w:t>Into the Workforce: Report from a study of new social work graduates, funded under the Department of Health Social Care Workforce Research Initiative</w:t>
      </w:r>
      <w:r w:rsidRPr="00892DDF">
        <w:rPr>
          <w:rFonts w:ascii="Tahoma" w:hAnsi="Tahoma" w:cs="Tahoma"/>
        </w:rPr>
        <w:t>." (2011).</w:t>
      </w:r>
    </w:p>
    <w:p w14:paraId="30E44DBB" w14:textId="06FADE52" w:rsidR="00D20486" w:rsidRPr="00A776D0" w:rsidRDefault="00A776D0" w:rsidP="00D20486">
      <w:pPr>
        <w:spacing w:line="480" w:lineRule="auto"/>
        <w:jc w:val="both"/>
        <w:rPr>
          <w:rFonts w:ascii="Tahoma" w:hAnsi="Tahoma" w:cs="Tahoma"/>
        </w:rPr>
      </w:pPr>
      <w:r w:rsidRPr="00A776D0">
        <w:rPr>
          <w:rFonts w:ascii="Tahoma" w:hAnsi="Tahoma" w:cs="Tahoma"/>
        </w:rPr>
        <w:t xml:space="preserve">Slaughter, Sheila, Sheila A. Slaughter, and Gary Rhoades. </w:t>
      </w:r>
      <w:r w:rsidRPr="000934F6">
        <w:rPr>
          <w:rFonts w:ascii="Tahoma" w:hAnsi="Tahoma" w:cs="Tahoma"/>
          <w:i/>
          <w:iCs/>
        </w:rPr>
        <w:t>Academic capitalism and the new economy: Markets, state, and higher education</w:t>
      </w:r>
      <w:r w:rsidRPr="00A776D0">
        <w:rPr>
          <w:rFonts w:ascii="Tahoma" w:hAnsi="Tahoma" w:cs="Tahoma"/>
        </w:rPr>
        <w:t>. Johns Hopkins University Press, 2004.</w:t>
      </w:r>
    </w:p>
    <w:p w14:paraId="4A9BF791" w14:textId="77777777" w:rsidR="005F5D52" w:rsidRDefault="005F5D52" w:rsidP="00D20486">
      <w:pPr>
        <w:spacing w:line="480" w:lineRule="auto"/>
        <w:jc w:val="both"/>
        <w:rPr>
          <w:rFonts w:ascii="Tahoma" w:hAnsi="Tahoma" w:cs="Tahoma"/>
          <w:highlight w:val="yellow"/>
        </w:rPr>
      </w:pPr>
      <w:r w:rsidRPr="005F5D52">
        <w:rPr>
          <w:rFonts w:ascii="Tahoma" w:hAnsi="Tahoma" w:cs="Tahoma"/>
        </w:rPr>
        <w:t>Sussman, Tamara, Sacha Bailey, Katie Byford Richardson, and Francine Granner. "How field instructors judge BSW student readiness for entry-level practice</w:t>
      </w:r>
      <w:r w:rsidRPr="000934F6">
        <w:rPr>
          <w:rFonts w:ascii="Tahoma" w:hAnsi="Tahoma" w:cs="Tahoma"/>
          <w:i/>
          <w:iCs/>
        </w:rPr>
        <w:t xml:space="preserve">." Journal of Social Work Education </w:t>
      </w:r>
      <w:r w:rsidRPr="005F5D52">
        <w:rPr>
          <w:rFonts w:ascii="Tahoma" w:hAnsi="Tahoma" w:cs="Tahoma"/>
        </w:rPr>
        <w:t>50, no. 1 (2014): 84-100.</w:t>
      </w:r>
    </w:p>
    <w:p w14:paraId="4D95E0DF" w14:textId="77777777" w:rsidR="005F5D52" w:rsidRDefault="005F5D52" w:rsidP="00D20486">
      <w:pPr>
        <w:spacing w:line="480" w:lineRule="auto"/>
        <w:jc w:val="both"/>
        <w:rPr>
          <w:rFonts w:ascii="Tahoma" w:hAnsi="Tahoma" w:cs="Tahoma"/>
          <w:highlight w:val="yellow"/>
        </w:rPr>
      </w:pPr>
      <w:r w:rsidRPr="005F5D52">
        <w:rPr>
          <w:rFonts w:ascii="Tahoma" w:hAnsi="Tahoma" w:cs="Tahoma"/>
        </w:rPr>
        <w:t xml:space="preserve">Sweeny, Kate, Patrick J. Carroll, and James A. Shepperd. "Is optimism always best? Future outlooks and preparedness." </w:t>
      </w:r>
      <w:r w:rsidRPr="000934F6">
        <w:rPr>
          <w:rFonts w:ascii="Tahoma" w:hAnsi="Tahoma" w:cs="Tahoma"/>
          <w:i/>
          <w:iCs/>
        </w:rPr>
        <w:t>Current directions in psychological science</w:t>
      </w:r>
      <w:r w:rsidRPr="005F5D52">
        <w:rPr>
          <w:rFonts w:ascii="Tahoma" w:hAnsi="Tahoma" w:cs="Tahoma"/>
        </w:rPr>
        <w:t xml:space="preserve"> 15, no. 6 (2006): 302-306.</w:t>
      </w:r>
    </w:p>
    <w:p w14:paraId="2BAC2F0A" w14:textId="77777777" w:rsidR="000934F6" w:rsidRDefault="000934F6" w:rsidP="00D20486">
      <w:pPr>
        <w:spacing w:line="480" w:lineRule="auto"/>
        <w:jc w:val="both"/>
        <w:rPr>
          <w:rFonts w:ascii="Tahoma" w:hAnsi="Tahoma" w:cs="Tahoma"/>
          <w:highlight w:val="yellow"/>
        </w:rPr>
      </w:pPr>
      <w:r w:rsidRPr="000934F6">
        <w:rPr>
          <w:rFonts w:ascii="Tahoma" w:hAnsi="Tahoma" w:cs="Tahoma"/>
        </w:rPr>
        <w:t xml:space="preserve">Tham, Pia, and Deborah Lynch. "‘Lost in transition?’–Newly educated social workers’ reflections on their first months in practice." </w:t>
      </w:r>
      <w:r w:rsidRPr="000934F6">
        <w:rPr>
          <w:rFonts w:ascii="Tahoma" w:hAnsi="Tahoma" w:cs="Tahoma"/>
          <w:i/>
          <w:iCs/>
        </w:rPr>
        <w:t>European Journal of Social Work</w:t>
      </w:r>
      <w:r w:rsidRPr="000934F6">
        <w:rPr>
          <w:rFonts w:ascii="Tahoma" w:hAnsi="Tahoma" w:cs="Tahoma"/>
        </w:rPr>
        <w:t xml:space="preserve"> 22, no. 3 (2019): 400-411.</w:t>
      </w:r>
    </w:p>
    <w:p w14:paraId="04C76941" w14:textId="77777777" w:rsidR="00AD0383" w:rsidRDefault="00AD0383" w:rsidP="00D20486">
      <w:pPr>
        <w:spacing w:line="480" w:lineRule="auto"/>
        <w:jc w:val="both"/>
        <w:rPr>
          <w:rFonts w:ascii="Tahoma" w:hAnsi="Tahoma" w:cs="Tahoma"/>
        </w:rPr>
      </w:pPr>
      <w:r w:rsidRPr="00AD0383">
        <w:rPr>
          <w:rFonts w:ascii="Tahoma" w:hAnsi="Tahoma" w:cs="Tahoma"/>
        </w:rPr>
        <w:t xml:space="preserve">Thompson, Leanne J., Gordon Clark, Marion Walker, and J. Duncan Whyatt. "‘It’s just like an extra string to your bow’: Exploring higher education students’ perceptions and experiences of extracurricular activity and employability." </w:t>
      </w:r>
      <w:r w:rsidRPr="00AD0383">
        <w:rPr>
          <w:rFonts w:ascii="Tahoma" w:hAnsi="Tahoma" w:cs="Tahoma"/>
          <w:i/>
          <w:iCs/>
        </w:rPr>
        <w:t>Active Learning in Higher Education</w:t>
      </w:r>
      <w:r w:rsidRPr="00AD0383">
        <w:rPr>
          <w:rFonts w:ascii="Tahoma" w:hAnsi="Tahoma" w:cs="Tahoma"/>
        </w:rPr>
        <w:t xml:space="preserve"> 14, no. 2 (2013): 135-147.</w:t>
      </w:r>
    </w:p>
    <w:p w14:paraId="4DD3CFAA" w14:textId="0048D2B0" w:rsidR="00BA48C1" w:rsidRDefault="00BA48C1" w:rsidP="00D20486">
      <w:pPr>
        <w:spacing w:line="480" w:lineRule="auto"/>
        <w:jc w:val="both"/>
        <w:rPr>
          <w:rFonts w:ascii="Tahoma" w:hAnsi="Tahoma" w:cs="Tahoma"/>
          <w:highlight w:val="yellow"/>
        </w:rPr>
      </w:pPr>
      <w:r w:rsidRPr="00BA48C1">
        <w:rPr>
          <w:rFonts w:ascii="Tahoma" w:hAnsi="Tahoma" w:cs="Tahoma"/>
        </w:rPr>
        <w:t xml:space="preserve">Tomlinson, Michael. "Graduate employability and student attitudes and orientations to the labour market." </w:t>
      </w:r>
      <w:r w:rsidRPr="00BA48C1">
        <w:rPr>
          <w:rFonts w:ascii="Tahoma" w:hAnsi="Tahoma" w:cs="Tahoma"/>
          <w:i/>
          <w:iCs/>
        </w:rPr>
        <w:t>Journal of education and work</w:t>
      </w:r>
      <w:r w:rsidRPr="00BA48C1">
        <w:rPr>
          <w:rFonts w:ascii="Tahoma" w:hAnsi="Tahoma" w:cs="Tahoma"/>
        </w:rPr>
        <w:t xml:space="preserve"> 20, no. 4 (2007): 285-304.</w:t>
      </w:r>
    </w:p>
    <w:p w14:paraId="7590E668" w14:textId="24ED986A" w:rsidR="00D20486" w:rsidRPr="00EB6A26" w:rsidRDefault="00546B0D" w:rsidP="00D20486">
      <w:pPr>
        <w:spacing w:line="480" w:lineRule="auto"/>
        <w:jc w:val="both"/>
        <w:rPr>
          <w:rFonts w:ascii="Tahoma" w:hAnsi="Tahoma" w:cs="Tahoma"/>
        </w:rPr>
      </w:pPr>
      <w:r w:rsidRPr="00EB6A26">
        <w:rPr>
          <w:rFonts w:ascii="Tahoma" w:hAnsi="Tahoma" w:cs="Tahoma"/>
        </w:rPr>
        <w:t xml:space="preserve">Tomlinson, Michael. "Forms of graduate capital and their relationship to graduate employability." </w:t>
      </w:r>
      <w:r w:rsidRPr="00EB6A26">
        <w:rPr>
          <w:rFonts w:ascii="Tahoma" w:hAnsi="Tahoma" w:cs="Tahoma"/>
          <w:i/>
          <w:iCs/>
        </w:rPr>
        <w:t>Education</w:t>
      </w:r>
      <w:r w:rsidR="000562C8" w:rsidRPr="00EB6A26">
        <w:rPr>
          <w:rFonts w:ascii="Tahoma" w:hAnsi="Tahoma" w:cs="Tahoma"/>
          <w:i/>
          <w:iCs/>
        </w:rPr>
        <w:t xml:space="preserve"> &amp;</w:t>
      </w:r>
      <w:r w:rsidRPr="00EB6A26">
        <w:rPr>
          <w:rFonts w:ascii="Tahoma" w:hAnsi="Tahoma" w:cs="Tahoma"/>
          <w:i/>
          <w:iCs/>
        </w:rPr>
        <w:t xml:space="preserve"> Training</w:t>
      </w:r>
      <w:r w:rsidRPr="00EB6A26">
        <w:rPr>
          <w:rFonts w:ascii="Tahoma" w:hAnsi="Tahoma" w:cs="Tahoma"/>
        </w:rPr>
        <w:t xml:space="preserve"> </w:t>
      </w:r>
      <w:r w:rsidR="003840C4">
        <w:rPr>
          <w:rFonts w:ascii="Tahoma" w:hAnsi="Tahoma" w:cs="Tahoma"/>
        </w:rPr>
        <w:t xml:space="preserve">no. </w:t>
      </w:r>
      <w:r w:rsidR="00EB6A26" w:rsidRPr="00EB6A26">
        <w:rPr>
          <w:rFonts w:ascii="Tahoma" w:hAnsi="Tahoma" w:cs="Tahoma"/>
        </w:rPr>
        <w:t xml:space="preserve">4 </w:t>
      </w:r>
      <w:r w:rsidRPr="00EB6A26">
        <w:rPr>
          <w:rFonts w:ascii="Tahoma" w:hAnsi="Tahoma" w:cs="Tahoma"/>
        </w:rPr>
        <w:t>(2017)</w:t>
      </w:r>
      <w:r w:rsidR="000562C8" w:rsidRPr="00EB6A26">
        <w:rPr>
          <w:rFonts w:ascii="Tahoma" w:hAnsi="Tahoma" w:cs="Tahoma"/>
        </w:rPr>
        <w:t xml:space="preserve">: </w:t>
      </w:r>
      <w:r w:rsidRPr="00EB6A26">
        <w:rPr>
          <w:rFonts w:ascii="Tahoma" w:hAnsi="Tahoma" w:cs="Tahoma"/>
        </w:rPr>
        <w:t>338–352</w:t>
      </w:r>
      <w:r w:rsidR="00EB6A26" w:rsidRPr="00EB6A26">
        <w:rPr>
          <w:rFonts w:ascii="Tahoma" w:hAnsi="Tahoma" w:cs="Tahoma"/>
        </w:rPr>
        <w:t>.</w:t>
      </w:r>
    </w:p>
    <w:p w14:paraId="3615BF7B" w14:textId="77777777" w:rsidR="005B4433" w:rsidRDefault="005B4433" w:rsidP="00D20486">
      <w:pPr>
        <w:spacing w:line="480" w:lineRule="auto"/>
        <w:jc w:val="both"/>
        <w:rPr>
          <w:rFonts w:ascii="Tahoma" w:hAnsi="Tahoma" w:cs="Tahoma"/>
          <w:highlight w:val="yellow"/>
        </w:rPr>
      </w:pPr>
      <w:r w:rsidRPr="005B4433">
        <w:rPr>
          <w:rFonts w:ascii="Tahoma" w:hAnsi="Tahoma" w:cs="Tahoma"/>
        </w:rPr>
        <w:lastRenderedPageBreak/>
        <w:t xml:space="preserve">Turner, Kelly, Elizabeth Jones, Michael Davies, and Sheryl Ramsay. "Student teacher perceptions of preparedness for teaching." </w:t>
      </w:r>
      <w:r w:rsidRPr="005B4433">
        <w:rPr>
          <w:rFonts w:ascii="Tahoma" w:hAnsi="Tahoma" w:cs="Tahoma"/>
          <w:i/>
          <w:iCs/>
        </w:rPr>
        <w:t>Educating: Weaving research into practice</w:t>
      </w:r>
      <w:r w:rsidRPr="005B4433">
        <w:rPr>
          <w:rFonts w:ascii="Tahoma" w:hAnsi="Tahoma" w:cs="Tahoma"/>
        </w:rPr>
        <w:t xml:space="preserve"> 3 (2004): 184-193.</w:t>
      </w:r>
    </w:p>
    <w:p w14:paraId="14B592C3" w14:textId="2EBAF6CA" w:rsidR="00D20486" w:rsidRPr="0029487E" w:rsidRDefault="005B4433" w:rsidP="00D20486">
      <w:pPr>
        <w:spacing w:line="480" w:lineRule="auto"/>
        <w:jc w:val="both"/>
        <w:rPr>
          <w:rFonts w:ascii="Tahoma" w:hAnsi="Tahoma" w:cs="Tahoma"/>
          <w:highlight w:val="yellow"/>
        </w:rPr>
      </w:pPr>
      <w:r w:rsidRPr="005B4433">
        <w:rPr>
          <w:rFonts w:ascii="Tahoma" w:hAnsi="Tahoma" w:cs="Tahoma"/>
        </w:rPr>
        <w:t xml:space="preserve">Turner, Nancy K. "Development of self-belief for employability in higher education: ability, efficacy and control in context." </w:t>
      </w:r>
      <w:r w:rsidRPr="005B4433">
        <w:rPr>
          <w:rFonts w:ascii="Tahoma" w:hAnsi="Tahoma" w:cs="Tahoma"/>
          <w:i/>
          <w:iCs/>
        </w:rPr>
        <w:t>Teaching in Higher Education</w:t>
      </w:r>
      <w:r w:rsidRPr="005B4433">
        <w:rPr>
          <w:rFonts w:ascii="Tahoma" w:hAnsi="Tahoma" w:cs="Tahoma"/>
        </w:rPr>
        <w:t xml:space="preserve"> 19, no. 6 (2014): 592-602.</w:t>
      </w:r>
    </w:p>
    <w:p w14:paraId="14CC0B13" w14:textId="34EB7203" w:rsidR="00D20486" w:rsidRPr="0029487E" w:rsidRDefault="006B176A" w:rsidP="00D20486">
      <w:pPr>
        <w:spacing w:line="480" w:lineRule="auto"/>
        <w:jc w:val="both"/>
        <w:rPr>
          <w:rFonts w:ascii="Tahoma" w:hAnsi="Tahoma" w:cs="Tahoma"/>
          <w:highlight w:val="yellow"/>
        </w:rPr>
      </w:pPr>
      <w:r w:rsidRPr="006B176A">
        <w:rPr>
          <w:rFonts w:ascii="Tahoma" w:hAnsi="Tahoma" w:cs="Tahoma"/>
        </w:rPr>
        <w:t xml:space="preserve">Vignoles, Anna, and Neil Murray. "Widening participation in higher education." </w:t>
      </w:r>
      <w:r w:rsidRPr="006B176A">
        <w:rPr>
          <w:rFonts w:ascii="Tahoma" w:hAnsi="Tahoma" w:cs="Tahoma"/>
          <w:i/>
          <w:iCs/>
        </w:rPr>
        <w:t xml:space="preserve">Education Sciences </w:t>
      </w:r>
      <w:r w:rsidRPr="006B176A">
        <w:rPr>
          <w:rFonts w:ascii="Tahoma" w:hAnsi="Tahoma" w:cs="Tahoma"/>
        </w:rPr>
        <w:t xml:space="preserve">6, no. 2 (2016): </w:t>
      </w:r>
      <w:r w:rsidR="00D20486" w:rsidRPr="006B176A">
        <w:rPr>
          <w:rFonts w:ascii="Tahoma" w:hAnsi="Tahoma" w:cs="Tahoma"/>
        </w:rPr>
        <w:t>1-4.</w:t>
      </w:r>
    </w:p>
    <w:p w14:paraId="6849AEB9" w14:textId="77777777" w:rsidR="00DD2924" w:rsidRDefault="00DD2924" w:rsidP="00D20486">
      <w:pPr>
        <w:spacing w:line="480" w:lineRule="auto"/>
        <w:jc w:val="both"/>
        <w:rPr>
          <w:rFonts w:ascii="Tahoma" w:hAnsi="Tahoma" w:cs="Tahoma"/>
          <w:highlight w:val="yellow"/>
        </w:rPr>
      </w:pPr>
      <w:r w:rsidRPr="00DD2924">
        <w:rPr>
          <w:rFonts w:ascii="Tahoma" w:hAnsi="Tahoma" w:cs="Tahoma"/>
        </w:rPr>
        <w:t xml:space="preserve">Vinson, Don, Sarah Nixon, Barbara Walsh, Cath Walker, Elizabeth Mitchell, and Elena Zaitseva. "Investigating the relationship between student engagement and transition." </w:t>
      </w:r>
      <w:r w:rsidRPr="00DD2924">
        <w:rPr>
          <w:rFonts w:ascii="Tahoma" w:hAnsi="Tahoma" w:cs="Tahoma"/>
          <w:i/>
          <w:iCs/>
        </w:rPr>
        <w:t>Active learning in higher education</w:t>
      </w:r>
      <w:r w:rsidRPr="00DD2924">
        <w:rPr>
          <w:rFonts w:ascii="Tahoma" w:hAnsi="Tahoma" w:cs="Tahoma"/>
        </w:rPr>
        <w:t xml:space="preserve"> 11, no. 2 (2010): 131-143.</w:t>
      </w:r>
    </w:p>
    <w:p w14:paraId="26E4AE2A" w14:textId="77777777" w:rsidR="003B5E84" w:rsidRDefault="003B5E84" w:rsidP="00D20486">
      <w:pPr>
        <w:spacing w:line="480" w:lineRule="auto"/>
        <w:jc w:val="both"/>
        <w:rPr>
          <w:rFonts w:ascii="Tahoma" w:hAnsi="Tahoma" w:cs="Tahoma"/>
          <w:highlight w:val="yellow"/>
        </w:rPr>
      </w:pPr>
      <w:r w:rsidRPr="003B5E84">
        <w:rPr>
          <w:rFonts w:ascii="Tahoma" w:hAnsi="Tahoma" w:cs="Tahoma"/>
        </w:rPr>
        <w:t xml:space="preserve">Vuori, Jukka, and Amiram D. Vinokur. "Job‐search preparedness as a mediator of the effects of the Työhön Job Search Intervention on re‐employment and mental health." Journal of Organizational Behavior: </w:t>
      </w:r>
      <w:r w:rsidRPr="003B5E84">
        <w:rPr>
          <w:rFonts w:ascii="Tahoma" w:hAnsi="Tahoma" w:cs="Tahoma"/>
          <w:i/>
          <w:iCs/>
        </w:rPr>
        <w:t>The International Journal of Industrial, Occupational and Organizational Psychology and Behavior</w:t>
      </w:r>
      <w:r w:rsidRPr="003B5E84">
        <w:rPr>
          <w:rFonts w:ascii="Tahoma" w:hAnsi="Tahoma" w:cs="Tahoma"/>
        </w:rPr>
        <w:t xml:space="preserve"> 26, no. 3 (2005): 275-291.</w:t>
      </w:r>
    </w:p>
    <w:p w14:paraId="047CD5B4" w14:textId="6DA604B6" w:rsidR="007A2C3A" w:rsidRDefault="007A2C3A" w:rsidP="00D20486">
      <w:pPr>
        <w:spacing w:line="480" w:lineRule="auto"/>
        <w:jc w:val="both"/>
        <w:rPr>
          <w:rFonts w:ascii="Tahoma" w:hAnsi="Tahoma" w:cs="Tahoma"/>
        </w:rPr>
      </w:pPr>
      <w:r w:rsidRPr="007A2C3A">
        <w:rPr>
          <w:rFonts w:ascii="Tahoma" w:hAnsi="Tahoma" w:cs="Tahoma"/>
        </w:rPr>
        <w:t xml:space="preserve">Waller, Richard, Nicola Ingram, and Michael RM Ward, eds. </w:t>
      </w:r>
      <w:r w:rsidRPr="007A2C3A">
        <w:rPr>
          <w:rFonts w:ascii="Tahoma" w:hAnsi="Tahoma" w:cs="Tahoma"/>
          <w:i/>
          <w:iCs/>
        </w:rPr>
        <w:t>Higher education and social inequalities: University admissions, experiences, and outcomes</w:t>
      </w:r>
      <w:r w:rsidRPr="007A2C3A">
        <w:rPr>
          <w:rFonts w:ascii="Tahoma" w:hAnsi="Tahoma" w:cs="Tahoma"/>
        </w:rPr>
        <w:t>. Routledge</w:t>
      </w:r>
      <w:r w:rsidR="009E5352">
        <w:rPr>
          <w:rFonts w:ascii="Tahoma" w:hAnsi="Tahoma" w:cs="Tahoma"/>
        </w:rPr>
        <w:t xml:space="preserve"> (</w:t>
      </w:r>
      <w:r w:rsidRPr="007A2C3A">
        <w:rPr>
          <w:rFonts w:ascii="Tahoma" w:hAnsi="Tahoma" w:cs="Tahoma"/>
        </w:rPr>
        <w:t>2017</w:t>
      </w:r>
      <w:r w:rsidR="009E5352">
        <w:rPr>
          <w:rFonts w:ascii="Tahoma" w:hAnsi="Tahoma" w:cs="Tahoma"/>
        </w:rPr>
        <w:t>)</w:t>
      </w:r>
      <w:r w:rsidRPr="007A2C3A">
        <w:rPr>
          <w:rFonts w:ascii="Tahoma" w:hAnsi="Tahoma" w:cs="Tahoma"/>
        </w:rPr>
        <w:t>.</w:t>
      </w:r>
    </w:p>
    <w:p w14:paraId="165692CF" w14:textId="31702350" w:rsidR="00D20486" w:rsidRPr="007418C1" w:rsidRDefault="007A2C3A" w:rsidP="00D20486">
      <w:pPr>
        <w:spacing w:line="480" w:lineRule="auto"/>
        <w:jc w:val="both"/>
        <w:rPr>
          <w:rFonts w:ascii="Tahoma" w:hAnsi="Tahoma" w:cs="Tahoma"/>
        </w:rPr>
      </w:pPr>
      <w:r w:rsidRPr="007A2C3A">
        <w:rPr>
          <w:rFonts w:ascii="Tahoma" w:hAnsi="Tahoma" w:cs="Tahoma"/>
        </w:rPr>
        <w:t xml:space="preserve">Wilson, George. "Preparing social workers for practice: Re-evaluating student learning needs." </w:t>
      </w:r>
      <w:r w:rsidRPr="007A2C3A">
        <w:rPr>
          <w:rFonts w:ascii="Tahoma" w:hAnsi="Tahoma" w:cs="Tahoma"/>
          <w:i/>
          <w:iCs/>
        </w:rPr>
        <w:t>Social Work Education</w:t>
      </w:r>
      <w:r w:rsidRPr="007A2C3A">
        <w:rPr>
          <w:rFonts w:ascii="Tahoma" w:hAnsi="Tahoma" w:cs="Tahoma"/>
        </w:rPr>
        <w:t xml:space="preserve"> 32, no. 5 (2013): 590-606.</w:t>
      </w:r>
    </w:p>
    <w:p w14:paraId="402BF52F" w14:textId="77777777" w:rsidR="000848F1" w:rsidRDefault="000848F1" w:rsidP="00C83D76">
      <w:pPr>
        <w:spacing w:line="480" w:lineRule="auto"/>
        <w:jc w:val="both"/>
        <w:rPr>
          <w:rFonts w:ascii="Tahoma" w:hAnsi="Tahoma" w:cs="Tahoma"/>
        </w:rPr>
      </w:pPr>
      <w:r w:rsidRPr="000848F1">
        <w:rPr>
          <w:rFonts w:ascii="Tahoma" w:hAnsi="Tahoma" w:cs="Tahoma"/>
        </w:rPr>
        <w:t>Winsley, Richard, and Richard Tong. "Sport-related subjects." A Handbook for Teaching and Learning in Higher Education (2014): 398-412.</w:t>
      </w:r>
    </w:p>
    <w:p w14:paraId="1163A2D3" w14:textId="68CFCDA0" w:rsidR="00392C3C" w:rsidRPr="00650F05" w:rsidRDefault="009E5352" w:rsidP="009E5352">
      <w:pPr>
        <w:spacing w:line="480" w:lineRule="auto"/>
        <w:jc w:val="both"/>
        <w:rPr>
          <w:rFonts w:ascii="Tahoma" w:hAnsi="Tahoma" w:cs="Tahoma"/>
        </w:rPr>
      </w:pPr>
      <w:r w:rsidRPr="009E5352">
        <w:rPr>
          <w:rFonts w:ascii="Tahoma" w:hAnsi="Tahoma" w:cs="Tahoma"/>
        </w:rPr>
        <w:t xml:space="preserve">Yorke, Mantz, and Peter T. Knight. </w:t>
      </w:r>
      <w:r w:rsidRPr="009E5352">
        <w:rPr>
          <w:rFonts w:ascii="Tahoma" w:hAnsi="Tahoma" w:cs="Tahoma"/>
          <w:i/>
          <w:iCs/>
        </w:rPr>
        <w:t>Embedding employability into the curriculum</w:t>
      </w:r>
      <w:r w:rsidRPr="009E5352">
        <w:rPr>
          <w:rFonts w:ascii="Tahoma" w:hAnsi="Tahoma" w:cs="Tahoma"/>
        </w:rPr>
        <w:t xml:space="preserve">. Vol. 3. York: Higher Education Academy </w:t>
      </w:r>
      <w:r>
        <w:rPr>
          <w:rFonts w:ascii="Tahoma" w:hAnsi="Tahoma" w:cs="Tahoma"/>
        </w:rPr>
        <w:t>(</w:t>
      </w:r>
      <w:r w:rsidRPr="009E5352">
        <w:rPr>
          <w:rFonts w:ascii="Tahoma" w:hAnsi="Tahoma" w:cs="Tahoma"/>
        </w:rPr>
        <w:t>2006</w:t>
      </w:r>
      <w:r>
        <w:rPr>
          <w:rFonts w:ascii="Tahoma" w:hAnsi="Tahoma" w:cs="Tahoma"/>
        </w:rPr>
        <w:t>)</w:t>
      </w:r>
      <w:r w:rsidRPr="009E5352">
        <w:rPr>
          <w:rFonts w:ascii="Tahoma" w:hAnsi="Tahoma" w:cs="Tahoma"/>
        </w:rPr>
        <w:t>.</w:t>
      </w:r>
    </w:p>
    <w:sectPr w:rsidR="00392C3C" w:rsidRPr="00650F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A71E" w14:textId="77777777" w:rsidR="00C016D5" w:rsidRDefault="00C016D5" w:rsidP="00F2659F">
      <w:pPr>
        <w:spacing w:after="0" w:line="240" w:lineRule="auto"/>
      </w:pPr>
      <w:r>
        <w:separator/>
      </w:r>
    </w:p>
  </w:endnote>
  <w:endnote w:type="continuationSeparator" w:id="0">
    <w:p w14:paraId="338A26A4" w14:textId="77777777" w:rsidR="00C016D5" w:rsidRDefault="00C016D5"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79CB"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3638F769" wp14:editId="42784405">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65B98"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38F769"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1AD65B98"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83B1" w14:textId="77777777" w:rsidR="00C016D5" w:rsidRDefault="00C016D5" w:rsidP="00F2659F">
      <w:pPr>
        <w:spacing w:after="0" w:line="240" w:lineRule="auto"/>
      </w:pPr>
      <w:r>
        <w:separator/>
      </w:r>
    </w:p>
  </w:footnote>
  <w:footnote w:type="continuationSeparator" w:id="0">
    <w:p w14:paraId="5D1E9FCA" w14:textId="77777777" w:rsidR="00C016D5" w:rsidRDefault="00C016D5" w:rsidP="00F2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838DC"/>
    <w:multiLevelType w:val="hybridMultilevel"/>
    <w:tmpl w:val="384E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4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3C"/>
    <w:rsid w:val="000019D3"/>
    <w:rsid w:val="00002401"/>
    <w:rsid w:val="00002F1A"/>
    <w:rsid w:val="00004470"/>
    <w:rsid w:val="00005814"/>
    <w:rsid w:val="0000624B"/>
    <w:rsid w:val="000072AE"/>
    <w:rsid w:val="000074DC"/>
    <w:rsid w:val="000074E3"/>
    <w:rsid w:val="0000764A"/>
    <w:rsid w:val="00007977"/>
    <w:rsid w:val="00007C5B"/>
    <w:rsid w:val="0001068F"/>
    <w:rsid w:val="000111CB"/>
    <w:rsid w:val="0001122D"/>
    <w:rsid w:val="00012357"/>
    <w:rsid w:val="000136E1"/>
    <w:rsid w:val="00013720"/>
    <w:rsid w:val="0001445A"/>
    <w:rsid w:val="0001574D"/>
    <w:rsid w:val="00016733"/>
    <w:rsid w:val="00016DCE"/>
    <w:rsid w:val="00016FE4"/>
    <w:rsid w:val="000174A1"/>
    <w:rsid w:val="00017620"/>
    <w:rsid w:val="0001774D"/>
    <w:rsid w:val="00022221"/>
    <w:rsid w:val="000224D4"/>
    <w:rsid w:val="00022655"/>
    <w:rsid w:val="00023921"/>
    <w:rsid w:val="00024C5D"/>
    <w:rsid w:val="0002581A"/>
    <w:rsid w:val="00025989"/>
    <w:rsid w:val="000262C9"/>
    <w:rsid w:val="00026A87"/>
    <w:rsid w:val="0002782F"/>
    <w:rsid w:val="000310D3"/>
    <w:rsid w:val="00032A44"/>
    <w:rsid w:val="00033D5A"/>
    <w:rsid w:val="000345BD"/>
    <w:rsid w:val="00034B92"/>
    <w:rsid w:val="00035F38"/>
    <w:rsid w:val="00037667"/>
    <w:rsid w:val="0004017B"/>
    <w:rsid w:val="000410A2"/>
    <w:rsid w:val="00042BFF"/>
    <w:rsid w:val="000433F1"/>
    <w:rsid w:val="00043561"/>
    <w:rsid w:val="00044FD8"/>
    <w:rsid w:val="0004591E"/>
    <w:rsid w:val="00050D19"/>
    <w:rsid w:val="000523FC"/>
    <w:rsid w:val="00052C14"/>
    <w:rsid w:val="00053191"/>
    <w:rsid w:val="00053329"/>
    <w:rsid w:val="00053C99"/>
    <w:rsid w:val="000552B8"/>
    <w:rsid w:val="00055F58"/>
    <w:rsid w:val="0005613F"/>
    <w:rsid w:val="000562C8"/>
    <w:rsid w:val="000563CD"/>
    <w:rsid w:val="000568A3"/>
    <w:rsid w:val="0005773D"/>
    <w:rsid w:val="00057ADB"/>
    <w:rsid w:val="00060779"/>
    <w:rsid w:val="00060798"/>
    <w:rsid w:val="000609EC"/>
    <w:rsid w:val="00061A00"/>
    <w:rsid w:val="00061B69"/>
    <w:rsid w:val="00062EEC"/>
    <w:rsid w:val="00064001"/>
    <w:rsid w:val="000647FD"/>
    <w:rsid w:val="000656B8"/>
    <w:rsid w:val="000659CC"/>
    <w:rsid w:val="00065FC6"/>
    <w:rsid w:val="00066522"/>
    <w:rsid w:val="00066C89"/>
    <w:rsid w:val="00067C9B"/>
    <w:rsid w:val="000724EC"/>
    <w:rsid w:val="000741DA"/>
    <w:rsid w:val="000744BC"/>
    <w:rsid w:val="00074F72"/>
    <w:rsid w:val="000752D3"/>
    <w:rsid w:val="00075D1E"/>
    <w:rsid w:val="00077534"/>
    <w:rsid w:val="000777FC"/>
    <w:rsid w:val="000777FD"/>
    <w:rsid w:val="000779E7"/>
    <w:rsid w:val="00077C59"/>
    <w:rsid w:val="0008010C"/>
    <w:rsid w:val="00080219"/>
    <w:rsid w:val="00080497"/>
    <w:rsid w:val="00080575"/>
    <w:rsid w:val="00080FFD"/>
    <w:rsid w:val="00081B1D"/>
    <w:rsid w:val="00082846"/>
    <w:rsid w:val="00083FD0"/>
    <w:rsid w:val="000848F1"/>
    <w:rsid w:val="00085638"/>
    <w:rsid w:val="00085C05"/>
    <w:rsid w:val="00085F54"/>
    <w:rsid w:val="0008755D"/>
    <w:rsid w:val="00087576"/>
    <w:rsid w:val="00087634"/>
    <w:rsid w:val="00087EE9"/>
    <w:rsid w:val="00090CD6"/>
    <w:rsid w:val="0009240A"/>
    <w:rsid w:val="000934F6"/>
    <w:rsid w:val="000940EE"/>
    <w:rsid w:val="0009425F"/>
    <w:rsid w:val="00094A7B"/>
    <w:rsid w:val="00094FDB"/>
    <w:rsid w:val="00096AE5"/>
    <w:rsid w:val="00096CEC"/>
    <w:rsid w:val="00097767"/>
    <w:rsid w:val="000A15AA"/>
    <w:rsid w:val="000A19CF"/>
    <w:rsid w:val="000A365F"/>
    <w:rsid w:val="000A3938"/>
    <w:rsid w:val="000A6066"/>
    <w:rsid w:val="000A6EDF"/>
    <w:rsid w:val="000A73D0"/>
    <w:rsid w:val="000B1378"/>
    <w:rsid w:val="000B1A37"/>
    <w:rsid w:val="000B1D80"/>
    <w:rsid w:val="000B2301"/>
    <w:rsid w:val="000B285D"/>
    <w:rsid w:val="000B38DD"/>
    <w:rsid w:val="000B48AF"/>
    <w:rsid w:val="000B4CDA"/>
    <w:rsid w:val="000B55F0"/>
    <w:rsid w:val="000B626E"/>
    <w:rsid w:val="000B66C4"/>
    <w:rsid w:val="000B6B32"/>
    <w:rsid w:val="000B6C03"/>
    <w:rsid w:val="000B7BBB"/>
    <w:rsid w:val="000C1937"/>
    <w:rsid w:val="000C1CA8"/>
    <w:rsid w:val="000C2257"/>
    <w:rsid w:val="000C2556"/>
    <w:rsid w:val="000C277E"/>
    <w:rsid w:val="000C32DF"/>
    <w:rsid w:val="000C3A15"/>
    <w:rsid w:val="000C44CA"/>
    <w:rsid w:val="000C50C7"/>
    <w:rsid w:val="000C52CE"/>
    <w:rsid w:val="000C587C"/>
    <w:rsid w:val="000C62D2"/>
    <w:rsid w:val="000C7C1C"/>
    <w:rsid w:val="000D08AE"/>
    <w:rsid w:val="000D1828"/>
    <w:rsid w:val="000D191C"/>
    <w:rsid w:val="000D2D09"/>
    <w:rsid w:val="000D3BA1"/>
    <w:rsid w:val="000D5234"/>
    <w:rsid w:val="000D5BEE"/>
    <w:rsid w:val="000D5D23"/>
    <w:rsid w:val="000D637F"/>
    <w:rsid w:val="000D7EC3"/>
    <w:rsid w:val="000E044D"/>
    <w:rsid w:val="000E0DFE"/>
    <w:rsid w:val="000E1F8E"/>
    <w:rsid w:val="000E2A4F"/>
    <w:rsid w:val="000E2CE9"/>
    <w:rsid w:val="000E30B0"/>
    <w:rsid w:val="000E3201"/>
    <w:rsid w:val="000E391F"/>
    <w:rsid w:val="000E53E9"/>
    <w:rsid w:val="000E56B8"/>
    <w:rsid w:val="000E5755"/>
    <w:rsid w:val="000E6621"/>
    <w:rsid w:val="000E6ACE"/>
    <w:rsid w:val="000E6D88"/>
    <w:rsid w:val="000E6FBA"/>
    <w:rsid w:val="000E7C76"/>
    <w:rsid w:val="000F0456"/>
    <w:rsid w:val="000F1C28"/>
    <w:rsid w:val="000F2285"/>
    <w:rsid w:val="000F286C"/>
    <w:rsid w:val="000F2B67"/>
    <w:rsid w:val="000F2D26"/>
    <w:rsid w:val="000F2D49"/>
    <w:rsid w:val="000F53D4"/>
    <w:rsid w:val="000F5719"/>
    <w:rsid w:val="000F5E1C"/>
    <w:rsid w:val="000F64EA"/>
    <w:rsid w:val="000F7B1C"/>
    <w:rsid w:val="0010198D"/>
    <w:rsid w:val="00103144"/>
    <w:rsid w:val="0010351B"/>
    <w:rsid w:val="00104785"/>
    <w:rsid w:val="0010608F"/>
    <w:rsid w:val="00106DD7"/>
    <w:rsid w:val="00107D21"/>
    <w:rsid w:val="00111253"/>
    <w:rsid w:val="00111A57"/>
    <w:rsid w:val="00112E4C"/>
    <w:rsid w:val="00113BEC"/>
    <w:rsid w:val="00114148"/>
    <w:rsid w:val="0011514C"/>
    <w:rsid w:val="00115BED"/>
    <w:rsid w:val="001174A8"/>
    <w:rsid w:val="001201A4"/>
    <w:rsid w:val="00120AA1"/>
    <w:rsid w:val="00122A23"/>
    <w:rsid w:val="00122DA1"/>
    <w:rsid w:val="00122E58"/>
    <w:rsid w:val="001231D1"/>
    <w:rsid w:val="00123414"/>
    <w:rsid w:val="001240D9"/>
    <w:rsid w:val="00124F54"/>
    <w:rsid w:val="00125A15"/>
    <w:rsid w:val="00125F03"/>
    <w:rsid w:val="00126019"/>
    <w:rsid w:val="00126183"/>
    <w:rsid w:val="00126C87"/>
    <w:rsid w:val="00126CBC"/>
    <w:rsid w:val="001309F3"/>
    <w:rsid w:val="00130D75"/>
    <w:rsid w:val="00130F25"/>
    <w:rsid w:val="0013124C"/>
    <w:rsid w:val="00131AA1"/>
    <w:rsid w:val="00132B2E"/>
    <w:rsid w:val="00132D73"/>
    <w:rsid w:val="001338C1"/>
    <w:rsid w:val="00133911"/>
    <w:rsid w:val="00133EF8"/>
    <w:rsid w:val="00134D64"/>
    <w:rsid w:val="00134F6B"/>
    <w:rsid w:val="0013588B"/>
    <w:rsid w:val="001358E1"/>
    <w:rsid w:val="00136297"/>
    <w:rsid w:val="00136864"/>
    <w:rsid w:val="00140242"/>
    <w:rsid w:val="00140310"/>
    <w:rsid w:val="0014049D"/>
    <w:rsid w:val="001411D9"/>
    <w:rsid w:val="00141202"/>
    <w:rsid w:val="0014164F"/>
    <w:rsid w:val="00141BF3"/>
    <w:rsid w:val="00141E59"/>
    <w:rsid w:val="001428A1"/>
    <w:rsid w:val="001432C0"/>
    <w:rsid w:val="001434FC"/>
    <w:rsid w:val="00143BF1"/>
    <w:rsid w:val="00143CB3"/>
    <w:rsid w:val="001448D1"/>
    <w:rsid w:val="00146C4B"/>
    <w:rsid w:val="0014783A"/>
    <w:rsid w:val="00147AC7"/>
    <w:rsid w:val="00150276"/>
    <w:rsid w:val="00150C9B"/>
    <w:rsid w:val="00151189"/>
    <w:rsid w:val="00152997"/>
    <w:rsid w:val="001535CD"/>
    <w:rsid w:val="0015374F"/>
    <w:rsid w:val="00153DEC"/>
    <w:rsid w:val="001550CB"/>
    <w:rsid w:val="00155F4B"/>
    <w:rsid w:val="00156504"/>
    <w:rsid w:val="001569B7"/>
    <w:rsid w:val="00157AC6"/>
    <w:rsid w:val="00157C27"/>
    <w:rsid w:val="00157E1B"/>
    <w:rsid w:val="001607A5"/>
    <w:rsid w:val="00161630"/>
    <w:rsid w:val="0016190D"/>
    <w:rsid w:val="00161BAB"/>
    <w:rsid w:val="001629A0"/>
    <w:rsid w:val="00162C6F"/>
    <w:rsid w:val="00163E5E"/>
    <w:rsid w:val="00163E6D"/>
    <w:rsid w:val="00163F67"/>
    <w:rsid w:val="0016486C"/>
    <w:rsid w:val="00165C75"/>
    <w:rsid w:val="00165EC8"/>
    <w:rsid w:val="00166011"/>
    <w:rsid w:val="0016643B"/>
    <w:rsid w:val="001668DC"/>
    <w:rsid w:val="00166C32"/>
    <w:rsid w:val="00167D66"/>
    <w:rsid w:val="00167E70"/>
    <w:rsid w:val="001700E0"/>
    <w:rsid w:val="001703E9"/>
    <w:rsid w:val="001705EE"/>
    <w:rsid w:val="00170AD2"/>
    <w:rsid w:val="00170B6F"/>
    <w:rsid w:val="00171D9D"/>
    <w:rsid w:val="00171FE2"/>
    <w:rsid w:val="001724FE"/>
    <w:rsid w:val="00172991"/>
    <w:rsid w:val="00173B67"/>
    <w:rsid w:val="0017539A"/>
    <w:rsid w:val="001753A6"/>
    <w:rsid w:val="001759DD"/>
    <w:rsid w:val="00175C09"/>
    <w:rsid w:val="00180E8E"/>
    <w:rsid w:val="001817B0"/>
    <w:rsid w:val="0018485C"/>
    <w:rsid w:val="00185EDC"/>
    <w:rsid w:val="00186074"/>
    <w:rsid w:val="00186199"/>
    <w:rsid w:val="00186B04"/>
    <w:rsid w:val="00187B53"/>
    <w:rsid w:val="001902AF"/>
    <w:rsid w:val="001912EF"/>
    <w:rsid w:val="00191556"/>
    <w:rsid w:val="00191AF1"/>
    <w:rsid w:val="00191FF2"/>
    <w:rsid w:val="001920E2"/>
    <w:rsid w:val="00192701"/>
    <w:rsid w:val="00192B30"/>
    <w:rsid w:val="0019307A"/>
    <w:rsid w:val="00194223"/>
    <w:rsid w:val="00194398"/>
    <w:rsid w:val="001946FD"/>
    <w:rsid w:val="00194C3C"/>
    <w:rsid w:val="00194F21"/>
    <w:rsid w:val="0019635C"/>
    <w:rsid w:val="00197357"/>
    <w:rsid w:val="001A018B"/>
    <w:rsid w:val="001A06AF"/>
    <w:rsid w:val="001A0A73"/>
    <w:rsid w:val="001A2E4C"/>
    <w:rsid w:val="001A3A43"/>
    <w:rsid w:val="001A4AC4"/>
    <w:rsid w:val="001A687B"/>
    <w:rsid w:val="001A794D"/>
    <w:rsid w:val="001B0C7A"/>
    <w:rsid w:val="001B0D9F"/>
    <w:rsid w:val="001B11AB"/>
    <w:rsid w:val="001B28B1"/>
    <w:rsid w:val="001B343D"/>
    <w:rsid w:val="001B4090"/>
    <w:rsid w:val="001B4CE8"/>
    <w:rsid w:val="001B5468"/>
    <w:rsid w:val="001B5553"/>
    <w:rsid w:val="001B57A1"/>
    <w:rsid w:val="001B62F2"/>
    <w:rsid w:val="001B6391"/>
    <w:rsid w:val="001B6AA0"/>
    <w:rsid w:val="001B6B31"/>
    <w:rsid w:val="001B6CF5"/>
    <w:rsid w:val="001B6D55"/>
    <w:rsid w:val="001B703F"/>
    <w:rsid w:val="001B7C7B"/>
    <w:rsid w:val="001C01B7"/>
    <w:rsid w:val="001C09B3"/>
    <w:rsid w:val="001C1D17"/>
    <w:rsid w:val="001C25CF"/>
    <w:rsid w:val="001C31D8"/>
    <w:rsid w:val="001C37CC"/>
    <w:rsid w:val="001C3ECC"/>
    <w:rsid w:val="001C4165"/>
    <w:rsid w:val="001C4D5E"/>
    <w:rsid w:val="001C5BFA"/>
    <w:rsid w:val="001C6844"/>
    <w:rsid w:val="001D182C"/>
    <w:rsid w:val="001D1A58"/>
    <w:rsid w:val="001D2CE5"/>
    <w:rsid w:val="001D385A"/>
    <w:rsid w:val="001D3A4C"/>
    <w:rsid w:val="001D69FD"/>
    <w:rsid w:val="001D710F"/>
    <w:rsid w:val="001D7DB0"/>
    <w:rsid w:val="001E04BE"/>
    <w:rsid w:val="001E0C38"/>
    <w:rsid w:val="001E2656"/>
    <w:rsid w:val="001E2FFA"/>
    <w:rsid w:val="001E38E1"/>
    <w:rsid w:val="001E3A96"/>
    <w:rsid w:val="001E3D7B"/>
    <w:rsid w:val="001E3EED"/>
    <w:rsid w:val="001E48A5"/>
    <w:rsid w:val="001E5356"/>
    <w:rsid w:val="001E57E3"/>
    <w:rsid w:val="001E5BEF"/>
    <w:rsid w:val="001E6190"/>
    <w:rsid w:val="001E6B9C"/>
    <w:rsid w:val="001E6BD3"/>
    <w:rsid w:val="001E75C7"/>
    <w:rsid w:val="001E7AE3"/>
    <w:rsid w:val="001F027F"/>
    <w:rsid w:val="001F23E3"/>
    <w:rsid w:val="001F2B35"/>
    <w:rsid w:val="001F2F47"/>
    <w:rsid w:val="001F33F5"/>
    <w:rsid w:val="001F454C"/>
    <w:rsid w:val="001F47AD"/>
    <w:rsid w:val="001F5172"/>
    <w:rsid w:val="001F5443"/>
    <w:rsid w:val="001F7005"/>
    <w:rsid w:val="00200CA6"/>
    <w:rsid w:val="0020142D"/>
    <w:rsid w:val="002022C8"/>
    <w:rsid w:val="00202456"/>
    <w:rsid w:val="00202EB7"/>
    <w:rsid w:val="002031AD"/>
    <w:rsid w:val="00204474"/>
    <w:rsid w:val="00205268"/>
    <w:rsid w:val="002065D2"/>
    <w:rsid w:val="0020684B"/>
    <w:rsid w:val="002070E7"/>
    <w:rsid w:val="00207309"/>
    <w:rsid w:val="00207874"/>
    <w:rsid w:val="002078BC"/>
    <w:rsid w:val="00210638"/>
    <w:rsid w:val="00210F70"/>
    <w:rsid w:val="00210FFC"/>
    <w:rsid w:val="00211A2B"/>
    <w:rsid w:val="00212A3E"/>
    <w:rsid w:val="00212F73"/>
    <w:rsid w:val="002138FD"/>
    <w:rsid w:val="00214575"/>
    <w:rsid w:val="00215BD6"/>
    <w:rsid w:val="002162CB"/>
    <w:rsid w:val="00216787"/>
    <w:rsid w:val="00217990"/>
    <w:rsid w:val="00220187"/>
    <w:rsid w:val="00220EA4"/>
    <w:rsid w:val="00221CC4"/>
    <w:rsid w:val="002223BE"/>
    <w:rsid w:val="00224800"/>
    <w:rsid w:val="00224AF1"/>
    <w:rsid w:val="00224BE3"/>
    <w:rsid w:val="00224E48"/>
    <w:rsid w:val="00225BDB"/>
    <w:rsid w:val="0022630E"/>
    <w:rsid w:val="00226485"/>
    <w:rsid w:val="0022701F"/>
    <w:rsid w:val="002302F4"/>
    <w:rsid w:val="00230671"/>
    <w:rsid w:val="00230EB3"/>
    <w:rsid w:val="00230F6F"/>
    <w:rsid w:val="002312AA"/>
    <w:rsid w:val="00231707"/>
    <w:rsid w:val="0023233F"/>
    <w:rsid w:val="002329D7"/>
    <w:rsid w:val="002331F7"/>
    <w:rsid w:val="00234824"/>
    <w:rsid w:val="00234BFB"/>
    <w:rsid w:val="00235675"/>
    <w:rsid w:val="002358CB"/>
    <w:rsid w:val="0023599F"/>
    <w:rsid w:val="0023681A"/>
    <w:rsid w:val="00236F24"/>
    <w:rsid w:val="00237F41"/>
    <w:rsid w:val="002409E3"/>
    <w:rsid w:val="00240AF1"/>
    <w:rsid w:val="00241E95"/>
    <w:rsid w:val="002429E4"/>
    <w:rsid w:val="00243510"/>
    <w:rsid w:val="00243DA5"/>
    <w:rsid w:val="002440E5"/>
    <w:rsid w:val="00244774"/>
    <w:rsid w:val="00244B00"/>
    <w:rsid w:val="002458EE"/>
    <w:rsid w:val="0024654F"/>
    <w:rsid w:val="00246A3D"/>
    <w:rsid w:val="00247171"/>
    <w:rsid w:val="00250458"/>
    <w:rsid w:val="002508DC"/>
    <w:rsid w:val="00250DBB"/>
    <w:rsid w:val="00251C83"/>
    <w:rsid w:val="00251CB4"/>
    <w:rsid w:val="002529C6"/>
    <w:rsid w:val="002555A8"/>
    <w:rsid w:val="00255ACD"/>
    <w:rsid w:val="00256274"/>
    <w:rsid w:val="00256E91"/>
    <w:rsid w:val="00256FE0"/>
    <w:rsid w:val="00261638"/>
    <w:rsid w:val="00262DA4"/>
    <w:rsid w:val="0026333A"/>
    <w:rsid w:val="002636B3"/>
    <w:rsid w:val="002643CA"/>
    <w:rsid w:val="00264A5F"/>
    <w:rsid w:val="00265687"/>
    <w:rsid w:val="002657B6"/>
    <w:rsid w:val="00266462"/>
    <w:rsid w:val="0026653F"/>
    <w:rsid w:val="00266959"/>
    <w:rsid w:val="00266B76"/>
    <w:rsid w:val="00270556"/>
    <w:rsid w:val="002705AB"/>
    <w:rsid w:val="00271609"/>
    <w:rsid w:val="002724A0"/>
    <w:rsid w:val="00273E43"/>
    <w:rsid w:val="00273F75"/>
    <w:rsid w:val="002748EA"/>
    <w:rsid w:val="00275294"/>
    <w:rsid w:val="00275351"/>
    <w:rsid w:val="002758E5"/>
    <w:rsid w:val="00276312"/>
    <w:rsid w:val="00276A31"/>
    <w:rsid w:val="00276C49"/>
    <w:rsid w:val="002806CA"/>
    <w:rsid w:val="00280C7C"/>
    <w:rsid w:val="00280CB0"/>
    <w:rsid w:val="00280E4D"/>
    <w:rsid w:val="0028304F"/>
    <w:rsid w:val="0028319D"/>
    <w:rsid w:val="00283A89"/>
    <w:rsid w:val="00283AF0"/>
    <w:rsid w:val="00284411"/>
    <w:rsid w:val="00284797"/>
    <w:rsid w:val="002863A5"/>
    <w:rsid w:val="0028646C"/>
    <w:rsid w:val="002869E4"/>
    <w:rsid w:val="00286A94"/>
    <w:rsid w:val="00287239"/>
    <w:rsid w:val="0028735E"/>
    <w:rsid w:val="00287D05"/>
    <w:rsid w:val="00287F7D"/>
    <w:rsid w:val="00287FD8"/>
    <w:rsid w:val="00290196"/>
    <w:rsid w:val="00290E2C"/>
    <w:rsid w:val="002922E4"/>
    <w:rsid w:val="002927AD"/>
    <w:rsid w:val="00292916"/>
    <w:rsid w:val="00293678"/>
    <w:rsid w:val="00293B68"/>
    <w:rsid w:val="00294642"/>
    <w:rsid w:val="0029487E"/>
    <w:rsid w:val="00294B2D"/>
    <w:rsid w:val="00296901"/>
    <w:rsid w:val="002A05FE"/>
    <w:rsid w:val="002A2487"/>
    <w:rsid w:val="002A28E6"/>
    <w:rsid w:val="002A2C21"/>
    <w:rsid w:val="002A598E"/>
    <w:rsid w:val="002A60D8"/>
    <w:rsid w:val="002A63FA"/>
    <w:rsid w:val="002A67A9"/>
    <w:rsid w:val="002A76C6"/>
    <w:rsid w:val="002A7C3B"/>
    <w:rsid w:val="002B009A"/>
    <w:rsid w:val="002B0B92"/>
    <w:rsid w:val="002B1D9F"/>
    <w:rsid w:val="002B1DD5"/>
    <w:rsid w:val="002B210E"/>
    <w:rsid w:val="002B24A7"/>
    <w:rsid w:val="002B280A"/>
    <w:rsid w:val="002B2EDF"/>
    <w:rsid w:val="002B37EF"/>
    <w:rsid w:val="002B41B7"/>
    <w:rsid w:val="002B4276"/>
    <w:rsid w:val="002B5766"/>
    <w:rsid w:val="002B579A"/>
    <w:rsid w:val="002B5F4F"/>
    <w:rsid w:val="002B7691"/>
    <w:rsid w:val="002C01E8"/>
    <w:rsid w:val="002C06F2"/>
    <w:rsid w:val="002C0772"/>
    <w:rsid w:val="002C0B03"/>
    <w:rsid w:val="002C0BB3"/>
    <w:rsid w:val="002C0CB5"/>
    <w:rsid w:val="002C0FCE"/>
    <w:rsid w:val="002C1712"/>
    <w:rsid w:val="002C18A9"/>
    <w:rsid w:val="002C25B8"/>
    <w:rsid w:val="002C27B6"/>
    <w:rsid w:val="002C29DD"/>
    <w:rsid w:val="002C2F96"/>
    <w:rsid w:val="002C313A"/>
    <w:rsid w:val="002C32AC"/>
    <w:rsid w:val="002C37E3"/>
    <w:rsid w:val="002C3A31"/>
    <w:rsid w:val="002C4A6D"/>
    <w:rsid w:val="002C52E8"/>
    <w:rsid w:val="002C569A"/>
    <w:rsid w:val="002C5894"/>
    <w:rsid w:val="002C7314"/>
    <w:rsid w:val="002C770F"/>
    <w:rsid w:val="002C7960"/>
    <w:rsid w:val="002C7E01"/>
    <w:rsid w:val="002C7EA6"/>
    <w:rsid w:val="002D0425"/>
    <w:rsid w:val="002D0429"/>
    <w:rsid w:val="002D049B"/>
    <w:rsid w:val="002D07A8"/>
    <w:rsid w:val="002D1A7A"/>
    <w:rsid w:val="002D229F"/>
    <w:rsid w:val="002D394D"/>
    <w:rsid w:val="002D4EBD"/>
    <w:rsid w:val="002D6060"/>
    <w:rsid w:val="002E0309"/>
    <w:rsid w:val="002E0ACD"/>
    <w:rsid w:val="002E1EB7"/>
    <w:rsid w:val="002E330E"/>
    <w:rsid w:val="002E3F3E"/>
    <w:rsid w:val="002E3FAB"/>
    <w:rsid w:val="002E4414"/>
    <w:rsid w:val="002E477D"/>
    <w:rsid w:val="002E491E"/>
    <w:rsid w:val="002E4ADF"/>
    <w:rsid w:val="002E5D7A"/>
    <w:rsid w:val="002E638E"/>
    <w:rsid w:val="002E72EA"/>
    <w:rsid w:val="002F00AF"/>
    <w:rsid w:val="002F15A7"/>
    <w:rsid w:val="002F1A76"/>
    <w:rsid w:val="002F1D99"/>
    <w:rsid w:val="002F2053"/>
    <w:rsid w:val="002F5067"/>
    <w:rsid w:val="002F52CC"/>
    <w:rsid w:val="002F55B8"/>
    <w:rsid w:val="002F581F"/>
    <w:rsid w:val="002F5DDB"/>
    <w:rsid w:val="003001B1"/>
    <w:rsid w:val="00300B8C"/>
    <w:rsid w:val="00300E1E"/>
    <w:rsid w:val="00301341"/>
    <w:rsid w:val="00301DA9"/>
    <w:rsid w:val="0030261A"/>
    <w:rsid w:val="00306A36"/>
    <w:rsid w:val="00306E8E"/>
    <w:rsid w:val="003072F5"/>
    <w:rsid w:val="003113A8"/>
    <w:rsid w:val="00313518"/>
    <w:rsid w:val="00313C12"/>
    <w:rsid w:val="003142FD"/>
    <w:rsid w:val="00315330"/>
    <w:rsid w:val="003153C2"/>
    <w:rsid w:val="0031540B"/>
    <w:rsid w:val="00315492"/>
    <w:rsid w:val="00315C1A"/>
    <w:rsid w:val="00315F77"/>
    <w:rsid w:val="00316063"/>
    <w:rsid w:val="0031618C"/>
    <w:rsid w:val="0031637C"/>
    <w:rsid w:val="003164EC"/>
    <w:rsid w:val="00316846"/>
    <w:rsid w:val="0031703B"/>
    <w:rsid w:val="00320B75"/>
    <w:rsid w:val="00321BF7"/>
    <w:rsid w:val="003233EF"/>
    <w:rsid w:val="0032360A"/>
    <w:rsid w:val="00324186"/>
    <w:rsid w:val="00324C65"/>
    <w:rsid w:val="00324DCB"/>
    <w:rsid w:val="003250F5"/>
    <w:rsid w:val="00325F69"/>
    <w:rsid w:val="00326425"/>
    <w:rsid w:val="003264FD"/>
    <w:rsid w:val="00326C0B"/>
    <w:rsid w:val="00326E9E"/>
    <w:rsid w:val="00331727"/>
    <w:rsid w:val="00331EC1"/>
    <w:rsid w:val="00332DC8"/>
    <w:rsid w:val="003330BA"/>
    <w:rsid w:val="00333FF4"/>
    <w:rsid w:val="00334328"/>
    <w:rsid w:val="0033528B"/>
    <w:rsid w:val="00335BD8"/>
    <w:rsid w:val="00337BAA"/>
    <w:rsid w:val="00340226"/>
    <w:rsid w:val="00340EC2"/>
    <w:rsid w:val="00341154"/>
    <w:rsid w:val="003420C4"/>
    <w:rsid w:val="003421CF"/>
    <w:rsid w:val="00342E82"/>
    <w:rsid w:val="00342FB0"/>
    <w:rsid w:val="0034358B"/>
    <w:rsid w:val="00343E0D"/>
    <w:rsid w:val="00344723"/>
    <w:rsid w:val="00344962"/>
    <w:rsid w:val="003452B9"/>
    <w:rsid w:val="003452C4"/>
    <w:rsid w:val="003455FE"/>
    <w:rsid w:val="003466E2"/>
    <w:rsid w:val="00346741"/>
    <w:rsid w:val="0034715A"/>
    <w:rsid w:val="0034749F"/>
    <w:rsid w:val="003500F9"/>
    <w:rsid w:val="0035043F"/>
    <w:rsid w:val="0035072A"/>
    <w:rsid w:val="003509ED"/>
    <w:rsid w:val="003516F9"/>
    <w:rsid w:val="00351848"/>
    <w:rsid w:val="003518A9"/>
    <w:rsid w:val="00352515"/>
    <w:rsid w:val="003527DC"/>
    <w:rsid w:val="00353611"/>
    <w:rsid w:val="003538BB"/>
    <w:rsid w:val="00353C96"/>
    <w:rsid w:val="00353DA6"/>
    <w:rsid w:val="003542E8"/>
    <w:rsid w:val="00354361"/>
    <w:rsid w:val="003546C5"/>
    <w:rsid w:val="0035654F"/>
    <w:rsid w:val="00356B62"/>
    <w:rsid w:val="003570A2"/>
    <w:rsid w:val="00360DCE"/>
    <w:rsid w:val="00360DD9"/>
    <w:rsid w:val="00362A5E"/>
    <w:rsid w:val="00362AF2"/>
    <w:rsid w:val="00364F5A"/>
    <w:rsid w:val="00365B81"/>
    <w:rsid w:val="003668E1"/>
    <w:rsid w:val="00367A87"/>
    <w:rsid w:val="00367DBA"/>
    <w:rsid w:val="003704E9"/>
    <w:rsid w:val="00370DAA"/>
    <w:rsid w:val="0037179A"/>
    <w:rsid w:val="00373044"/>
    <w:rsid w:val="00373082"/>
    <w:rsid w:val="003733D7"/>
    <w:rsid w:val="00374098"/>
    <w:rsid w:val="0037468F"/>
    <w:rsid w:val="0037487A"/>
    <w:rsid w:val="00375C50"/>
    <w:rsid w:val="00376147"/>
    <w:rsid w:val="0037680D"/>
    <w:rsid w:val="00376E7D"/>
    <w:rsid w:val="00377DF6"/>
    <w:rsid w:val="0038010C"/>
    <w:rsid w:val="0038066B"/>
    <w:rsid w:val="0038087F"/>
    <w:rsid w:val="00380E7F"/>
    <w:rsid w:val="003818FD"/>
    <w:rsid w:val="003824D1"/>
    <w:rsid w:val="0038264D"/>
    <w:rsid w:val="00382900"/>
    <w:rsid w:val="003840C4"/>
    <w:rsid w:val="003849D2"/>
    <w:rsid w:val="00384B69"/>
    <w:rsid w:val="003862B7"/>
    <w:rsid w:val="00386D65"/>
    <w:rsid w:val="00387B0B"/>
    <w:rsid w:val="00387B8C"/>
    <w:rsid w:val="00387C48"/>
    <w:rsid w:val="003905B0"/>
    <w:rsid w:val="003918AA"/>
    <w:rsid w:val="0039267E"/>
    <w:rsid w:val="00392A23"/>
    <w:rsid w:val="00392B65"/>
    <w:rsid w:val="00392C3C"/>
    <w:rsid w:val="0039322F"/>
    <w:rsid w:val="0039346A"/>
    <w:rsid w:val="00394680"/>
    <w:rsid w:val="0039634E"/>
    <w:rsid w:val="0039635B"/>
    <w:rsid w:val="003963F7"/>
    <w:rsid w:val="00396B4E"/>
    <w:rsid w:val="0039741F"/>
    <w:rsid w:val="003A0641"/>
    <w:rsid w:val="003A0EAD"/>
    <w:rsid w:val="003A28AB"/>
    <w:rsid w:val="003A36C2"/>
    <w:rsid w:val="003A39E4"/>
    <w:rsid w:val="003A446D"/>
    <w:rsid w:val="003A4E7A"/>
    <w:rsid w:val="003A66D5"/>
    <w:rsid w:val="003A6FEF"/>
    <w:rsid w:val="003A73A1"/>
    <w:rsid w:val="003A7674"/>
    <w:rsid w:val="003B1AE3"/>
    <w:rsid w:val="003B27E7"/>
    <w:rsid w:val="003B303D"/>
    <w:rsid w:val="003B336D"/>
    <w:rsid w:val="003B4AB3"/>
    <w:rsid w:val="003B4E1E"/>
    <w:rsid w:val="003B5D3B"/>
    <w:rsid w:val="003B5E84"/>
    <w:rsid w:val="003B6EDC"/>
    <w:rsid w:val="003B7469"/>
    <w:rsid w:val="003C022A"/>
    <w:rsid w:val="003C1322"/>
    <w:rsid w:val="003C2615"/>
    <w:rsid w:val="003C3EE0"/>
    <w:rsid w:val="003C41A3"/>
    <w:rsid w:val="003C465D"/>
    <w:rsid w:val="003C4D40"/>
    <w:rsid w:val="003C50AF"/>
    <w:rsid w:val="003C7E49"/>
    <w:rsid w:val="003D036F"/>
    <w:rsid w:val="003D2157"/>
    <w:rsid w:val="003D241A"/>
    <w:rsid w:val="003D2DFB"/>
    <w:rsid w:val="003D2ED7"/>
    <w:rsid w:val="003D36F0"/>
    <w:rsid w:val="003D4B90"/>
    <w:rsid w:val="003D51CE"/>
    <w:rsid w:val="003D64ED"/>
    <w:rsid w:val="003D6D5B"/>
    <w:rsid w:val="003D70C8"/>
    <w:rsid w:val="003D72EA"/>
    <w:rsid w:val="003E032D"/>
    <w:rsid w:val="003E03D8"/>
    <w:rsid w:val="003E0827"/>
    <w:rsid w:val="003E09B4"/>
    <w:rsid w:val="003E2761"/>
    <w:rsid w:val="003E2E38"/>
    <w:rsid w:val="003E455B"/>
    <w:rsid w:val="003E46D6"/>
    <w:rsid w:val="003E4C34"/>
    <w:rsid w:val="003E4C88"/>
    <w:rsid w:val="003E6182"/>
    <w:rsid w:val="003E7142"/>
    <w:rsid w:val="003E75F0"/>
    <w:rsid w:val="003E769D"/>
    <w:rsid w:val="003E785B"/>
    <w:rsid w:val="003E7D80"/>
    <w:rsid w:val="003E7DF9"/>
    <w:rsid w:val="003F0461"/>
    <w:rsid w:val="003F0C3A"/>
    <w:rsid w:val="003F2297"/>
    <w:rsid w:val="003F342B"/>
    <w:rsid w:val="003F4C57"/>
    <w:rsid w:val="003F66B5"/>
    <w:rsid w:val="003F6963"/>
    <w:rsid w:val="003F6A42"/>
    <w:rsid w:val="003F7D5C"/>
    <w:rsid w:val="00400746"/>
    <w:rsid w:val="00400B0C"/>
    <w:rsid w:val="00401133"/>
    <w:rsid w:val="00401EF1"/>
    <w:rsid w:val="00402788"/>
    <w:rsid w:val="00404169"/>
    <w:rsid w:val="00405F37"/>
    <w:rsid w:val="00406846"/>
    <w:rsid w:val="00410346"/>
    <w:rsid w:val="004117B0"/>
    <w:rsid w:val="00411CED"/>
    <w:rsid w:val="00411EF5"/>
    <w:rsid w:val="00411F9A"/>
    <w:rsid w:val="00411FFD"/>
    <w:rsid w:val="0041258E"/>
    <w:rsid w:val="00413864"/>
    <w:rsid w:val="004138B7"/>
    <w:rsid w:val="00413B4D"/>
    <w:rsid w:val="004149BA"/>
    <w:rsid w:val="0041530E"/>
    <w:rsid w:val="00415932"/>
    <w:rsid w:val="0041666E"/>
    <w:rsid w:val="004170AC"/>
    <w:rsid w:val="00420DA2"/>
    <w:rsid w:val="0042112E"/>
    <w:rsid w:val="0042238B"/>
    <w:rsid w:val="00422BC7"/>
    <w:rsid w:val="00422E81"/>
    <w:rsid w:val="00423338"/>
    <w:rsid w:val="004233FD"/>
    <w:rsid w:val="00424835"/>
    <w:rsid w:val="00424FEB"/>
    <w:rsid w:val="00427070"/>
    <w:rsid w:val="004277F3"/>
    <w:rsid w:val="00430288"/>
    <w:rsid w:val="0043088B"/>
    <w:rsid w:val="004310B5"/>
    <w:rsid w:val="00431300"/>
    <w:rsid w:val="004331B4"/>
    <w:rsid w:val="00433417"/>
    <w:rsid w:val="0043502A"/>
    <w:rsid w:val="0043586F"/>
    <w:rsid w:val="004370F0"/>
    <w:rsid w:val="00437AC4"/>
    <w:rsid w:val="00437E25"/>
    <w:rsid w:val="00440C48"/>
    <w:rsid w:val="00441022"/>
    <w:rsid w:val="00441108"/>
    <w:rsid w:val="00441B77"/>
    <w:rsid w:val="004420EE"/>
    <w:rsid w:val="00442292"/>
    <w:rsid w:val="00442FC1"/>
    <w:rsid w:val="00445567"/>
    <w:rsid w:val="0044673A"/>
    <w:rsid w:val="00446F1F"/>
    <w:rsid w:val="00450D4C"/>
    <w:rsid w:val="0045153C"/>
    <w:rsid w:val="00451EC7"/>
    <w:rsid w:val="00451FEB"/>
    <w:rsid w:val="00452F7D"/>
    <w:rsid w:val="00454CB6"/>
    <w:rsid w:val="00455113"/>
    <w:rsid w:val="0045536D"/>
    <w:rsid w:val="00456CB5"/>
    <w:rsid w:val="00456D83"/>
    <w:rsid w:val="00456EA3"/>
    <w:rsid w:val="00457D0D"/>
    <w:rsid w:val="00457FF2"/>
    <w:rsid w:val="00460020"/>
    <w:rsid w:val="00460607"/>
    <w:rsid w:val="004607AE"/>
    <w:rsid w:val="004628E8"/>
    <w:rsid w:val="00463E77"/>
    <w:rsid w:val="00465547"/>
    <w:rsid w:val="004657F0"/>
    <w:rsid w:val="00465D1D"/>
    <w:rsid w:val="0046688D"/>
    <w:rsid w:val="004676E3"/>
    <w:rsid w:val="00467AAF"/>
    <w:rsid w:val="00470C62"/>
    <w:rsid w:val="00471A3D"/>
    <w:rsid w:val="00471B43"/>
    <w:rsid w:val="004726DF"/>
    <w:rsid w:val="00473253"/>
    <w:rsid w:val="00474215"/>
    <w:rsid w:val="00474230"/>
    <w:rsid w:val="004742B1"/>
    <w:rsid w:val="00474899"/>
    <w:rsid w:val="00474EDC"/>
    <w:rsid w:val="00475528"/>
    <w:rsid w:val="00475A1D"/>
    <w:rsid w:val="00475C3A"/>
    <w:rsid w:val="00476CF3"/>
    <w:rsid w:val="00476EFF"/>
    <w:rsid w:val="00476FD9"/>
    <w:rsid w:val="004802BA"/>
    <w:rsid w:val="00480F2A"/>
    <w:rsid w:val="00482A8E"/>
    <w:rsid w:val="00484FBB"/>
    <w:rsid w:val="00485129"/>
    <w:rsid w:val="004851B4"/>
    <w:rsid w:val="004852B5"/>
    <w:rsid w:val="004869B7"/>
    <w:rsid w:val="004871EB"/>
    <w:rsid w:val="00487A2E"/>
    <w:rsid w:val="004903E2"/>
    <w:rsid w:val="00490FBD"/>
    <w:rsid w:val="00492800"/>
    <w:rsid w:val="0049282C"/>
    <w:rsid w:val="00492AA7"/>
    <w:rsid w:val="004937B5"/>
    <w:rsid w:val="004938EA"/>
    <w:rsid w:val="00494232"/>
    <w:rsid w:val="004948AE"/>
    <w:rsid w:val="00494921"/>
    <w:rsid w:val="004950C6"/>
    <w:rsid w:val="00495CB4"/>
    <w:rsid w:val="00495D63"/>
    <w:rsid w:val="00495F87"/>
    <w:rsid w:val="004A00A3"/>
    <w:rsid w:val="004A023C"/>
    <w:rsid w:val="004A0408"/>
    <w:rsid w:val="004A1956"/>
    <w:rsid w:val="004A2DB3"/>
    <w:rsid w:val="004A43AC"/>
    <w:rsid w:val="004A56ED"/>
    <w:rsid w:val="004A5C80"/>
    <w:rsid w:val="004A5D53"/>
    <w:rsid w:val="004A6322"/>
    <w:rsid w:val="004A6C18"/>
    <w:rsid w:val="004B18F8"/>
    <w:rsid w:val="004B1936"/>
    <w:rsid w:val="004B1D66"/>
    <w:rsid w:val="004B1F60"/>
    <w:rsid w:val="004B23E3"/>
    <w:rsid w:val="004B281B"/>
    <w:rsid w:val="004B35E2"/>
    <w:rsid w:val="004B51D2"/>
    <w:rsid w:val="004B60A0"/>
    <w:rsid w:val="004B66AF"/>
    <w:rsid w:val="004B7480"/>
    <w:rsid w:val="004B7D11"/>
    <w:rsid w:val="004C00BA"/>
    <w:rsid w:val="004C00ED"/>
    <w:rsid w:val="004C0FDC"/>
    <w:rsid w:val="004C2410"/>
    <w:rsid w:val="004C3403"/>
    <w:rsid w:val="004C34A0"/>
    <w:rsid w:val="004C3FC7"/>
    <w:rsid w:val="004C475D"/>
    <w:rsid w:val="004C4CDF"/>
    <w:rsid w:val="004C64F8"/>
    <w:rsid w:val="004C65A1"/>
    <w:rsid w:val="004C7696"/>
    <w:rsid w:val="004D070A"/>
    <w:rsid w:val="004D081B"/>
    <w:rsid w:val="004D0E3A"/>
    <w:rsid w:val="004D0FAD"/>
    <w:rsid w:val="004D0FDE"/>
    <w:rsid w:val="004D34F6"/>
    <w:rsid w:val="004D3FFF"/>
    <w:rsid w:val="004D44BA"/>
    <w:rsid w:val="004D4633"/>
    <w:rsid w:val="004D4741"/>
    <w:rsid w:val="004D4E5B"/>
    <w:rsid w:val="004D50C6"/>
    <w:rsid w:val="004D6467"/>
    <w:rsid w:val="004E1477"/>
    <w:rsid w:val="004E1EA6"/>
    <w:rsid w:val="004E22FC"/>
    <w:rsid w:val="004E2679"/>
    <w:rsid w:val="004E2757"/>
    <w:rsid w:val="004E2C70"/>
    <w:rsid w:val="004E33AC"/>
    <w:rsid w:val="004E34EB"/>
    <w:rsid w:val="004E3EFD"/>
    <w:rsid w:val="004E616A"/>
    <w:rsid w:val="004E62BD"/>
    <w:rsid w:val="004E654B"/>
    <w:rsid w:val="004F202E"/>
    <w:rsid w:val="004F3BD2"/>
    <w:rsid w:val="004F3C01"/>
    <w:rsid w:val="004F43E4"/>
    <w:rsid w:val="004F5363"/>
    <w:rsid w:val="004F5E09"/>
    <w:rsid w:val="004F79CC"/>
    <w:rsid w:val="004F7C7E"/>
    <w:rsid w:val="005043C4"/>
    <w:rsid w:val="00506A35"/>
    <w:rsid w:val="00507EE2"/>
    <w:rsid w:val="0051043C"/>
    <w:rsid w:val="00510894"/>
    <w:rsid w:val="00510B2F"/>
    <w:rsid w:val="00510E59"/>
    <w:rsid w:val="005110D7"/>
    <w:rsid w:val="00511E4C"/>
    <w:rsid w:val="0051231E"/>
    <w:rsid w:val="00513054"/>
    <w:rsid w:val="005138E7"/>
    <w:rsid w:val="00513940"/>
    <w:rsid w:val="00513AB3"/>
    <w:rsid w:val="00513D22"/>
    <w:rsid w:val="005144EF"/>
    <w:rsid w:val="00515682"/>
    <w:rsid w:val="005162AB"/>
    <w:rsid w:val="005178BA"/>
    <w:rsid w:val="005203F2"/>
    <w:rsid w:val="005204BB"/>
    <w:rsid w:val="0052109A"/>
    <w:rsid w:val="0052118F"/>
    <w:rsid w:val="00522D7F"/>
    <w:rsid w:val="00522DCD"/>
    <w:rsid w:val="005238AD"/>
    <w:rsid w:val="00524C71"/>
    <w:rsid w:val="00525270"/>
    <w:rsid w:val="00525F2F"/>
    <w:rsid w:val="00526A4A"/>
    <w:rsid w:val="0052707D"/>
    <w:rsid w:val="00527C32"/>
    <w:rsid w:val="00531423"/>
    <w:rsid w:val="00531837"/>
    <w:rsid w:val="00531DF4"/>
    <w:rsid w:val="0053339E"/>
    <w:rsid w:val="005334A6"/>
    <w:rsid w:val="00533783"/>
    <w:rsid w:val="0053391F"/>
    <w:rsid w:val="00533E26"/>
    <w:rsid w:val="0053431E"/>
    <w:rsid w:val="00534B61"/>
    <w:rsid w:val="00534C96"/>
    <w:rsid w:val="0053597B"/>
    <w:rsid w:val="0053695A"/>
    <w:rsid w:val="00536E95"/>
    <w:rsid w:val="00537625"/>
    <w:rsid w:val="00537EC9"/>
    <w:rsid w:val="00541A41"/>
    <w:rsid w:val="0054237F"/>
    <w:rsid w:val="0054389D"/>
    <w:rsid w:val="00543B6F"/>
    <w:rsid w:val="00544EF9"/>
    <w:rsid w:val="00546A6E"/>
    <w:rsid w:val="00546B0D"/>
    <w:rsid w:val="0055087F"/>
    <w:rsid w:val="0055107C"/>
    <w:rsid w:val="005518AB"/>
    <w:rsid w:val="005528A6"/>
    <w:rsid w:val="00553AC4"/>
    <w:rsid w:val="00554888"/>
    <w:rsid w:val="0055547A"/>
    <w:rsid w:val="00555578"/>
    <w:rsid w:val="00560B88"/>
    <w:rsid w:val="00561D3A"/>
    <w:rsid w:val="005633B8"/>
    <w:rsid w:val="00563525"/>
    <w:rsid w:val="0056359D"/>
    <w:rsid w:val="00563977"/>
    <w:rsid w:val="00563A87"/>
    <w:rsid w:val="00563CFD"/>
    <w:rsid w:val="005649BE"/>
    <w:rsid w:val="00564A11"/>
    <w:rsid w:val="005650DA"/>
    <w:rsid w:val="0056646A"/>
    <w:rsid w:val="005668A6"/>
    <w:rsid w:val="00566E3F"/>
    <w:rsid w:val="00567E39"/>
    <w:rsid w:val="0057042D"/>
    <w:rsid w:val="0057077E"/>
    <w:rsid w:val="00570D27"/>
    <w:rsid w:val="00571780"/>
    <w:rsid w:val="00572757"/>
    <w:rsid w:val="005729C4"/>
    <w:rsid w:val="00575F02"/>
    <w:rsid w:val="00576721"/>
    <w:rsid w:val="00577144"/>
    <w:rsid w:val="00577AD5"/>
    <w:rsid w:val="00577C09"/>
    <w:rsid w:val="00577FA6"/>
    <w:rsid w:val="00580041"/>
    <w:rsid w:val="0058005B"/>
    <w:rsid w:val="00580700"/>
    <w:rsid w:val="00580872"/>
    <w:rsid w:val="00581A18"/>
    <w:rsid w:val="00582228"/>
    <w:rsid w:val="0058228F"/>
    <w:rsid w:val="00582711"/>
    <w:rsid w:val="005829AD"/>
    <w:rsid w:val="005837BA"/>
    <w:rsid w:val="0058424D"/>
    <w:rsid w:val="005842B0"/>
    <w:rsid w:val="00584598"/>
    <w:rsid w:val="00584E4B"/>
    <w:rsid w:val="005860E5"/>
    <w:rsid w:val="00586636"/>
    <w:rsid w:val="00586AEF"/>
    <w:rsid w:val="00587C0B"/>
    <w:rsid w:val="0059091D"/>
    <w:rsid w:val="00592BC7"/>
    <w:rsid w:val="00593974"/>
    <w:rsid w:val="00593FC0"/>
    <w:rsid w:val="00596663"/>
    <w:rsid w:val="005969D2"/>
    <w:rsid w:val="00596A89"/>
    <w:rsid w:val="005A2867"/>
    <w:rsid w:val="005A3B3B"/>
    <w:rsid w:val="005A3EF4"/>
    <w:rsid w:val="005A447B"/>
    <w:rsid w:val="005A4A39"/>
    <w:rsid w:val="005A4DE0"/>
    <w:rsid w:val="005A5BCF"/>
    <w:rsid w:val="005A645C"/>
    <w:rsid w:val="005A6D13"/>
    <w:rsid w:val="005A70E6"/>
    <w:rsid w:val="005A71BD"/>
    <w:rsid w:val="005B10EC"/>
    <w:rsid w:val="005B13A8"/>
    <w:rsid w:val="005B153C"/>
    <w:rsid w:val="005B157D"/>
    <w:rsid w:val="005B242A"/>
    <w:rsid w:val="005B34E9"/>
    <w:rsid w:val="005B4117"/>
    <w:rsid w:val="005B4433"/>
    <w:rsid w:val="005B576B"/>
    <w:rsid w:val="005B579B"/>
    <w:rsid w:val="005B5A24"/>
    <w:rsid w:val="005B5ADD"/>
    <w:rsid w:val="005B5C88"/>
    <w:rsid w:val="005B79C9"/>
    <w:rsid w:val="005C011B"/>
    <w:rsid w:val="005C07C7"/>
    <w:rsid w:val="005C0AEB"/>
    <w:rsid w:val="005C0EC9"/>
    <w:rsid w:val="005C1551"/>
    <w:rsid w:val="005C16B5"/>
    <w:rsid w:val="005C1A6F"/>
    <w:rsid w:val="005C298B"/>
    <w:rsid w:val="005C2DE1"/>
    <w:rsid w:val="005C3727"/>
    <w:rsid w:val="005C4822"/>
    <w:rsid w:val="005C56B1"/>
    <w:rsid w:val="005C60BA"/>
    <w:rsid w:val="005C77AA"/>
    <w:rsid w:val="005C7C8B"/>
    <w:rsid w:val="005D0585"/>
    <w:rsid w:val="005D1EDB"/>
    <w:rsid w:val="005D24AF"/>
    <w:rsid w:val="005D2E30"/>
    <w:rsid w:val="005D49F5"/>
    <w:rsid w:val="005D606E"/>
    <w:rsid w:val="005D6359"/>
    <w:rsid w:val="005D6953"/>
    <w:rsid w:val="005E07C0"/>
    <w:rsid w:val="005E2232"/>
    <w:rsid w:val="005E263E"/>
    <w:rsid w:val="005E26EB"/>
    <w:rsid w:val="005E2CEE"/>
    <w:rsid w:val="005E3054"/>
    <w:rsid w:val="005E3810"/>
    <w:rsid w:val="005E47AE"/>
    <w:rsid w:val="005E4BE3"/>
    <w:rsid w:val="005E4D10"/>
    <w:rsid w:val="005E5199"/>
    <w:rsid w:val="005E5218"/>
    <w:rsid w:val="005E55D5"/>
    <w:rsid w:val="005E561C"/>
    <w:rsid w:val="005E6C3D"/>
    <w:rsid w:val="005E7005"/>
    <w:rsid w:val="005F024E"/>
    <w:rsid w:val="005F14C6"/>
    <w:rsid w:val="005F1AB8"/>
    <w:rsid w:val="005F275E"/>
    <w:rsid w:val="005F2AC6"/>
    <w:rsid w:val="005F31B3"/>
    <w:rsid w:val="005F3446"/>
    <w:rsid w:val="005F3633"/>
    <w:rsid w:val="005F403C"/>
    <w:rsid w:val="005F46EA"/>
    <w:rsid w:val="005F473A"/>
    <w:rsid w:val="005F5D52"/>
    <w:rsid w:val="005F6A35"/>
    <w:rsid w:val="005F6B53"/>
    <w:rsid w:val="005F6C9A"/>
    <w:rsid w:val="005F6DE4"/>
    <w:rsid w:val="005F76D4"/>
    <w:rsid w:val="005F776C"/>
    <w:rsid w:val="00601053"/>
    <w:rsid w:val="00601BC2"/>
    <w:rsid w:val="00602816"/>
    <w:rsid w:val="00602BFC"/>
    <w:rsid w:val="00604034"/>
    <w:rsid w:val="0060595C"/>
    <w:rsid w:val="006059AD"/>
    <w:rsid w:val="00605E37"/>
    <w:rsid w:val="006074A5"/>
    <w:rsid w:val="00607622"/>
    <w:rsid w:val="006078CE"/>
    <w:rsid w:val="00607930"/>
    <w:rsid w:val="00607CB5"/>
    <w:rsid w:val="00610000"/>
    <w:rsid w:val="00610EDE"/>
    <w:rsid w:val="00610FDE"/>
    <w:rsid w:val="00611BD3"/>
    <w:rsid w:val="00612168"/>
    <w:rsid w:val="006135A4"/>
    <w:rsid w:val="006137E4"/>
    <w:rsid w:val="006139B6"/>
    <w:rsid w:val="00613BB4"/>
    <w:rsid w:val="0061438B"/>
    <w:rsid w:val="00614464"/>
    <w:rsid w:val="006146BB"/>
    <w:rsid w:val="00615373"/>
    <w:rsid w:val="00615B61"/>
    <w:rsid w:val="00615F4E"/>
    <w:rsid w:val="006174E5"/>
    <w:rsid w:val="0062020D"/>
    <w:rsid w:val="0062083A"/>
    <w:rsid w:val="00621626"/>
    <w:rsid w:val="006216B6"/>
    <w:rsid w:val="006221A9"/>
    <w:rsid w:val="0062269A"/>
    <w:rsid w:val="00622B93"/>
    <w:rsid w:val="006235AE"/>
    <w:rsid w:val="00623F8F"/>
    <w:rsid w:val="00625304"/>
    <w:rsid w:val="006258E8"/>
    <w:rsid w:val="00625D20"/>
    <w:rsid w:val="00626402"/>
    <w:rsid w:val="00627609"/>
    <w:rsid w:val="00630A82"/>
    <w:rsid w:val="00630FFD"/>
    <w:rsid w:val="0063167D"/>
    <w:rsid w:val="00631EFC"/>
    <w:rsid w:val="0063212F"/>
    <w:rsid w:val="006321CB"/>
    <w:rsid w:val="00632505"/>
    <w:rsid w:val="006333AB"/>
    <w:rsid w:val="00634737"/>
    <w:rsid w:val="00635EC7"/>
    <w:rsid w:val="0063651C"/>
    <w:rsid w:val="0063652B"/>
    <w:rsid w:val="006369AF"/>
    <w:rsid w:val="0063722D"/>
    <w:rsid w:val="00637558"/>
    <w:rsid w:val="0064150E"/>
    <w:rsid w:val="00641CD1"/>
    <w:rsid w:val="00642A85"/>
    <w:rsid w:val="006431FC"/>
    <w:rsid w:val="00644ADD"/>
    <w:rsid w:val="0064542A"/>
    <w:rsid w:val="006459FF"/>
    <w:rsid w:val="00645C99"/>
    <w:rsid w:val="00646124"/>
    <w:rsid w:val="00646448"/>
    <w:rsid w:val="006472BA"/>
    <w:rsid w:val="00647379"/>
    <w:rsid w:val="006478AC"/>
    <w:rsid w:val="00650394"/>
    <w:rsid w:val="00650F05"/>
    <w:rsid w:val="00651C5B"/>
    <w:rsid w:val="006526A8"/>
    <w:rsid w:val="006532FB"/>
    <w:rsid w:val="006536C6"/>
    <w:rsid w:val="00654AB0"/>
    <w:rsid w:val="00654CBA"/>
    <w:rsid w:val="00654EEC"/>
    <w:rsid w:val="00655D21"/>
    <w:rsid w:val="00656C27"/>
    <w:rsid w:val="00656C4C"/>
    <w:rsid w:val="0066006D"/>
    <w:rsid w:val="006612E4"/>
    <w:rsid w:val="00661B63"/>
    <w:rsid w:val="00661BEA"/>
    <w:rsid w:val="00662755"/>
    <w:rsid w:val="00664064"/>
    <w:rsid w:val="006640F9"/>
    <w:rsid w:val="00664391"/>
    <w:rsid w:val="00664BFE"/>
    <w:rsid w:val="00664D7D"/>
    <w:rsid w:val="006667CA"/>
    <w:rsid w:val="006672BC"/>
    <w:rsid w:val="006675FD"/>
    <w:rsid w:val="00667FD4"/>
    <w:rsid w:val="00670014"/>
    <w:rsid w:val="00671283"/>
    <w:rsid w:val="00671C45"/>
    <w:rsid w:val="0067254D"/>
    <w:rsid w:val="00673088"/>
    <w:rsid w:val="006732B1"/>
    <w:rsid w:val="006735C2"/>
    <w:rsid w:val="00673789"/>
    <w:rsid w:val="0067461F"/>
    <w:rsid w:val="00674886"/>
    <w:rsid w:val="0067643D"/>
    <w:rsid w:val="00677BEF"/>
    <w:rsid w:val="00677C85"/>
    <w:rsid w:val="006802B0"/>
    <w:rsid w:val="00680EEA"/>
    <w:rsid w:val="006814C2"/>
    <w:rsid w:val="006815F9"/>
    <w:rsid w:val="00681AA7"/>
    <w:rsid w:val="00681F95"/>
    <w:rsid w:val="00682378"/>
    <w:rsid w:val="00683C9C"/>
    <w:rsid w:val="00684782"/>
    <w:rsid w:val="00684A9C"/>
    <w:rsid w:val="00684F3A"/>
    <w:rsid w:val="00686334"/>
    <w:rsid w:val="00686FCC"/>
    <w:rsid w:val="0069181A"/>
    <w:rsid w:val="00692028"/>
    <w:rsid w:val="00693155"/>
    <w:rsid w:val="00693D4C"/>
    <w:rsid w:val="00694505"/>
    <w:rsid w:val="0069550B"/>
    <w:rsid w:val="00695B8B"/>
    <w:rsid w:val="00696648"/>
    <w:rsid w:val="00697791"/>
    <w:rsid w:val="00697FA6"/>
    <w:rsid w:val="006A049B"/>
    <w:rsid w:val="006A2D0F"/>
    <w:rsid w:val="006A302C"/>
    <w:rsid w:val="006A3A51"/>
    <w:rsid w:val="006A53AC"/>
    <w:rsid w:val="006A6355"/>
    <w:rsid w:val="006A6D60"/>
    <w:rsid w:val="006A72F9"/>
    <w:rsid w:val="006A7587"/>
    <w:rsid w:val="006B0416"/>
    <w:rsid w:val="006B0815"/>
    <w:rsid w:val="006B105C"/>
    <w:rsid w:val="006B176A"/>
    <w:rsid w:val="006B25E6"/>
    <w:rsid w:val="006B2ED5"/>
    <w:rsid w:val="006B3577"/>
    <w:rsid w:val="006B5E48"/>
    <w:rsid w:val="006B77E2"/>
    <w:rsid w:val="006B7887"/>
    <w:rsid w:val="006B7CC2"/>
    <w:rsid w:val="006C024C"/>
    <w:rsid w:val="006C0B5E"/>
    <w:rsid w:val="006C10B7"/>
    <w:rsid w:val="006C2791"/>
    <w:rsid w:val="006C3564"/>
    <w:rsid w:val="006C4120"/>
    <w:rsid w:val="006C4698"/>
    <w:rsid w:val="006C474A"/>
    <w:rsid w:val="006C5469"/>
    <w:rsid w:val="006C550A"/>
    <w:rsid w:val="006C56EE"/>
    <w:rsid w:val="006C5765"/>
    <w:rsid w:val="006C608B"/>
    <w:rsid w:val="006C683E"/>
    <w:rsid w:val="006C6931"/>
    <w:rsid w:val="006C6BBF"/>
    <w:rsid w:val="006C70BC"/>
    <w:rsid w:val="006C73BF"/>
    <w:rsid w:val="006D06AD"/>
    <w:rsid w:val="006D0F3E"/>
    <w:rsid w:val="006D139C"/>
    <w:rsid w:val="006D13BF"/>
    <w:rsid w:val="006D1643"/>
    <w:rsid w:val="006D2576"/>
    <w:rsid w:val="006D29A0"/>
    <w:rsid w:val="006D2BAB"/>
    <w:rsid w:val="006D33B4"/>
    <w:rsid w:val="006D3C24"/>
    <w:rsid w:val="006D3CE0"/>
    <w:rsid w:val="006D3EB5"/>
    <w:rsid w:val="006D4031"/>
    <w:rsid w:val="006D47E2"/>
    <w:rsid w:val="006D48A5"/>
    <w:rsid w:val="006D4934"/>
    <w:rsid w:val="006D49C8"/>
    <w:rsid w:val="006D618D"/>
    <w:rsid w:val="006D6A42"/>
    <w:rsid w:val="006D6BF9"/>
    <w:rsid w:val="006D75F2"/>
    <w:rsid w:val="006D7EFD"/>
    <w:rsid w:val="006E0010"/>
    <w:rsid w:val="006E0691"/>
    <w:rsid w:val="006E25B7"/>
    <w:rsid w:val="006E2915"/>
    <w:rsid w:val="006E30BE"/>
    <w:rsid w:val="006E3949"/>
    <w:rsid w:val="006E47BE"/>
    <w:rsid w:val="006E68E9"/>
    <w:rsid w:val="006E6E1A"/>
    <w:rsid w:val="006E7AAA"/>
    <w:rsid w:val="006F00C7"/>
    <w:rsid w:val="006F0154"/>
    <w:rsid w:val="006F1248"/>
    <w:rsid w:val="006F2CF2"/>
    <w:rsid w:val="006F2D2D"/>
    <w:rsid w:val="006F3818"/>
    <w:rsid w:val="006F3E62"/>
    <w:rsid w:val="006F4B35"/>
    <w:rsid w:val="006F7C29"/>
    <w:rsid w:val="0070044F"/>
    <w:rsid w:val="007010A7"/>
    <w:rsid w:val="007017B7"/>
    <w:rsid w:val="007017E3"/>
    <w:rsid w:val="00702A33"/>
    <w:rsid w:val="00702BBB"/>
    <w:rsid w:val="00702EBA"/>
    <w:rsid w:val="007030EE"/>
    <w:rsid w:val="0070469F"/>
    <w:rsid w:val="007051E8"/>
    <w:rsid w:val="00705CCF"/>
    <w:rsid w:val="00706649"/>
    <w:rsid w:val="00706C0E"/>
    <w:rsid w:val="00707989"/>
    <w:rsid w:val="00707F4C"/>
    <w:rsid w:val="00707F91"/>
    <w:rsid w:val="007117B7"/>
    <w:rsid w:val="00711E39"/>
    <w:rsid w:val="00712633"/>
    <w:rsid w:val="007137C6"/>
    <w:rsid w:val="0071616C"/>
    <w:rsid w:val="007161DF"/>
    <w:rsid w:val="007162D2"/>
    <w:rsid w:val="00717385"/>
    <w:rsid w:val="00717F74"/>
    <w:rsid w:val="00720017"/>
    <w:rsid w:val="00720B72"/>
    <w:rsid w:val="00720BA2"/>
    <w:rsid w:val="00720D59"/>
    <w:rsid w:val="00720E92"/>
    <w:rsid w:val="00720FD3"/>
    <w:rsid w:val="00721175"/>
    <w:rsid w:val="007212AE"/>
    <w:rsid w:val="00721FCE"/>
    <w:rsid w:val="007237B4"/>
    <w:rsid w:val="0072389D"/>
    <w:rsid w:val="00725E87"/>
    <w:rsid w:val="0072744D"/>
    <w:rsid w:val="007274FD"/>
    <w:rsid w:val="00727DAE"/>
    <w:rsid w:val="00730D38"/>
    <w:rsid w:val="00732BFD"/>
    <w:rsid w:val="007335AE"/>
    <w:rsid w:val="00734E86"/>
    <w:rsid w:val="00734FDE"/>
    <w:rsid w:val="00736764"/>
    <w:rsid w:val="007370D9"/>
    <w:rsid w:val="007374C0"/>
    <w:rsid w:val="007378F1"/>
    <w:rsid w:val="007418C1"/>
    <w:rsid w:val="00742286"/>
    <w:rsid w:val="0074237C"/>
    <w:rsid w:val="00742867"/>
    <w:rsid w:val="00742E39"/>
    <w:rsid w:val="00743B4A"/>
    <w:rsid w:val="007455DF"/>
    <w:rsid w:val="007464DF"/>
    <w:rsid w:val="007500B0"/>
    <w:rsid w:val="007502AF"/>
    <w:rsid w:val="00750992"/>
    <w:rsid w:val="007526D2"/>
    <w:rsid w:val="00754288"/>
    <w:rsid w:val="00754AA9"/>
    <w:rsid w:val="00754BC2"/>
    <w:rsid w:val="00754E62"/>
    <w:rsid w:val="007556F8"/>
    <w:rsid w:val="00756AEA"/>
    <w:rsid w:val="00757556"/>
    <w:rsid w:val="00760FE4"/>
    <w:rsid w:val="007620D8"/>
    <w:rsid w:val="007626F4"/>
    <w:rsid w:val="00763C28"/>
    <w:rsid w:val="00764306"/>
    <w:rsid w:val="00764A12"/>
    <w:rsid w:val="0076657C"/>
    <w:rsid w:val="0076658E"/>
    <w:rsid w:val="00766960"/>
    <w:rsid w:val="00767384"/>
    <w:rsid w:val="00767B15"/>
    <w:rsid w:val="00767C50"/>
    <w:rsid w:val="0077109F"/>
    <w:rsid w:val="0077268F"/>
    <w:rsid w:val="0077301D"/>
    <w:rsid w:val="007741CC"/>
    <w:rsid w:val="00775506"/>
    <w:rsid w:val="00775E01"/>
    <w:rsid w:val="00775F72"/>
    <w:rsid w:val="0077759E"/>
    <w:rsid w:val="00780199"/>
    <w:rsid w:val="00780500"/>
    <w:rsid w:val="00780517"/>
    <w:rsid w:val="00780588"/>
    <w:rsid w:val="00780DA9"/>
    <w:rsid w:val="00780EC6"/>
    <w:rsid w:val="007815CF"/>
    <w:rsid w:val="0078186B"/>
    <w:rsid w:val="00781BCE"/>
    <w:rsid w:val="00783FBA"/>
    <w:rsid w:val="007840E6"/>
    <w:rsid w:val="007854F2"/>
    <w:rsid w:val="007870C6"/>
    <w:rsid w:val="0078710A"/>
    <w:rsid w:val="00790246"/>
    <w:rsid w:val="0079024B"/>
    <w:rsid w:val="0079029B"/>
    <w:rsid w:val="0079240D"/>
    <w:rsid w:val="00792420"/>
    <w:rsid w:val="00792DF5"/>
    <w:rsid w:val="00792FB9"/>
    <w:rsid w:val="0079300B"/>
    <w:rsid w:val="00793636"/>
    <w:rsid w:val="0079532C"/>
    <w:rsid w:val="00797C42"/>
    <w:rsid w:val="007A087E"/>
    <w:rsid w:val="007A25C0"/>
    <w:rsid w:val="007A2875"/>
    <w:rsid w:val="007A28AB"/>
    <w:rsid w:val="007A2C3A"/>
    <w:rsid w:val="007A38D9"/>
    <w:rsid w:val="007A41CB"/>
    <w:rsid w:val="007A4411"/>
    <w:rsid w:val="007A4EF0"/>
    <w:rsid w:val="007A52BE"/>
    <w:rsid w:val="007A5699"/>
    <w:rsid w:val="007A5A61"/>
    <w:rsid w:val="007A602F"/>
    <w:rsid w:val="007B0B55"/>
    <w:rsid w:val="007B14CB"/>
    <w:rsid w:val="007B1CEB"/>
    <w:rsid w:val="007B1CFC"/>
    <w:rsid w:val="007B1F4A"/>
    <w:rsid w:val="007B27D1"/>
    <w:rsid w:val="007B2CC6"/>
    <w:rsid w:val="007B3881"/>
    <w:rsid w:val="007B3B9D"/>
    <w:rsid w:val="007B54CE"/>
    <w:rsid w:val="007B645C"/>
    <w:rsid w:val="007C082F"/>
    <w:rsid w:val="007C0B2D"/>
    <w:rsid w:val="007C0CDE"/>
    <w:rsid w:val="007C1210"/>
    <w:rsid w:val="007C1838"/>
    <w:rsid w:val="007C18E9"/>
    <w:rsid w:val="007C1AB7"/>
    <w:rsid w:val="007C22BC"/>
    <w:rsid w:val="007C2D94"/>
    <w:rsid w:val="007C4043"/>
    <w:rsid w:val="007C4DEF"/>
    <w:rsid w:val="007C76AF"/>
    <w:rsid w:val="007C792B"/>
    <w:rsid w:val="007D0B11"/>
    <w:rsid w:val="007D2887"/>
    <w:rsid w:val="007D2B86"/>
    <w:rsid w:val="007D3140"/>
    <w:rsid w:val="007D4235"/>
    <w:rsid w:val="007D523E"/>
    <w:rsid w:val="007D5334"/>
    <w:rsid w:val="007D6B8F"/>
    <w:rsid w:val="007D74C8"/>
    <w:rsid w:val="007D79DA"/>
    <w:rsid w:val="007E0C86"/>
    <w:rsid w:val="007E189F"/>
    <w:rsid w:val="007E18AA"/>
    <w:rsid w:val="007E1D59"/>
    <w:rsid w:val="007E2C00"/>
    <w:rsid w:val="007E32E4"/>
    <w:rsid w:val="007E38A7"/>
    <w:rsid w:val="007E39B2"/>
    <w:rsid w:val="007E4C78"/>
    <w:rsid w:val="007E5CF2"/>
    <w:rsid w:val="007E621A"/>
    <w:rsid w:val="007E642E"/>
    <w:rsid w:val="007E69F4"/>
    <w:rsid w:val="007F04D1"/>
    <w:rsid w:val="007F26B0"/>
    <w:rsid w:val="007F2D5D"/>
    <w:rsid w:val="007F5617"/>
    <w:rsid w:val="007F588C"/>
    <w:rsid w:val="007F597A"/>
    <w:rsid w:val="007F6ACA"/>
    <w:rsid w:val="007F7657"/>
    <w:rsid w:val="00801A53"/>
    <w:rsid w:val="00801DFF"/>
    <w:rsid w:val="00802939"/>
    <w:rsid w:val="00803038"/>
    <w:rsid w:val="008036EE"/>
    <w:rsid w:val="00804E0E"/>
    <w:rsid w:val="0080555B"/>
    <w:rsid w:val="008057C0"/>
    <w:rsid w:val="00806244"/>
    <w:rsid w:val="00807EA6"/>
    <w:rsid w:val="00812DB6"/>
    <w:rsid w:val="00812E47"/>
    <w:rsid w:val="00813DF1"/>
    <w:rsid w:val="008145C0"/>
    <w:rsid w:val="00814790"/>
    <w:rsid w:val="00815BC5"/>
    <w:rsid w:val="00816345"/>
    <w:rsid w:val="00817303"/>
    <w:rsid w:val="008178E6"/>
    <w:rsid w:val="00817965"/>
    <w:rsid w:val="00817CD7"/>
    <w:rsid w:val="00817E80"/>
    <w:rsid w:val="008211EC"/>
    <w:rsid w:val="008213B8"/>
    <w:rsid w:val="00822AFC"/>
    <w:rsid w:val="00822B5C"/>
    <w:rsid w:val="00823550"/>
    <w:rsid w:val="00824054"/>
    <w:rsid w:val="00824A93"/>
    <w:rsid w:val="008251E0"/>
    <w:rsid w:val="0083092B"/>
    <w:rsid w:val="00831C97"/>
    <w:rsid w:val="0083264F"/>
    <w:rsid w:val="00832B99"/>
    <w:rsid w:val="00833B83"/>
    <w:rsid w:val="00834191"/>
    <w:rsid w:val="008348E8"/>
    <w:rsid w:val="00834A03"/>
    <w:rsid w:val="00834E44"/>
    <w:rsid w:val="00834FE9"/>
    <w:rsid w:val="00835026"/>
    <w:rsid w:val="008360E0"/>
    <w:rsid w:val="008364CF"/>
    <w:rsid w:val="00836679"/>
    <w:rsid w:val="00837AF1"/>
    <w:rsid w:val="0084019E"/>
    <w:rsid w:val="008401A9"/>
    <w:rsid w:val="008401F3"/>
    <w:rsid w:val="0084060D"/>
    <w:rsid w:val="00840944"/>
    <w:rsid w:val="00841432"/>
    <w:rsid w:val="00841D38"/>
    <w:rsid w:val="0084298F"/>
    <w:rsid w:val="00842A14"/>
    <w:rsid w:val="00842CD4"/>
    <w:rsid w:val="00842D49"/>
    <w:rsid w:val="00843DC3"/>
    <w:rsid w:val="00844182"/>
    <w:rsid w:val="00844EF5"/>
    <w:rsid w:val="00844FB4"/>
    <w:rsid w:val="00845063"/>
    <w:rsid w:val="0084546D"/>
    <w:rsid w:val="00846A00"/>
    <w:rsid w:val="00846E5C"/>
    <w:rsid w:val="00846EE6"/>
    <w:rsid w:val="00847EDA"/>
    <w:rsid w:val="00851193"/>
    <w:rsid w:val="00851351"/>
    <w:rsid w:val="008516DA"/>
    <w:rsid w:val="00851EE2"/>
    <w:rsid w:val="008526B1"/>
    <w:rsid w:val="0085338F"/>
    <w:rsid w:val="00855A9C"/>
    <w:rsid w:val="00855C2C"/>
    <w:rsid w:val="00855C32"/>
    <w:rsid w:val="00855C79"/>
    <w:rsid w:val="00856306"/>
    <w:rsid w:val="008574C6"/>
    <w:rsid w:val="008576BF"/>
    <w:rsid w:val="008578E3"/>
    <w:rsid w:val="00857A93"/>
    <w:rsid w:val="00857AAE"/>
    <w:rsid w:val="00860E9B"/>
    <w:rsid w:val="00862393"/>
    <w:rsid w:val="00862C18"/>
    <w:rsid w:val="00863586"/>
    <w:rsid w:val="008639E7"/>
    <w:rsid w:val="00863B25"/>
    <w:rsid w:val="00863EBE"/>
    <w:rsid w:val="00864CFC"/>
    <w:rsid w:val="00865F9E"/>
    <w:rsid w:val="00867366"/>
    <w:rsid w:val="00867914"/>
    <w:rsid w:val="00867BF7"/>
    <w:rsid w:val="00867E08"/>
    <w:rsid w:val="0087032B"/>
    <w:rsid w:val="008717E1"/>
    <w:rsid w:val="008729EF"/>
    <w:rsid w:val="0087352D"/>
    <w:rsid w:val="00874DED"/>
    <w:rsid w:val="00874F40"/>
    <w:rsid w:val="00874F96"/>
    <w:rsid w:val="00876F71"/>
    <w:rsid w:val="0088171F"/>
    <w:rsid w:val="00881CE5"/>
    <w:rsid w:val="00881E58"/>
    <w:rsid w:val="0088447E"/>
    <w:rsid w:val="008844F9"/>
    <w:rsid w:val="00884FE6"/>
    <w:rsid w:val="008863D6"/>
    <w:rsid w:val="00886B68"/>
    <w:rsid w:val="00886D61"/>
    <w:rsid w:val="00887011"/>
    <w:rsid w:val="00890C76"/>
    <w:rsid w:val="00891073"/>
    <w:rsid w:val="00891225"/>
    <w:rsid w:val="0089139A"/>
    <w:rsid w:val="00891B32"/>
    <w:rsid w:val="00891E08"/>
    <w:rsid w:val="00892DDF"/>
    <w:rsid w:val="008932AC"/>
    <w:rsid w:val="00894B70"/>
    <w:rsid w:val="00895ED6"/>
    <w:rsid w:val="008969BA"/>
    <w:rsid w:val="00896EFE"/>
    <w:rsid w:val="008970D9"/>
    <w:rsid w:val="008979AE"/>
    <w:rsid w:val="00897F07"/>
    <w:rsid w:val="00897F87"/>
    <w:rsid w:val="008A0953"/>
    <w:rsid w:val="008A0D42"/>
    <w:rsid w:val="008A133F"/>
    <w:rsid w:val="008A1D53"/>
    <w:rsid w:val="008A1E27"/>
    <w:rsid w:val="008A2131"/>
    <w:rsid w:val="008A37E2"/>
    <w:rsid w:val="008A3942"/>
    <w:rsid w:val="008A401C"/>
    <w:rsid w:val="008A435D"/>
    <w:rsid w:val="008A4CC0"/>
    <w:rsid w:val="008A51DF"/>
    <w:rsid w:val="008A609A"/>
    <w:rsid w:val="008A60BC"/>
    <w:rsid w:val="008A6493"/>
    <w:rsid w:val="008A70A5"/>
    <w:rsid w:val="008B0888"/>
    <w:rsid w:val="008B11A1"/>
    <w:rsid w:val="008B11AC"/>
    <w:rsid w:val="008B17C4"/>
    <w:rsid w:val="008B18D6"/>
    <w:rsid w:val="008B2041"/>
    <w:rsid w:val="008B2ABB"/>
    <w:rsid w:val="008B3200"/>
    <w:rsid w:val="008B378D"/>
    <w:rsid w:val="008B387D"/>
    <w:rsid w:val="008B39FA"/>
    <w:rsid w:val="008B47F6"/>
    <w:rsid w:val="008B4833"/>
    <w:rsid w:val="008B48C4"/>
    <w:rsid w:val="008B4C32"/>
    <w:rsid w:val="008B61A3"/>
    <w:rsid w:val="008B63B0"/>
    <w:rsid w:val="008B6965"/>
    <w:rsid w:val="008B6B19"/>
    <w:rsid w:val="008B73EF"/>
    <w:rsid w:val="008B7566"/>
    <w:rsid w:val="008B761D"/>
    <w:rsid w:val="008B7637"/>
    <w:rsid w:val="008C0308"/>
    <w:rsid w:val="008C0A87"/>
    <w:rsid w:val="008C179D"/>
    <w:rsid w:val="008C283A"/>
    <w:rsid w:val="008C30ED"/>
    <w:rsid w:val="008C39A1"/>
    <w:rsid w:val="008C3D4E"/>
    <w:rsid w:val="008C45B0"/>
    <w:rsid w:val="008C46ED"/>
    <w:rsid w:val="008C47A1"/>
    <w:rsid w:val="008C526E"/>
    <w:rsid w:val="008C5FE0"/>
    <w:rsid w:val="008C6482"/>
    <w:rsid w:val="008C6D05"/>
    <w:rsid w:val="008C7095"/>
    <w:rsid w:val="008C7967"/>
    <w:rsid w:val="008C79E9"/>
    <w:rsid w:val="008D0998"/>
    <w:rsid w:val="008D1238"/>
    <w:rsid w:val="008D1787"/>
    <w:rsid w:val="008D17F3"/>
    <w:rsid w:val="008D2743"/>
    <w:rsid w:val="008D30C4"/>
    <w:rsid w:val="008D4DC8"/>
    <w:rsid w:val="008D5DE9"/>
    <w:rsid w:val="008D7994"/>
    <w:rsid w:val="008D7AE3"/>
    <w:rsid w:val="008E0380"/>
    <w:rsid w:val="008E09FC"/>
    <w:rsid w:val="008E11AF"/>
    <w:rsid w:val="008E141D"/>
    <w:rsid w:val="008E1AF2"/>
    <w:rsid w:val="008E45E2"/>
    <w:rsid w:val="008E4C22"/>
    <w:rsid w:val="008E58CE"/>
    <w:rsid w:val="008E5C7D"/>
    <w:rsid w:val="008E5F3A"/>
    <w:rsid w:val="008E5F9B"/>
    <w:rsid w:val="008E7743"/>
    <w:rsid w:val="008E7CDE"/>
    <w:rsid w:val="008E7ED5"/>
    <w:rsid w:val="008F0032"/>
    <w:rsid w:val="008F1131"/>
    <w:rsid w:val="008F169F"/>
    <w:rsid w:val="008F1A00"/>
    <w:rsid w:val="008F22D8"/>
    <w:rsid w:val="008F2A23"/>
    <w:rsid w:val="008F2F62"/>
    <w:rsid w:val="008F35AF"/>
    <w:rsid w:val="008F4793"/>
    <w:rsid w:val="008F4A5A"/>
    <w:rsid w:val="008F4E89"/>
    <w:rsid w:val="008F54D3"/>
    <w:rsid w:val="008F60C9"/>
    <w:rsid w:val="008F6A27"/>
    <w:rsid w:val="008F711D"/>
    <w:rsid w:val="008F7B08"/>
    <w:rsid w:val="008F7C02"/>
    <w:rsid w:val="0090090B"/>
    <w:rsid w:val="00900B94"/>
    <w:rsid w:val="009014F9"/>
    <w:rsid w:val="00901893"/>
    <w:rsid w:val="009019D5"/>
    <w:rsid w:val="009026AF"/>
    <w:rsid w:val="00902971"/>
    <w:rsid w:val="0090333E"/>
    <w:rsid w:val="00903C1E"/>
    <w:rsid w:val="00904232"/>
    <w:rsid w:val="0090468A"/>
    <w:rsid w:val="00904A1C"/>
    <w:rsid w:val="009052C1"/>
    <w:rsid w:val="009058C9"/>
    <w:rsid w:val="0090599E"/>
    <w:rsid w:val="00906047"/>
    <w:rsid w:val="009061E2"/>
    <w:rsid w:val="00906316"/>
    <w:rsid w:val="009123B4"/>
    <w:rsid w:val="00913C39"/>
    <w:rsid w:val="0091427C"/>
    <w:rsid w:val="00914A11"/>
    <w:rsid w:val="00914BAE"/>
    <w:rsid w:val="00914FBE"/>
    <w:rsid w:val="00914FFA"/>
    <w:rsid w:val="00917C03"/>
    <w:rsid w:val="00917CC2"/>
    <w:rsid w:val="00920419"/>
    <w:rsid w:val="00921023"/>
    <w:rsid w:val="009223B5"/>
    <w:rsid w:val="009224CD"/>
    <w:rsid w:val="009228C3"/>
    <w:rsid w:val="00922EE7"/>
    <w:rsid w:val="00924469"/>
    <w:rsid w:val="00924706"/>
    <w:rsid w:val="00924D52"/>
    <w:rsid w:val="00925820"/>
    <w:rsid w:val="00925A24"/>
    <w:rsid w:val="00925BB7"/>
    <w:rsid w:val="00925E2B"/>
    <w:rsid w:val="00926A24"/>
    <w:rsid w:val="009318FA"/>
    <w:rsid w:val="00931D6A"/>
    <w:rsid w:val="0093292F"/>
    <w:rsid w:val="009339D8"/>
    <w:rsid w:val="00935012"/>
    <w:rsid w:val="00935767"/>
    <w:rsid w:val="009359D8"/>
    <w:rsid w:val="00935C01"/>
    <w:rsid w:val="0093619A"/>
    <w:rsid w:val="0093692D"/>
    <w:rsid w:val="00936BD3"/>
    <w:rsid w:val="00937505"/>
    <w:rsid w:val="00940752"/>
    <w:rsid w:val="00942234"/>
    <w:rsid w:val="009422F7"/>
    <w:rsid w:val="00942E28"/>
    <w:rsid w:val="00942FDC"/>
    <w:rsid w:val="0094370B"/>
    <w:rsid w:val="00943F9A"/>
    <w:rsid w:val="00945B72"/>
    <w:rsid w:val="00945DDF"/>
    <w:rsid w:val="00945F7F"/>
    <w:rsid w:val="00946161"/>
    <w:rsid w:val="00946785"/>
    <w:rsid w:val="00947733"/>
    <w:rsid w:val="00947F66"/>
    <w:rsid w:val="009502D6"/>
    <w:rsid w:val="00951012"/>
    <w:rsid w:val="009510C7"/>
    <w:rsid w:val="00952F8A"/>
    <w:rsid w:val="009539C6"/>
    <w:rsid w:val="009549A4"/>
    <w:rsid w:val="009557F1"/>
    <w:rsid w:val="009567F8"/>
    <w:rsid w:val="009568E2"/>
    <w:rsid w:val="0096167E"/>
    <w:rsid w:val="00961D43"/>
    <w:rsid w:val="00962F62"/>
    <w:rsid w:val="009632F1"/>
    <w:rsid w:val="00963352"/>
    <w:rsid w:val="00963F13"/>
    <w:rsid w:val="009668E1"/>
    <w:rsid w:val="0096698A"/>
    <w:rsid w:val="00967D0F"/>
    <w:rsid w:val="009704CB"/>
    <w:rsid w:val="00970F54"/>
    <w:rsid w:val="009710A7"/>
    <w:rsid w:val="009713D9"/>
    <w:rsid w:val="0097183F"/>
    <w:rsid w:val="0097186F"/>
    <w:rsid w:val="009724A8"/>
    <w:rsid w:val="00972614"/>
    <w:rsid w:val="0097598E"/>
    <w:rsid w:val="00975A96"/>
    <w:rsid w:val="009763B0"/>
    <w:rsid w:val="00976CEE"/>
    <w:rsid w:val="009770E0"/>
    <w:rsid w:val="009772AF"/>
    <w:rsid w:val="00977495"/>
    <w:rsid w:val="00977E0C"/>
    <w:rsid w:val="00977EDC"/>
    <w:rsid w:val="00980524"/>
    <w:rsid w:val="00981A98"/>
    <w:rsid w:val="00981AF0"/>
    <w:rsid w:val="0098280F"/>
    <w:rsid w:val="009832F5"/>
    <w:rsid w:val="00983949"/>
    <w:rsid w:val="0098430C"/>
    <w:rsid w:val="00984E7C"/>
    <w:rsid w:val="00984F1A"/>
    <w:rsid w:val="00987476"/>
    <w:rsid w:val="00987559"/>
    <w:rsid w:val="00987CD6"/>
    <w:rsid w:val="00990D73"/>
    <w:rsid w:val="00991080"/>
    <w:rsid w:val="009913C2"/>
    <w:rsid w:val="00991505"/>
    <w:rsid w:val="00991A1E"/>
    <w:rsid w:val="00992767"/>
    <w:rsid w:val="009A0091"/>
    <w:rsid w:val="009A04D7"/>
    <w:rsid w:val="009A0757"/>
    <w:rsid w:val="009A0B68"/>
    <w:rsid w:val="009A1136"/>
    <w:rsid w:val="009A13A8"/>
    <w:rsid w:val="009A13F2"/>
    <w:rsid w:val="009A2164"/>
    <w:rsid w:val="009A3F68"/>
    <w:rsid w:val="009A4771"/>
    <w:rsid w:val="009A4BE3"/>
    <w:rsid w:val="009A4CCE"/>
    <w:rsid w:val="009A4E0F"/>
    <w:rsid w:val="009A5A81"/>
    <w:rsid w:val="009A5C6B"/>
    <w:rsid w:val="009A5D95"/>
    <w:rsid w:val="009A630E"/>
    <w:rsid w:val="009A794F"/>
    <w:rsid w:val="009B02EB"/>
    <w:rsid w:val="009B19CA"/>
    <w:rsid w:val="009B202E"/>
    <w:rsid w:val="009B2274"/>
    <w:rsid w:val="009B23D6"/>
    <w:rsid w:val="009B33D4"/>
    <w:rsid w:val="009B3847"/>
    <w:rsid w:val="009B42DC"/>
    <w:rsid w:val="009B4DD3"/>
    <w:rsid w:val="009B5A43"/>
    <w:rsid w:val="009B63C0"/>
    <w:rsid w:val="009B7096"/>
    <w:rsid w:val="009B791B"/>
    <w:rsid w:val="009B7921"/>
    <w:rsid w:val="009B7B9B"/>
    <w:rsid w:val="009C171D"/>
    <w:rsid w:val="009C3070"/>
    <w:rsid w:val="009C38D0"/>
    <w:rsid w:val="009C3ABA"/>
    <w:rsid w:val="009C3CB5"/>
    <w:rsid w:val="009C3DF9"/>
    <w:rsid w:val="009C42FD"/>
    <w:rsid w:val="009C456E"/>
    <w:rsid w:val="009C555C"/>
    <w:rsid w:val="009C5CB2"/>
    <w:rsid w:val="009C6272"/>
    <w:rsid w:val="009C69B8"/>
    <w:rsid w:val="009C741D"/>
    <w:rsid w:val="009C75DC"/>
    <w:rsid w:val="009C7B15"/>
    <w:rsid w:val="009D1BEA"/>
    <w:rsid w:val="009D1C10"/>
    <w:rsid w:val="009D23D2"/>
    <w:rsid w:val="009D2ECF"/>
    <w:rsid w:val="009D3F66"/>
    <w:rsid w:val="009D4379"/>
    <w:rsid w:val="009D4F63"/>
    <w:rsid w:val="009D57AF"/>
    <w:rsid w:val="009D65BB"/>
    <w:rsid w:val="009D6B15"/>
    <w:rsid w:val="009D7360"/>
    <w:rsid w:val="009D765E"/>
    <w:rsid w:val="009D7CD6"/>
    <w:rsid w:val="009E064A"/>
    <w:rsid w:val="009E129C"/>
    <w:rsid w:val="009E17D9"/>
    <w:rsid w:val="009E2BCE"/>
    <w:rsid w:val="009E36CD"/>
    <w:rsid w:val="009E5298"/>
    <w:rsid w:val="009E5352"/>
    <w:rsid w:val="009E5E1B"/>
    <w:rsid w:val="009E5F7A"/>
    <w:rsid w:val="009E631F"/>
    <w:rsid w:val="009E7A91"/>
    <w:rsid w:val="009E7AD8"/>
    <w:rsid w:val="009F186B"/>
    <w:rsid w:val="009F361E"/>
    <w:rsid w:val="009F3A91"/>
    <w:rsid w:val="009F42E0"/>
    <w:rsid w:val="009F4A0C"/>
    <w:rsid w:val="009F4C55"/>
    <w:rsid w:val="009F52EE"/>
    <w:rsid w:val="009F58FC"/>
    <w:rsid w:val="009F5E97"/>
    <w:rsid w:val="009F6326"/>
    <w:rsid w:val="009F698D"/>
    <w:rsid w:val="009F6CB8"/>
    <w:rsid w:val="009F7266"/>
    <w:rsid w:val="009F7469"/>
    <w:rsid w:val="009F7596"/>
    <w:rsid w:val="009F7834"/>
    <w:rsid w:val="00A00415"/>
    <w:rsid w:val="00A02526"/>
    <w:rsid w:val="00A02A5C"/>
    <w:rsid w:val="00A02E2B"/>
    <w:rsid w:val="00A037E7"/>
    <w:rsid w:val="00A04813"/>
    <w:rsid w:val="00A05046"/>
    <w:rsid w:val="00A055DC"/>
    <w:rsid w:val="00A057D7"/>
    <w:rsid w:val="00A0626F"/>
    <w:rsid w:val="00A0793E"/>
    <w:rsid w:val="00A07B3F"/>
    <w:rsid w:val="00A11031"/>
    <w:rsid w:val="00A1142D"/>
    <w:rsid w:val="00A12BB7"/>
    <w:rsid w:val="00A13F6D"/>
    <w:rsid w:val="00A15A85"/>
    <w:rsid w:val="00A15A98"/>
    <w:rsid w:val="00A15E63"/>
    <w:rsid w:val="00A1693E"/>
    <w:rsid w:val="00A16E85"/>
    <w:rsid w:val="00A201BB"/>
    <w:rsid w:val="00A22377"/>
    <w:rsid w:val="00A22F78"/>
    <w:rsid w:val="00A23C0F"/>
    <w:rsid w:val="00A24B68"/>
    <w:rsid w:val="00A2586F"/>
    <w:rsid w:val="00A26218"/>
    <w:rsid w:val="00A26811"/>
    <w:rsid w:val="00A269EB"/>
    <w:rsid w:val="00A278A6"/>
    <w:rsid w:val="00A30202"/>
    <w:rsid w:val="00A31B2F"/>
    <w:rsid w:val="00A31F7A"/>
    <w:rsid w:val="00A32B96"/>
    <w:rsid w:val="00A33420"/>
    <w:rsid w:val="00A34F6A"/>
    <w:rsid w:val="00A34F8B"/>
    <w:rsid w:val="00A356D3"/>
    <w:rsid w:val="00A36391"/>
    <w:rsid w:val="00A3691E"/>
    <w:rsid w:val="00A3693A"/>
    <w:rsid w:val="00A36CEC"/>
    <w:rsid w:val="00A3777E"/>
    <w:rsid w:val="00A40712"/>
    <w:rsid w:val="00A40715"/>
    <w:rsid w:val="00A419FE"/>
    <w:rsid w:val="00A428CA"/>
    <w:rsid w:val="00A42958"/>
    <w:rsid w:val="00A43BE5"/>
    <w:rsid w:val="00A44C26"/>
    <w:rsid w:val="00A450C3"/>
    <w:rsid w:val="00A47480"/>
    <w:rsid w:val="00A47A69"/>
    <w:rsid w:val="00A500D8"/>
    <w:rsid w:val="00A507D4"/>
    <w:rsid w:val="00A53D59"/>
    <w:rsid w:val="00A546CC"/>
    <w:rsid w:val="00A54FC2"/>
    <w:rsid w:val="00A55135"/>
    <w:rsid w:val="00A55D33"/>
    <w:rsid w:val="00A56133"/>
    <w:rsid w:val="00A56F09"/>
    <w:rsid w:val="00A57307"/>
    <w:rsid w:val="00A601A6"/>
    <w:rsid w:val="00A60554"/>
    <w:rsid w:val="00A61936"/>
    <w:rsid w:val="00A63534"/>
    <w:rsid w:val="00A635A3"/>
    <w:rsid w:val="00A67037"/>
    <w:rsid w:val="00A6721E"/>
    <w:rsid w:val="00A6781D"/>
    <w:rsid w:val="00A71439"/>
    <w:rsid w:val="00A7166E"/>
    <w:rsid w:val="00A71A3C"/>
    <w:rsid w:val="00A735E0"/>
    <w:rsid w:val="00A737B8"/>
    <w:rsid w:val="00A73D7B"/>
    <w:rsid w:val="00A73DEE"/>
    <w:rsid w:val="00A74D58"/>
    <w:rsid w:val="00A750A9"/>
    <w:rsid w:val="00A7570A"/>
    <w:rsid w:val="00A7671F"/>
    <w:rsid w:val="00A776D0"/>
    <w:rsid w:val="00A777A0"/>
    <w:rsid w:val="00A80016"/>
    <w:rsid w:val="00A83C3A"/>
    <w:rsid w:val="00A83C53"/>
    <w:rsid w:val="00A850F2"/>
    <w:rsid w:val="00A859BD"/>
    <w:rsid w:val="00A85F9C"/>
    <w:rsid w:val="00A8603D"/>
    <w:rsid w:val="00A868EE"/>
    <w:rsid w:val="00A86DCA"/>
    <w:rsid w:val="00A874E4"/>
    <w:rsid w:val="00A875D8"/>
    <w:rsid w:val="00A903D5"/>
    <w:rsid w:val="00A9144C"/>
    <w:rsid w:val="00A92272"/>
    <w:rsid w:val="00A92770"/>
    <w:rsid w:val="00A938B1"/>
    <w:rsid w:val="00A950AD"/>
    <w:rsid w:val="00A9691B"/>
    <w:rsid w:val="00A96B87"/>
    <w:rsid w:val="00A96CB0"/>
    <w:rsid w:val="00A97606"/>
    <w:rsid w:val="00A978E7"/>
    <w:rsid w:val="00AA08C3"/>
    <w:rsid w:val="00AA1D10"/>
    <w:rsid w:val="00AA1E53"/>
    <w:rsid w:val="00AA1F4F"/>
    <w:rsid w:val="00AA2036"/>
    <w:rsid w:val="00AA2311"/>
    <w:rsid w:val="00AA26B8"/>
    <w:rsid w:val="00AA27CF"/>
    <w:rsid w:val="00AA3BB9"/>
    <w:rsid w:val="00AA45ED"/>
    <w:rsid w:val="00AA50A7"/>
    <w:rsid w:val="00AA5AB3"/>
    <w:rsid w:val="00AA61BA"/>
    <w:rsid w:val="00AA69D4"/>
    <w:rsid w:val="00AA72B8"/>
    <w:rsid w:val="00AA783A"/>
    <w:rsid w:val="00AA7AAF"/>
    <w:rsid w:val="00AB0298"/>
    <w:rsid w:val="00AB0392"/>
    <w:rsid w:val="00AB06EB"/>
    <w:rsid w:val="00AB0C13"/>
    <w:rsid w:val="00AB0EC4"/>
    <w:rsid w:val="00AB131A"/>
    <w:rsid w:val="00AB1671"/>
    <w:rsid w:val="00AB211A"/>
    <w:rsid w:val="00AB33C8"/>
    <w:rsid w:val="00AB3AB2"/>
    <w:rsid w:val="00AB3C2A"/>
    <w:rsid w:val="00AB3CA9"/>
    <w:rsid w:val="00AB3DB1"/>
    <w:rsid w:val="00AB4330"/>
    <w:rsid w:val="00AB4A02"/>
    <w:rsid w:val="00AB5997"/>
    <w:rsid w:val="00AB5B3E"/>
    <w:rsid w:val="00AB7180"/>
    <w:rsid w:val="00AB73B3"/>
    <w:rsid w:val="00AB784F"/>
    <w:rsid w:val="00AB7D63"/>
    <w:rsid w:val="00AC092F"/>
    <w:rsid w:val="00AC0AE8"/>
    <w:rsid w:val="00AC1B32"/>
    <w:rsid w:val="00AC1C3E"/>
    <w:rsid w:val="00AC23A2"/>
    <w:rsid w:val="00AC3140"/>
    <w:rsid w:val="00AC3559"/>
    <w:rsid w:val="00AC3653"/>
    <w:rsid w:val="00AC3707"/>
    <w:rsid w:val="00AC4CE5"/>
    <w:rsid w:val="00AC55B6"/>
    <w:rsid w:val="00AC57DE"/>
    <w:rsid w:val="00AC603A"/>
    <w:rsid w:val="00AC63E0"/>
    <w:rsid w:val="00AC6583"/>
    <w:rsid w:val="00AC68FF"/>
    <w:rsid w:val="00AC692F"/>
    <w:rsid w:val="00AC6A33"/>
    <w:rsid w:val="00AC6D09"/>
    <w:rsid w:val="00AC7691"/>
    <w:rsid w:val="00AC7A4D"/>
    <w:rsid w:val="00AC7E8F"/>
    <w:rsid w:val="00AD0383"/>
    <w:rsid w:val="00AD0C5E"/>
    <w:rsid w:val="00AD1E79"/>
    <w:rsid w:val="00AD24FF"/>
    <w:rsid w:val="00AD2937"/>
    <w:rsid w:val="00AD399A"/>
    <w:rsid w:val="00AD4822"/>
    <w:rsid w:val="00AD4D40"/>
    <w:rsid w:val="00AD645A"/>
    <w:rsid w:val="00AD68AC"/>
    <w:rsid w:val="00AD6958"/>
    <w:rsid w:val="00AD6979"/>
    <w:rsid w:val="00AD6B6E"/>
    <w:rsid w:val="00AD7398"/>
    <w:rsid w:val="00AD7682"/>
    <w:rsid w:val="00AE0104"/>
    <w:rsid w:val="00AE1EAD"/>
    <w:rsid w:val="00AE213C"/>
    <w:rsid w:val="00AE245A"/>
    <w:rsid w:val="00AE2DA0"/>
    <w:rsid w:val="00AE3550"/>
    <w:rsid w:val="00AE35C6"/>
    <w:rsid w:val="00AE4819"/>
    <w:rsid w:val="00AE4A32"/>
    <w:rsid w:val="00AE4FA6"/>
    <w:rsid w:val="00AE5798"/>
    <w:rsid w:val="00AE60A3"/>
    <w:rsid w:val="00AE6910"/>
    <w:rsid w:val="00AE6AD8"/>
    <w:rsid w:val="00AE6C1E"/>
    <w:rsid w:val="00AE6E69"/>
    <w:rsid w:val="00AE737A"/>
    <w:rsid w:val="00AE7752"/>
    <w:rsid w:val="00AE7763"/>
    <w:rsid w:val="00AE7917"/>
    <w:rsid w:val="00AF07E8"/>
    <w:rsid w:val="00AF0F91"/>
    <w:rsid w:val="00AF10C1"/>
    <w:rsid w:val="00AF12D3"/>
    <w:rsid w:val="00AF2351"/>
    <w:rsid w:val="00AF2959"/>
    <w:rsid w:val="00AF2A99"/>
    <w:rsid w:val="00AF2D90"/>
    <w:rsid w:val="00AF2E4B"/>
    <w:rsid w:val="00AF3B38"/>
    <w:rsid w:val="00AF461B"/>
    <w:rsid w:val="00AF4986"/>
    <w:rsid w:val="00AF5241"/>
    <w:rsid w:val="00AF620B"/>
    <w:rsid w:val="00AF6F4F"/>
    <w:rsid w:val="00AF756C"/>
    <w:rsid w:val="00AF75A7"/>
    <w:rsid w:val="00B00509"/>
    <w:rsid w:val="00B01755"/>
    <w:rsid w:val="00B01E6E"/>
    <w:rsid w:val="00B0321C"/>
    <w:rsid w:val="00B03970"/>
    <w:rsid w:val="00B04A5F"/>
    <w:rsid w:val="00B059C1"/>
    <w:rsid w:val="00B0616B"/>
    <w:rsid w:val="00B0694B"/>
    <w:rsid w:val="00B1028C"/>
    <w:rsid w:val="00B10845"/>
    <w:rsid w:val="00B10BAA"/>
    <w:rsid w:val="00B11D18"/>
    <w:rsid w:val="00B11EC0"/>
    <w:rsid w:val="00B12D5B"/>
    <w:rsid w:val="00B13462"/>
    <w:rsid w:val="00B1379E"/>
    <w:rsid w:val="00B13F3E"/>
    <w:rsid w:val="00B15330"/>
    <w:rsid w:val="00B159F8"/>
    <w:rsid w:val="00B1610B"/>
    <w:rsid w:val="00B17A54"/>
    <w:rsid w:val="00B20228"/>
    <w:rsid w:val="00B210E0"/>
    <w:rsid w:val="00B21BC9"/>
    <w:rsid w:val="00B21E0F"/>
    <w:rsid w:val="00B21FB5"/>
    <w:rsid w:val="00B224CF"/>
    <w:rsid w:val="00B22FCC"/>
    <w:rsid w:val="00B23C7C"/>
    <w:rsid w:val="00B24B9F"/>
    <w:rsid w:val="00B25354"/>
    <w:rsid w:val="00B26799"/>
    <w:rsid w:val="00B26F23"/>
    <w:rsid w:val="00B27522"/>
    <w:rsid w:val="00B3049B"/>
    <w:rsid w:val="00B31E5E"/>
    <w:rsid w:val="00B325EE"/>
    <w:rsid w:val="00B32747"/>
    <w:rsid w:val="00B3525F"/>
    <w:rsid w:val="00B353B3"/>
    <w:rsid w:val="00B354D5"/>
    <w:rsid w:val="00B358E4"/>
    <w:rsid w:val="00B3648E"/>
    <w:rsid w:val="00B36C80"/>
    <w:rsid w:val="00B37848"/>
    <w:rsid w:val="00B37D2F"/>
    <w:rsid w:val="00B418AF"/>
    <w:rsid w:val="00B41AEF"/>
    <w:rsid w:val="00B422A2"/>
    <w:rsid w:val="00B427C6"/>
    <w:rsid w:val="00B4388B"/>
    <w:rsid w:val="00B43DB7"/>
    <w:rsid w:val="00B4432C"/>
    <w:rsid w:val="00B446F1"/>
    <w:rsid w:val="00B45665"/>
    <w:rsid w:val="00B46AE5"/>
    <w:rsid w:val="00B46D5E"/>
    <w:rsid w:val="00B472D6"/>
    <w:rsid w:val="00B47A4C"/>
    <w:rsid w:val="00B507D8"/>
    <w:rsid w:val="00B5176C"/>
    <w:rsid w:val="00B51BA5"/>
    <w:rsid w:val="00B51BB8"/>
    <w:rsid w:val="00B51DA5"/>
    <w:rsid w:val="00B52368"/>
    <w:rsid w:val="00B527D3"/>
    <w:rsid w:val="00B5376E"/>
    <w:rsid w:val="00B53CB3"/>
    <w:rsid w:val="00B53E70"/>
    <w:rsid w:val="00B54671"/>
    <w:rsid w:val="00B54C4C"/>
    <w:rsid w:val="00B54D97"/>
    <w:rsid w:val="00B5586E"/>
    <w:rsid w:val="00B56745"/>
    <w:rsid w:val="00B57233"/>
    <w:rsid w:val="00B57AA3"/>
    <w:rsid w:val="00B609A7"/>
    <w:rsid w:val="00B614C5"/>
    <w:rsid w:val="00B61B33"/>
    <w:rsid w:val="00B62742"/>
    <w:rsid w:val="00B62809"/>
    <w:rsid w:val="00B628CE"/>
    <w:rsid w:val="00B62DD5"/>
    <w:rsid w:val="00B62FAB"/>
    <w:rsid w:val="00B635D1"/>
    <w:rsid w:val="00B63BB5"/>
    <w:rsid w:val="00B64715"/>
    <w:rsid w:val="00B658F9"/>
    <w:rsid w:val="00B65C30"/>
    <w:rsid w:val="00B66779"/>
    <w:rsid w:val="00B667EE"/>
    <w:rsid w:val="00B6788D"/>
    <w:rsid w:val="00B67A15"/>
    <w:rsid w:val="00B67F41"/>
    <w:rsid w:val="00B709E2"/>
    <w:rsid w:val="00B71E91"/>
    <w:rsid w:val="00B72284"/>
    <w:rsid w:val="00B72458"/>
    <w:rsid w:val="00B73826"/>
    <w:rsid w:val="00B740EA"/>
    <w:rsid w:val="00B74816"/>
    <w:rsid w:val="00B74DDC"/>
    <w:rsid w:val="00B7606E"/>
    <w:rsid w:val="00B772F9"/>
    <w:rsid w:val="00B80BF9"/>
    <w:rsid w:val="00B8230E"/>
    <w:rsid w:val="00B82AAA"/>
    <w:rsid w:val="00B82AEB"/>
    <w:rsid w:val="00B8313B"/>
    <w:rsid w:val="00B83280"/>
    <w:rsid w:val="00B83382"/>
    <w:rsid w:val="00B835AB"/>
    <w:rsid w:val="00B85900"/>
    <w:rsid w:val="00B8597F"/>
    <w:rsid w:val="00B85B24"/>
    <w:rsid w:val="00B85BCF"/>
    <w:rsid w:val="00B874B1"/>
    <w:rsid w:val="00B87E55"/>
    <w:rsid w:val="00B900CB"/>
    <w:rsid w:val="00B907E6"/>
    <w:rsid w:val="00B91005"/>
    <w:rsid w:val="00B914FE"/>
    <w:rsid w:val="00B916FA"/>
    <w:rsid w:val="00B917AC"/>
    <w:rsid w:val="00B92589"/>
    <w:rsid w:val="00B92926"/>
    <w:rsid w:val="00B9347A"/>
    <w:rsid w:val="00B93A27"/>
    <w:rsid w:val="00B93AD0"/>
    <w:rsid w:val="00B93FD1"/>
    <w:rsid w:val="00B94E51"/>
    <w:rsid w:val="00B959DC"/>
    <w:rsid w:val="00B95BE8"/>
    <w:rsid w:val="00B95C79"/>
    <w:rsid w:val="00B96171"/>
    <w:rsid w:val="00B96DEC"/>
    <w:rsid w:val="00B97DAD"/>
    <w:rsid w:val="00B97EC0"/>
    <w:rsid w:val="00BA0029"/>
    <w:rsid w:val="00BA05D8"/>
    <w:rsid w:val="00BA28F5"/>
    <w:rsid w:val="00BA2983"/>
    <w:rsid w:val="00BA2D9A"/>
    <w:rsid w:val="00BA363A"/>
    <w:rsid w:val="00BA3AD8"/>
    <w:rsid w:val="00BA43A2"/>
    <w:rsid w:val="00BA43B7"/>
    <w:rsid w:val="00BA4634"/>
    <w:rsid w:val="00BA48C1"/>
    <w:rsid w:val="00BA5310"/>
    <w:rsid w:val="00BA66D2"/>
    <w:rsid w:val="00BA68AF"/>
    <w:rsid w:val="00BA6F25"/>
    <w:rsid w:val="00BB0188"/>
    <w:rsid w:val="00BB0BCC"/>
    <w:rsid w:val="00BB12F5"/>
    <w:rsid w:val="00BB141E"/>
    <w:rsid w:val="00BB1747"/>
    <w:rsid w:val="00BB1B5E"/>
    <w:rsid w:val="00BB3067"/>
    <w:rsid w:val="00BB30B4"/>
    <w:rsid w:val="00BB45FC"/>
    <w:rsid w:val="00BB514A"/>
    <w:rsid w:val="00BB524F"/>
    <w:rsid w:val="00BB5F9C"/>
    <w:rsid w:val="00BB6BAE"/>
    <w:rsid w:val="00BB76EE"/>
    <w:rsid w:val="00BC0D0F"/>
    <w:rsid w:val="00BC505A"/>
    <w:rsid w:val="00BC5469"/>
    <w:rsid w:val="00BC60ED"/>
    <w:rsid w:val="00BC6DDC"/>
    <w:rsid w:val="00BC7C53"/>
    <w:rsid w:val="00BD01F6"/>
    <w:rsid w:val="00BD0D3A"/>
    <w:rsid w:val="00BD0F42"/>
    <w:rsid w:val="00BD117F"/>
    <w:rsid w:val="00BD12EA"/>
    <w:rsid w:val="00BD16AA"/>
    <w:rsid w:val="00BD21A1"/>
    <w:rsid w:val="00BD357E"/>
    <w:rsid w:val="00BD4226"/>
    <w:rsid w:val="00BD4785"/>
    <w:rsid w:val="00BD4BD8"/>
    <w:rsid w:val="00BD563C"/>
    <w:rsid w:val="00BD5CDC"/>
    <w:rsid w:val="00BD6CC1"/>
    <w:rsid w:val="00BD74AF"/>
    <w:rsid w:val="00BD7657"/>
    <w:rsid w:val="00BE0547"/>
    <w:rsid w:val="00BE12B5"/>
    <w:rsid w:val="00BE1848"/>
    <w:rsid w:val="00BE1ACD"/>
    <w:rsid w:val="00BE1C92"/>
    <w:rsid w:val="00BE253C"/>
    <w:rsid w:val="00BE2CE8"/>
    <w:rsid w:val="00BE3FBF"/>
    <w:rsid w:val="00BE4517"/>
    <w:rsid w:val="00BE57AD"/>
    <w:rsid w:val="00BE7869"/>
    <w:rsid w:val="00BE7C07"/>
    <w:rsid w:val="00BF15E3"/>
    <w:rsid w:val="00BF1EAE"/>
    <w:rsid w:val="00BF261B"/>
    <w:rsid w:val="00BF2CF2"/>
    <w:rsid w:val="00BF46E9"/>
    <w:rsid w:val="00BF4722"/>
    <w:rsid w:val="00BF4E1E"/>
    <w:rsid w:val="00BF51C4"/>
    <w:rsid w:val="00BF5540"/>
    <w:rsid w:val="00BF6ADB"/>
    <w:rsid w:val="00C00E4F"/>
    <w:rsid w:val="00C012DF"/>
    <w:rsid w:val="00C013A1"/>
    <w:rsid w:val="00C0164F"/>
    <w:rsid w:val="00C016D5"/>
    <w:rsid w:val="00C05461"/>
    <w:rsid w:val="00C05E86"/>
    <w:rsid w:val="00C06057"/>
    <w:rsid w:val="00C06378"/>
    <w:rsid w:val="00C10270"/>
    <w:rsid w:val="00C1098E"/>
    <w:rsid w:val="00C10E43"/>
    <w:rsid w:val="00C11543"/>
    <w:rsid w:val="00C13FCE"/>
    <w:rsid w:val="00C148D9"/>
    <w:rsid w:val="00C151CC"/>
    <w:rsid w:val="00C15428"/>
    <w:rsid w:val="00C15E52"/>
    <w:rsid w:val="00C168AD"/>
    <w:rsid w:val="00C17840"/>
    <w:rsid w:val="00C20D2F"/>
    <w:rsid w:val="00C21265"/>
    <w:rsid w:val="00C2165A"/>
    <w:rsid w:val="00C22804"/>
    <w:rsid w:val="00C22C17"/>
    <w:rsid w:val="00C2300F"/>
    <w:rsid w:val="00C23851"/>
    <w:rsid w:val="00C23ED5"/>
    <w:rsid w:val="00C24EBF"/>
    <w:rsid w:val="00C265E3"/>
    <w:rsid w:val="00C26B3A"/>
    <w:rsid w:val="00C2708B"/>
    <w:rsid w:val="00C272B8"/>
    <w:rsid w:val="00C27D0A"/>
    <w:rsid w:val="00C32CD3"/>
    <w:rsid w:val="00C348F3"/>
    <w:rsid w:val="00C34C8D"/>
    <w:rsid w:val="00C351E2"/>
    <w:rsid w:val="00C3521C"/>
    <w:rsid w:val="00C35DF6"/>
    <w:rsid w:val="00C36680"/>
    <w:rsid w:val="00C36C11"/>
    <w:rsid w:val="00C377C7"/>
    <w:rsid w:val="00C37EAA"/>
    <w:rsid w:val="00C405F8"/>
    <w:rsid w:val="00C40862"/>
    <w:rsid w:val="00C410AB"/>
    <w:rsid w:val="00C41323"/>
    <w:rsid w:val="00C415D0"/>
    <w:rsid w:val="00C42421"/>
    <w:rsid w:val="00C42754"/>
    <w:rsid w:val="00C430CB"/>
    <w:rsid w:val="00C431AF"/>
    <w:rsid w:val="00C43D83"/>
    <w:rsid w:val="00C43E85"/>
    <w:rsid w:val="00C44636"/>
    <w:rsid w:val="00C44AE9"/>
    <w:rsid w:val="00C44E68"/>
    <w:rsid w:val="00C451C9"/>
    <w:rsid w:val="00C456A5"/>
    <w:rsid w:val="00C46312"/>
    <w:rsid w:val="00C467C8"/>
    <w:rsid w:val="00C46F04"/>
    <w:rsid w:val="00C47F76"/>
    <w:rsid w:val="00C50368"/>
    <w:rsid w:val="00C50575"/>
    <w:rsid w:val="00C540E8"/>
    <w:rsid w:val="00C54542"/>
    <w:rsid w:val="00C54C51"/>
    <w:rsid w:val="00C54EE3"/>
    <w:rsid w:val="00C55728"/>
    <w:rsid w:val="00C557A0"/>
    <w:rsid w:val="00C56730"/>
    <w:rsid w:val="00C56B4C"/>
    <w:rsid w:val="00C56B99"/>
    <w:rsid w:val="00C60383"/>
    <w:rsid w:val="00C61091"/>
    <w:rsid w:val="00C61518"/>
    <w:rsid w:val="00C61664"/>
    <w:rsid w:val="00C61871"/>
    <w:rsid w:val="00C61C16"/>
    <w:rsid w:val="00C61C5E"/>
    <w:rsid w:val="00C62612"/>
    <w:rsid w:val="00C631C8"/>
    <w:rsid w:val="00C631F4"/>
    <w:rsid w:val="00C6381C"/>
    <w:rsid w:val="00C64679"/>
    <w:rsid w:val="00C652BE"/>
    <w:rsid w:val="00C67B8B"/>
    <w:rsid w:val="00C704DB"/>
    <w:rsid w:val="00C71467"/>
    <w:rsid w:val="00C72837"/>
    <w:rsid w:val="00C72AC6"/>
    <w:rsid w:val="00C72DFF"/>
    <w:rsid w:val="00C73791"/>
    <w:rsid w:val="00C73E3C"/>
    <w:rsid w:val="00C73FF7"/>
    <w:rsid w:val="00C74B26"/>
    <w:rsid w:val="00C762BA"/>
    <w:rsid w:val="00C76F3C"/>
    <w:rsid w:val="00C770DF"/>
    <w:rsid w:val="00C77728"/>
    <w:rsid w:val="00C77B9E"/>
    <w:rsid w:val="00C800A4"/>
    <w:rsid w:val="00C80367"/>
    <w:rsid w:val="00C80571"/>
    <w:rsid w:val="00C80B72"/>
    <w:rsid w:val="00C81DFA"/>
    <w:rsid w:val="00C8246A"/>
    <w:rsid w:val="00C828C4"/>
    <w:rsid w:val="00C83D76"/>
    <w:rsid w:val="00C8424F"/>
    <w:rsid w:val="00C84E3E"/>
    <w:rsid w:val="00C87063"/>
    <w:rsid w:val="00C874C8"/>
    <w:rsid w:val="00C87757"/>
    <w:rsid w:val="00C8795D"/>
    <w:rsid w:val="00C90FD5"/>
    <w:rsid w:val="00C9149E"/>
    <w:rsid w:val="00C9176E"/>
    <w:rsid w:val="00C921C1"/>
    <w:rsid w:val="00C92587"/>
    <w:rsid w:val="00C9326A"/>
    <w:rsid w:val="00C94337"/>
    <w:rsid w:val="00C94B77"/>
    <w:rsid w:val="00C94E67"/>
    <w:rsid w:val="00C9533D"/>
    <w:rsid w:val="00C962B1"/>
    <w:rsid w:val="00C966CE"/>
    <w:rsid w:val="00C97008"/>
    <w:rsid w:val="00C972E5"/>
    <w:rsid w:val="00C975CA"/>
    <w:rsid w:val="00C97659"/>
    <w:rsid w:val="00C97BD1"/>
    <w:rsid w:val="00C97EA4"/>
    <w:rsid w:val="00CA2373"/>
    <w:rsid w:val="00CA360E"/>
    <w:rsid w:val="00CA3862"/>
    <w:rsid w:val="00CA4FBC"/>
    <w:rsid w:val="00CA5E1B"/>
    <w:rsid w:val="00CA6B0C"/>
    <w:rsid w:val="00CA70CC"/>
    <w:rsid w:val="00CA7778"/>
    <w:rsid w:val="00CA7A21"/>
    <w:rsid w:val="00CA7B39"/>
    <w:rsid w:val="00CB06DF"/>
    <w:rsid w:val="00CB199D"/>
    <w:rsid w:val="00CB1C12"/>
    <w:rsid w:val="00CB1E38"/>
    <w:rsid w:val="00CB23AF"/>
    <w:rsid w:val="00CB2826"/>
    <w:rsid w:val="00CB3536"/>
    <w:rsid w:val="00CB3AD5"/>
    <w:rsid w:val="00CB62A5"/>
    <w:rsid w:val="00CB658E"/>
    <w:rsid w:val="00CB662C"/>
    <w:rsid w:val="00CB704E"/>
    <w:rsid w:val="00CB77F2"/>
    <w:rsid w:val="00CC1005"/>
    <w:rsid w:val="00CC24C6"/>
    <w:rsid w:val="00CC2A7C"/>
    <w:rsid w:val="00CC3599"/>
    <w:rsid w:val="00CC35C6"/>
    <w:rsid w:val="00CC37B1"/>
    <w:rsid w:val="00CC4A93"/>
    <w:rsid w:val="00CC4B8F"/>
    <w:rsid w:val="00CC60A7"/>
    <w:rsid w:val="00CC6670"/>
    <w:rsid w:val="00CC66BA"/>
    <w:rsid w:val="00CC7824"/>
    <w:rsid w:val="00CC78C0"/>
    <w:rsid w:val="00CC7CDE"/>
    <w:rsid w:val="00CC7D9C"/>
    <w:rsid w:val="00CD058B"/>
    <w:rsid w:val="00CD2F51"/>
    <w:rsid w:val="00CD41BA"/>
    <w:rsid w:val="00CD4F35"/>
    <w:rsid w:val="00CD5BFB"/>
    <w:rsid w:val="00CD6879"/>
    <w:rsid w:val="00CD6B2F"/>
    <w:rsid w:val="00CD6B7E"/>
    <w:rsid w:val="00CD7882"/>
    <w:rsid w:val="00CD7A7B"/>
    <w:rsid w:val="00CE0931"/>
    <w:rsid w:val="00CE1D78"/>
    <w:rsid w:val="00CE2237"/>
    <w:rsid w:val="00CE22B8"/>
    <w:rsid w:val="00CE2F7F"/>
    <w:rsid w:val="00CE37EA"/>
    <w:rsid w:val="00CE3DE0"/>
    <w:rsid w:val="00CE3E0A"/>
    <w:rsid w:val="00CE3ED8"/>
    <w:rsid w:val="00CE46EE"/>
    <w:rsid w:val="00CE581A"/>
    <w:rsid w:val="00CE5954"/>
    <w:rsid w:val="00CE7CD5"/>
    <w:rsid w:val="00CF1541"/>
    <w:rsid w:val="00CF22BF"/>
    <w:rsid w:val="00CF27C7"/>
    <w:rsid w:val="00CF3671"/>
    <w:rsid w:val="00CF384A"/>
    <w:rsid w:val="00CF3C18"/>
    <w:rsid w:val="00CF482F"/>
    <w:rsid w:val="00CF50AC"/>
    <w:rsid w:val="00CF5184"/>
    <w:rsid w:val="00CF6156"/>
    <w:rsid w:val="00CF6264"/>
    <w:rsid w:val="00CF67D7"/>
    <w:rsid w:val="00CF69F0"/>
    <w:rsid w:val="00CF6F14"/>
    <w:rsid w:val="00CF783E"/>
    <w:rsid w:val="00CF78DA"/>
    <w:rsid w:val="00CF7C51"/>
    <w:rsid w:val="00D00CD2"/>
    <w:rsid w:val="00D012C2"/>
    <w:rsid w:val="00D0140A"/>
    <w:rsid w:val="00D02BC8"/>
    <w:rsid w:val="00D03DCD"/>
    <w:rsid w:val="00D06F3E"/>
    <w:rsid w:val="00D06F84"/>
    <w:rsid w:val="00D0708C"/>
    <w:rsid w:val="00D0728D"/>
    <w:rsid w:val="00D07831"/>
    <w:rsid w:val="00D07F34"/>
    <w:rsid w:val="00D107D0"/>
    <w:rsid w:val="00D10B64"/>
    <w:rsid w:val="00D11B9B"/>
    <w:rsid w:val="00D122C9"/>
    <w:rsid w:val="00D136E7"/>
    <w:rsid w:val="00D13DD5"/>
    <w:rsid w:val="00D14AF6"/>
    <w:rsid w:val="00D17008"/>
    <w:rsid w:val="00D17CF1"/>
    <w:rsid w:val="00D17D23"/>
    <w:rsid w:val="00D20486"/>
    <w:rsid w:val="00D207B0"/>
    <w:rsid w:val="00D218B9"/>
    <w:rsid w:val="00D21CF5"/>
    <w:rsid w:val="00D21D8C"/>
    <w:rsid w:val="00D22A9F"/>
    <w:rsid w:val="00D22BC9"/>
    <w:rsid w:val="00D23101"/>
    <w:rsid w:val="00D23464"/>
    <w:rsid w:val="00D237BE"/>
    <w:rsid w:val="00D239E2"/>
    <w:rsid w:val="00D2467B"/>
    <w:rsid w:val="00D25850"/>
    <w:rsid w:val="00D261B2"/>
    <w:rsid w:val="00D2643E"/>
    <w:rsid w:val="00D27363"/>
    <w:rsid w:val="00D27BE8"/>
    <w:rsid w:val="00D309A8"/>
    <w:rsid w:val="00D3242D"/>
    <w:rsid w:val="00D32A20"/>
    <w:rsid w:val="00D32ED8"/>
    <w:rsid w:val="00D341E5"/>
    <w:rsid w:val="00D347D0"/>
    <w:rsid w:val="00D34D88"/>
    <w:rsid w:val="00D36664"/>
    <w:rsid w:val="00D372FC"/>
    <w:rsid w:val="00D37BE3"/>
    <w:rsid w:val="00D40E5E"/>
    <w:rsid w:val="00D41D69"/>
    <w:rsid w:val="00D42A52"/>
    <w:rsid w:val="00D4553C"/>
    <w:rsid w:val="00D466DC"/>
    <w:rsid w:val="00D51729"/>
    <w:rsid w:val="00D51CCF"/>
    <w:rsid w:val="00D51F26"/>
    <w:rsid w:val="00D52105"/>
    <w:rsid w:val="00D524CE"/>
    <w:rsid w:val="00D52B2C"/>
    <w:rsid w:val="00D5329B"/>
    <w:rsid w:val="00D541F0"/>
    <w:rsid w:val="00D57BFB"/>
    <w:rsid w:val="00D57C66"/>
    <w:rsid w:val="00D60022"/>
    <w:rsid w:val="00D60729"/>
    <w:rsid w:val="00D61155"/>
    <w:rsid w:val="00D61DE3"/>
    <w:rsid w:val="00D65962"/>
    <w:rsid w:val="00D66768"/>
    <w:rsid w:val="00D6683A"/>
    <w:rsid w:val="00D67C94"/>
    <w:rsid w:val="00D70A01"/>
    <w:rsid w:val="00D71200"/>
    <w:rsid w:val="00D71316"/>
    <w:rsid w:val="00D71AC4"/>
    <w:rsid w:val="00D71F52"/>
    <w:rsid w:val="00D72636"/>
    <w:rsid w:val="00D7275E"/>
    <w:rsid w:val="00D73BA4"/>
    <w:rsid w:val="00D74AA8"/>
    <w:rsid w:val="00D750D4"/>
    <w:rsid w:val="00D75B35"/>
    <w:rsid w:val="00D762F7"/>
    <w:rsid w:val="00D76432"/>
    <w:rsid w:val="00D7647B"/>
    <w:rsid w:val="00D80010"/>
    <w:rsid w:val="00D801B6"/>
    <w:rsid w:val="00D80CAB"/>
    <w:rsid w:val="00D80CDE"/>
    <w:rsid w:val="00D80DD9"/>
    <w:rsid w:val="00D81DE2"/>
    <w:rsid w:val="00D820E9"/>
    <w:rsid w:val="00D8220F"/>
    <w:rsid w:val="00D82831"/>
    <w:rsid w:val="00D84BD8"/>
    <w:rsid w:val="00D84CFE"/>
    <w:rsid w:val="00D85469"/>
    <w:rsid w:val="00D86B38"/>
    <w:rsid w:val="00D86BFE"/>
    <w:rsid w:val="00D879A4"/>
    <w:rsid w:val="00D87B4D"/>
    <w:rsid w:val="00D87BBA"/>
    <w:rsid w:val="00D905EB"/>
    <w:rsid w:val="00D90A9A"/>
    <w:rsid w:val="00D90AE1"/>
    <w:rsid w:val="00D9109B"/>
    <w:rsid w:val="00D91D59"/>
    <w:rsid w:val="00D92339"/>
    <w:rsid w:val="00D936D3"/>
    <w:rsid w:val="00D93CCD"/>
    <w:rsid w:val="00D93F43"/>
    <w:rsid w:val="00D94E8D"/>
    <w:rsid w:val="00D95B6B"/>
    <w:rsid w:val="00D95FAE"/>
    <w:rsid w:val="00D97F06"/>
    <w:rsid w:val="00DA080E"/>
    <w:rsid w:val="00DA0B1C"/>
    <w:rsid w:val="00DA1382"/>
    <w:rsid w:val="00DA25A3"/>
    <w:rsid w:val="00DA2803"/>
    <w:rsid w:val="00DA2BEB"/>
    <w:rsid w:val="00DA3B17"/>
    <w:rsid w:val="00DA4036"/>
    <w:rsid w:val="00DA5106"/>
    <w:rsid w:val="00DA53D6"/>
    <w:rsid w:val="00DA57B7"/>
    <w:rsid w:val="00DA57BE"/>
    <w:rsid w:val="00DA5B4B"/>
    <w:rsid w:val="00DA6A2F"/>
    <w:rsid w:val="00DA7138"/>
    <w:rsid w:val="00DA7449"/>
    <w:rsid w:val="00DB089F"/>
    <w:rsid w:val="00DB0FF4"/>
    <w:rsid w:val="00DB22CC"/>
    <w:rsid w:val="00DB258F"/>
    <w:rsid w:val="00DB2D21"/>
    <w:rsid w:val="00DB4292"/>
    <w:rsid w:val="00DB4401"/>
    <w:rsid w:val="00DB71B0"/>
    <w:rsid w:val="00DB7315"/>
    <w:rsid w:val="00DC05C4"/>
    <w:rsid w:val="00DC08E3"/>
    <w:rsid w:val="00DC0D5A"/>
    <w:rsid w:val="00DC13DF"/>
    <w:rsid w:val="00DC29E3"/>
    <w:rsid w:val="00DC3A65"/>
    <w:rsid w:val="00DC501B"/>
    <w:rsid w:val="00DC5A96"/>
    <w:rsid w:val="00DC5E61"/>
    <w:rsid w:val="00DC5FF1"/>
    <w:rsid w:val="00DC75F1"/>
    <w:rsid w:val="00DC78B8"/>
    <w:rsid w:val="00DC7B8B"/>
    <w:rsid w:val="00DD0111"/>
    <w:rsid w:val="00DD09E8"/>
    <w:rsid w:val="00DD0F5D"/>
    <w:rsid w:val="00DD1338"/>
    <w:rsid w:val="00DD2924"/>
    <w:rsid w:val="00DD2962"/>
    <w:rsid w:val="00DD308D"/>
    <w:rsid w:val="00DD3478"/>
    <w:rsid w:val="00DD3846"/>
    <w:rsid w:val="00DD43E2"/>
    <w:rsid w:val="00DD4924"/>
    <w:rsid w:val="00DD4DE7"/>
    <w:rsid w:val="00DD6282"/>
    <w:rsid w:val="00DD7389"/>
    <w:rsid w:val="00DE0F9E"/>
    <w:rsid w:val="00DE222F"/>
    <w:rsid w:val="00DE223E"/>
    <w:rsid w:val="00DE2990"/>
    <w:rsid w:val="00DE2E13"/>
    <w:rsid w:val="00DE342F"/>
    <w:rsid w:val="00DE3601"/>
    <w:rsid w:val="00DE3733"/>
    <w:rsid w:val="00DE3A4E"/>
    <w:rsid w:val="00DE4B06"/>
    <w:rsid w:val="00DE511C"/>
    <w:rsid w:val="00DE53BB"/>
    <w:rsid w:val="00DE54CB"/>
    <w:rsid w:val="00DE6665"/>
    <w:rsid w:val="00DE6F9F"/>
    <w:rsid w:val="00DF0355"/>
    <w:rsid w:val="00DF20D2"/>
    <w:rsid w:val="00DF2322"/>
    <w:rsid w:val="00DF2598"/>
    <w:rsid w:val="00DF261A"/>
    <w:rsid w:val="00DF2664"/>
    <w:rsid w:val="00DF2755"/>
    <w:rsid w:val="00DF2C34"/>
    <w:rsid w:val="00DF2D45"/>
    <w:rsid w:val="00DF3187"/>
    <w:rsid w:val="00DF3501"/>
    <w:rsid w:val="00DF3B74"/>
    <w:rsid w:val="00DF4ABC"/>
    <w:rsid w:val="00DF4BB8"/>
    <w:rsid w:val="00DF4C29"/>
    <w:rsid w:val="00DF4FD4"/>
    <w:rsid w:val="00DF5056"/>
    <w:rsid w:val="00DF5189"/>
    <w:rsid w:val="00DF5199"/>
    <w:rsid w:val="00DF564B"/>
    <w:rsid w:val="00DF564C"/>
    <w:rsid w:val="00DF56E9"/>
    <w:rsid w:val="00DF60D9"/>
    <w:rsid w:val="00DF6320"/>
    <w:rsid w:val="00DF779E"/>
    <w:rsid w:val="00DF78AB"/>
    <w:rsid w:val="00E004B2"/>
    <w:rsid w:val="00E00552"/>
    <w:rsid w:val="00E0092E"/>
    <w:rsid w:val="00E012F9"/>
    <w:rsid w:val="00E01882"/>
    <w:rsid w:val="00E01E29"/>
    <w:rsid w:val="00E024DC"/>
    <w:rsid w:val="00E02EFA"/>
    <w:rsid w:val="00E03894"/>
    <w:rsid w:val="00E03C08"/>
    <w:rsid w:val="00E04A97"/>
    <w:rsid w:val="00E0797F"/>
    <w:rsid w:val="00E10470"/>
    <w:rsid w:val="00E115C8"/>
    <w:rsid w:val="00E11A8C"/>
    <w:rsid w:val="00E128AD"/>
    <w:rsid w:val="00E13052"/>
    <w:rsid w:val="00E14086"/>
    <w:rsid w:val="00E140F8"/>
    <w:rsid w:val="00E14BD7"/>
    <w:rsid w:val="00E14C63"/>
    <w:rsid w:val="00E1547B"/>
    <w:rsid w:val="00E15600"/>
    <w:rsid w:val="00E201A3"/>
    <w:rsid w:val="00E204F6"/>
    <w:rsid w:val="00E20C6D"/>
    <w:rsid w:val="00E215F3"/>
    <w:rsid w:val="00E24C3B"/>
    <w:rsid w:val="00E24E1B"/>
    <w:rsid w:val="00E266FD"/>
    <w:rsid w:val="00E26BB4"/>
    <w:rsid w:val="00E27827"/>
    <w:rsid w:val="00E30978"/>
    <w:rsid w:val="00E325F2"/>
    <w:rsid w:val="00E32A91"/>
    <w:rsid w:val="00E335CE"/>
    <w:rsid w:val="00E37B4B"/>
    <w:rsid w:val="00E37F16"/>
    <w:rsid w:val="00E40C80"/>
    <w:rsid w:val="00E40F3D"/>
    <w:rsid w:val="00E40F62"/>
    <w:rsid w:val="00E4133D"/>
    <w:rsid w:val="00E424CF"/>
    <w:rsid w:val="00E44DDB"/>
    <w:rsid w:val="00E45326"/>
    <w:rsid w:val="00E46680"/>
    <w:rsid w:val="00E468C4"/>
    <w:rsid w:val="00E46DAC"/>
    <w:rsid w:val="00E47795"/>
    <w:rsid w:val="00E506C3"/>
    <w:rsid w:val="00E50E7E"/>
    <w:rsid w:val="00E516E8"/>
    <w:rsid w:val="00E519FE"/>
    <w:rsid w:val="00E5251E"/>
    <w:rsid w:val="00E52690"/>
    <w:rsid w:val="00E52FDF"/>
    <w:rsid w:val="00E53482"/>
    <w:rsid w:val="00E54B1F"/>
    <w:rsid w:val="00E54EB6"/>
    <w:rsid w:val="00E55901"/>
    <w:rsid w:val="00E55A13"/>
    <w:rsid w:val="00E55D87"/>
    <w:rsid w:val="00E56F0F"/>
    <w:rsid w:val="00E5721B"/>
    <w:rsid w:val="00E576B0"/>
    <w:rsid w:val="00E61AFB"/>
    <w:rsid w:val="00E6267F"/>
    <w:rsid w:val="00E639E8"/>
    <w:rsid w:val="00E63A61"/>
    <w:rsid w:val="00E646AC"/>
    <w:rsid w:val="00E65448"/>
    <w:rsid w:val="00E66769"/>
    <w:rsid w:val="00E66A71"/>
    <w:rsid w:val="00E66E39"/>
    <w:rsid w:val="00E66F9E"/>
    <w:rsid w:val="00E70384"/>
    <w:rsid w:val="00E711BD"/>
    <w:rsid w:val="00E7300B"/>
    <w:rsid w:val="00E73CF1"/>
    <w:rsid w:val="00E73E94"/>
    <w:rsid w:val="00E747D8"/>
    <w:rsid w:val="00E75A7B"/>
    <w:rsid w:val="00E75BDF"/>
    <w:rsid w:val="00E75F8E"/>
    <w:rsid w:val="00E7772D"/>
    <w:rsid w:val="00E8056A"/>
    <w:rsid w:val="00E80799"/>
    <w:rsid w:val="00E81A23"/>
    <w:rsid w:val="00E8300A"/>
    <w:rsid w:val="00E832BD"/>
    <w:rsid w:val="00E83716"/>
    <w:rsid w:val="00E838C2"/>
    <w:rsid w:val="00E83B30"/>
    <w:rsid w:val="00E83B70"/>
    <w:rsid w:val="00E8464B"/>
    <w:rsid w:val="00E84E16"/>
    <w:rsid w:val="00E85432"/>
    <w:rsid w:val="00E90265"/>
    <w:rsid w:val="00E9044D"/>
    <w:rsid w:val="00E90C74"/>
    <w:rsid w:val="00E91069"/>
    <w:rsid w:val="00E913C6"/>
    <w:rsid w:val="00E91818"/>
    <w:rsid w:val="00E92A46"/>
    <w:rsid w:val="00E92E73"/>
    <w:rsid w:val="00E934F0"/>
    <w:rsid w:val="00E93CFF"/>
    <w:rsid w:val="00E95323"/>
    <w:rsid w:val="00E95996"/>
    <w:rsid w:val="00EA1FF3"/>
    <w:rsid w:val="00EA2417"/>
    <w:rsid w:val="00EA244C"/>
    <w:rsid w:val="00EA2A6E"/>
    <w:rsid w:val="00EA2C2C"/>
    <w:rsid w:val="00EA3CEA"/>
    <w:rsid w:val="00EA4C0F"/>
    <w:rsid w:val="00EA5450"/>
    <w:rsid w:val="00EA6427"/>
    <w:rsid w:val="00EA6985"/>
    <w:rsid w:val="00EA75E3"/>
    <w:rsid w:val="00EB1CC1"/>
    <w:rsid w:val="00EB206D"/>
    <w:rsid w:val="00EB215D"/>
    <w:rsid w:val="00EB23E5"/>
    <w:rsid w:val="00EB3D9F"/>
    <w:rsid w:val="00EB3FB3"/>
    <w:rsid w:val="00EB4104"/>
    <w:rsid w:val="00EB49EB"/>
    <w:rsid w:val="00EB512F"/>
    <w:rsid w:val="00EB5BDE"/>
    <w:rsid w:val="00EB68DB"/>
    <w:rsid w:val="00EB6A26"/>
    <w:rsid w:val="00EB7AE8"/>
    <w:rsid w:val="00EC133F"/>
    <w:rsid w:val="00EC1C2A"/>
    <w:rsid w:val="00EC1DAE"/>
    <w:rsid w:val="00EC2A09"/>
    <w:rsid w:val="00EC2A4F"/>
    <w:rsid w:val="00EC2B87"/>
    <w:rsid w:val="00EC38FA"/>
    <w:rsid w:val="00EC43BE"/>
    <w:rsid w:val="00EC616E"/>
    <w:rsid w:val="00EC6726"/>
    <w:rsid w:val="00EC67F7"/>
    <w:rsid w:val="00EC7223"/>
    <w:rsid w:val="00EC7B27"/>
    <w:rsid w:val="00EC7EA3"/>
    <w:rsid w:val="00ED001D"/>
    <w:rsid w:val="00ED02C9"/>
    <w:rsid w:val="00ED08A0"/>
    <w:rsid w:val="00ED0DC7"/>
    <w:rsid w:val="00ED0FB9"/>
    <w:rsid w:val="00ED17FD"/>
    <w:rsid w:val="00ED1ABA"/>
    <w:rsid w:val="00ED294F"/>
    <w:rsid w:val="00ED2FF9"/>
    <w:rsid w:val="00ED302D"/>
    <w:rsid w:val="00ED35D5"/>
    <w:rsid w:val="00ED46EA"/>
    <w:rsid w:val="00ED494C"/>
    <w:rsid w:val="00ED4D1B"/>
    <w:rsid w:val="00ED6EBB"/>
    <w:rsid w:val="00EE0CD3"/>
    <w:rsid w:val="00EE1F26"/>
    <w:rsid w:val="00EE3491"/>
    <w:rsid w:val="00EE34BF"/>
    <w:rsid w:val="00EE3A02"/>
    <w:rsid w:val="00EE3F7A"/>
    <w:rsid w:val="00EE40F0"/>
    <w:rsid w:val="00EE455E"/>
    <w:rsid w:val="00EE77A7"/>
    <w:rsid w:val="00EE7B2C"/>
    <w:rsid w:val="00EF0DD9"/>
    <w:rsid w:val="00EF13BE"/>
    <w:rsid w:val="00EF22F5"/>
    <w:rsid w:val="00EF2EB4"/>
    <w:rsid w:val="00EF2EE1"/>
    <w:rsid w:val="00EF4645"/>
    <w:rsid w:val="00EF4F97"/>
    <w:rsid w:val="00EF5F43"/>
    <w:rsid w:val="00EF610B"/>
    <w:rsid w:val="00EF6229"/>
    <w:rsid w:val="00EF6E24"/>
    <w:rsid w:val="00F01A49"/>
    <w:rsid w:val="00F022A4"/>
    <w:rsid w:val="00F048F1"/>
    <w:rsid w:val="00F05F80"/>
    <w:rsid w:val="00F06174"/>
    <w:rsid w:val="00F071D4"/>
    <w:rsid w:val="00F07558"/>
    <w:rsid w:val="00F07AFE"/>
    <w:rsid w:val="00F109FC"/>
    <w:rsid w:val="00F10C54"/>
    <w:rsid w:val="00F10D34"/>
    <w:rsid w:val="00F1354C"/>
    <w:rsid w:val="00F13D88"/>
    <w:rsid w:val="00F13FF7"/>
    <w:rsid w:val="00F1535D"/>
    <w:rsid w:val="00F16F51"/>
    <w:rsid w:val="00F16FCD"/>
    <w:rsid w:val="00F21550"/>
    <w:rsid w:val="00F21621"/>
    <w:rsid w:val="00F216B0"/>
    <w:rsid w:val="00F21864"/>
    <w:rsid w:val="00F21A20"/>
    <w:rsid w:val="00F22119"/>
    <w:rsid w:val="00F22956"/>
    <w:rsid w:val="00F2367F"/>
    <w:rsid w:val="00F23C56"/>
    <w:rsid w:val="00F24E95"/>
    <w:rsid w:val="00F251D7"/>
    <w:rsid w:val="00F2659F"/>
    <w:rsid w:val="00F26877"/>
    <w:rsid w:val="00F26C71"/>
    <w:rsid w:val="00F26CED"/>
    <w:rsid w:val="00F26F8D"/>
    <w:rsid w:val="00F27CB6"/>
    <w:rsid w:val="00F301E5"/>
    <w:rsid w:val="00F3179F"/>
    <w:rsid w:val="00F324D3"/>
    <w:rsid w:val="00F331C1"/>
    <w:rsid w:val="00F3381F"/>
    <w:rsid w:val="00F35589"/>
    <w:rsid w:val="00F365A9"/>
    <w:rsid w:val="00F400B9"/>
    <w:rsid w:val="00F40A09"/>
    <w:rsid w:val="00F4187C"/>
    <w:rsid w:val="00F4461F"/>
    <w:rsid w:val="00F4568F"/>
    <w:rsid w:val="00F464FB"/>
    <w:rsid w:val="00F46B51"/>
    <w:rsid w:val="00F470A8"/>
    <w:rsid w:val="00F474F4"/>
    <w:rsid w:val="00F533DB"/>
    <w:rsid w:val="00F548FB"/>
    <w:rsid w:val="00F54AFF"/>
    <w:rsid w:val="00F5553D"/>
    <w:rsid w:val="00F55A14"/>
    <w:rsid w:val="00F57E99"/>
    <w:rsid w:val="00F6156A"/>
    <w:rsid w:val="00F6246E"/>
    <w:rsid w:val="00F62DDE"/>
    <w:rsid w:val="00F62E85"/>
    <w:rsid w:val="00F62F62"/>
    <w:rsid w:val="00F66973"/>
    <w:rsid w:val="00F67AF4"/>
    <w:rsid w:val="00F67F3D"/>
    <w:rsid w:val="00F70D65"/>
    <w:rsid w:val="00F71A90"/>
    <w:rsid w:val="00F723AE"/>
    <w:rsid w:val="00F7424E"/>
    <w:rsid w:val="00F74948"/>
    <w:rsid w:val="00F75428"/>
    <w:rsid w:val="00F75EB3"/>
    <w:rsid w:val="00F762BC"/>
    <w:rsid w:val="00F76857"/>
    <w:rsid w:val="00F76968"/>
    <w:rsid w:val="00F772F7"/>
    <w:rsid w:val="00F77CB4"/>
    <w:rsid w:val="00F827F1"/>
    <w:rsid w:val="00F82DD3"/>
    <w:rsid w:val="00F839D2"/>
    <w:rsid w:val="00F83D3F"/>
    <w:rsid w:val="00F84734"/>
    <w:rsid w:val="00F84B3E"/>
    <w:rsid w:val="00F867D4"/>
    <w:rsid w:val="00F87131"/>
    <w:rsid w:val="00F87C3F"/>
    <w:rsid w:val="00F87E6C"/>
    <w:rsid w:val="00F901F6"/>
    <w:rsid w:val="00F91385"/>
    <w:rsid w:val="00F91A53"/>
    <w:rsid w:val="00F92A5D"/>
    <w:rsid w:val="00F93218"/>
    <w:rsid w:val="00F93CEA"/>
    <w:rsid w:val="00F93FC5"/>
    <w:rsid w:val="00F96CB0"/>
    <w:rsid w:val="00F9787A"/>
    <w:rsid w:val="00FA0A0D"/>
    <w:rsid w:val="00FA0AEC"/>
    <w:rsid w:val="00FA0CCA"/>
    <w:rsid w:val="00FA0F13"/>
    <w:rsid w:val="00FA15D2"/>
    <w:rsid w:val="00FA1BE3"/>
    <w:rsid w:val="00FA2BA5"/>
    <w:rsid w:val="00FA2F6E"/>
    <w:rsid w:val="00FA3FC1"/>
    <w:rsid w:val="00FA45F4"/>
    <w:rsid w:val="00FA52AA"/>
    <w:rsid w:val="00FA580B"/>
    <w:rsid w:val="00FA5E42"/>
    <w:rsid w:val="00FA6B3B"/>
    <w:rsid w:val="00FA7153"/>
    <w:rsid w:val="00FB0589"/>
    <w:rsid w:val="00FB125E"/>
    <w:rsid w:val="00FB1A0F"/>
    <w:rsid w:val="00FB1A5A"/>
    <w:rsid w:val="00FB1E1E"/>
    <w:rsid w:val="00FB68C7"/>
    <w:rsid w:val="00FB6D92"/>
    <w:rsid w:val="00FB70DC"/>
    <w:rsid w:val="00FC0039"/>
    <w:rsid w:val="00FC113B"/>
    <w:rsid w:val="00FC1B4E"/>
    <w:rsid w:val="00FC1CC4"/>
    <w:rsid w:val="00FC1F1B"/>
    <w:rsid w:val="00FC386D"/>
    <w:rsid w:val="00FC5155"/>
    <w:rsid w:val="00FC5AFD"/>
    <w:rsid w:val="00FC672E"/>
    <w:rsid w:val="00FC6C63"/>
    <w:rsid w:val="00FC766F"/>
    <w:rsid w:val="00FC7D56"/>
    <w:rsid w:val="00FD02F8"/>
    <w:rsid w:val="00FD0CCD"/>
    <w:rsid w:val="00FD1A17"/>
    <w:rsid w:val="00FD1CE2"/>
    <w:rsid w:val="00FD211B"/>
    <w:rsid w:val="00FD24C8"/>
    <w:rsid w:val="00FD2EF6"/>
    <w:rsid w:val="00FD3834"/>
    <w:rsid w:val="00FD3C6A"/>
    <w:rsid w:val="00FD4521"/>
    <w:rsid w:val="00FD4B53"/>
    <w:rsid w:val="00FD4BAA"/>
    <w:rsid w:val="00FD55CA"/>
    <w:rsid w:val="00FD6D32"/>
    <w:rsid w:val="00FD6EFE"/>
    <w:rsid w:val="00FD7883"/>
    <w:rsid w:val="00FD7D3E"/>
    <w:rsid w:val="00FE04F7"/>
    <w:rsid w:val="00FE0852"/>
    <w:rsid w:val="00FE1689"/>
    <w:rsid w:val="00FE1DBB"/>
    <w:rsid w:val="00FE1FF4"/>
    <w:rsid w:val="00FE33FB"/>
    <w:rsid w:val="00FE4385"/>
    <w:rsid w:val="00FE488E"/>
    <w:rsid w:val="00FE4BD1"/>
    <w:rsid w:val="00FE5B9F"/>
    <w:rsid w:val="00FE6771"/>
    <w:rsid w:val="00FF0192"/>
    <w:rsid w:val="00FF019D"/>
    <w:rsid w:val="00FF0D58"/>
    <w:rsid w:val="00FF0DE1"/>
    <w:rsid w:val="00FF20D6"/>
    <w:rsid w:val="00FF22D2"/>
    <w:rsid w:val="00FF2E9F"/>
    <w:rsid w:val="00FF34A0"/>
    <w:rsid w:val="00FF397C"/>
    <w:rsid w:val="00FF398B"/>
    <w:rsid w:val="00FF3CAA"/>
    <w:rsid w:val="00FF41A1"/>
    <w:rsid w:val="00FF45AD"/>
    <w:rsid w:val="00FF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C7A3"/>
  <w15:chartTrackingRefBased/>
  <w15:docId w15:val="{7E959199-045F-4CC4-9CE3-0FB9DB44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styleId="CommentReference">
    <w:name w:val="annotation reference"/>
    <w:basedOn w:val="DefaultParagraphFont"/>
    <w:uiPriority w:val="99"/>
    <w:semiHidden/>
    <w:unhideWhenUsed/>
    <w:rsid w:val="009704CB"/>
    <w:rPr>
      <w:sz w:val="16"/>
      <w:szCs w:val="16"/>
    </w:rPr>
  </w:style>
  <w:style w:type="paragraph" w:styleId="CommentText">
    <w:name w:val="annotation text"/>
    <w:basedOn w:val="Normal"/>
    <w:link w:val="CommentTextChar"/>
    <w:uiPriority w:val="99"/>
    <w:semiHidden/>
    <w:unhideWhenUsed/>
    <w:rsid w:val="009704CB"/>
    <w:pPr>
      <w:spacing w:line="240" w:lineRule="auto"/>
    </w:pPr>
    <w:rPr>
      <w:sz w:val="20"/>
      <w:szCs w:val="20"/>
    </w:rPr>
  </w:style>
  <w:style w:type="character" w:customStyle="1" w:styleId="CommentTextChar">
    <w:name w:val="Comment Text Char"/>
    <w:basedOn w:val="DefaultParagraphFont"/>
    <w:link w:val="CommentText"/>
    <w:uiPriority w:val="99"/>
    <w:semiHidden/>
    <w:rsid w:val="009704CB"/>
    <w:rPr>
      <w:sz w:val="20"/>
      <w:szCs w:val="20"/>
    </w:rPr>
  </w:style>
  <w:style w:type="paragraph" w:styleId="CommentSubject">
    <w:name w:val="annotation subject"/>
    <w:basedOn w:val="CommentText"/>
    <w:next w:val="CommentText"/>
    <w:link w:val="CommentSubjectChar"/>
    <w:uiPriority w:val="99"/>
    <w:semiHidden/>
    <w:unhideWhenUsed/>
    <w:rsid w:val="009704CB"/>
    <w:rPr>
      <w:b/>
      <w:bCs/>
    </w:rPr>
  </w:style>
  <w:style w:type="character" w:customStyle="1" w:styleId="CommentSubjectChar">
    <w:name w:val="Comment Subject Char"/>
    <w:basedOn w:val="CommentTextChar"/>
    <w:link w:val="CommentSubject"/>
    <w:uiPriority w:val="99"/>
    <w:semiHidden/>
    <w:rsid w:val="009704CB"/>
    <w:rPr>
      <w:b/>
      <w:bCs/>
      <w:sz w:val="20"/>
      <w:szCs w:val="20"/>
    </w:rPr>
  </w:style>
  <w:style w:type="paragraph" w:styleId="BalloonText">
    <w:name w:val="Balloon Text"/>
    <w:basedOn w:val="Normal"/>
    <w:link w:val="BalloonTextChar"/>
    <w:uiPriority w:val="99"/>
    <w:semiHidden/>
    <w:unhideWhenUsed/>
    <w:rsid w:val="00970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4CB"/>
    <w:rPr>
      <w:rFonts w:ascii="Segoe UI" w:hAnsi="Segoe UI" w:cs="Segoe UI"/>
      <w:sz w:val="18"/>
      <w:szCs w:val="18"/>
    </w:rPr>
  </w:style>
  <w:style w:type="character" w:styleId="Hyperlink">
    <w:name w:val="Hyperlink"/>
    <w:basedOn w:val="DefaultParagraphFont"/>
    <w:uiPriority w:val="99"/>
    <w:unhideWhenUsed/>
    <w:rsid w:val="0060595C"/>
    <w:rPr>
      <w:color w:val="0563C1" w:themeColor="hyperlink"/>
      <w:u w:val="single"/>
    </w:rPr>
  </w:style>
  <w:style w:type="character" w:styleId="UnresolvedMention">
    <w:name w:val="Unresolved Mention"/>
    <w:basedOn w:val="DefaultParagraphFont"/>
    <w:uiPriority w:val="99"/>
    <w:semiHidden/>
    <w:unhideWhenUsed/>
    <w:rsid w:val="0060595C"/>
    <w:rPr>
      <w:color w:val="605E5C"/>
      <w:shd w:val="clear" w:color="auto" w:fill="E1DFDD"/>
    </w:rPr>
  </w:style>
  <w:style w:type="paragraph" w:styleId="ListParagraph">
    <w:name w:val="List Paragraph"/>
    <w:basedOn w:val="Normal"/>
    <w:uiPriority w:val="34"/>
    <w:qFormat/>
    <w:rsid w:val="00632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s.gov.uk/employmentandlabourmarket/peopleinwork/employmentandemployeetypes/articles/graduatesintheuklabourmarket/20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hley.Gill1@staffs.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gertips.phe.org.uk/static-reports/health-profiles/2019/e06000021.html?area-name=stoke-on-t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DB6BAF014A6F43A3D197AA90C4D57E" ma:contentTypeVersion="13" ma:contentTypeDescription="Create a new document." ma:contentTypeScope="" ma:versionID="88ed14eb49b339e3793d6eaf553df467">
  <xsd:schema xmlns:xsd="http://www.w3.org/2001/XMLSchema" xmlns:xs="http://www.w3.org/2001/XMLSchema" xmlns:p="http://schemas.microsoft.com/office/2006/metadata/properties" xmlns:ns3="56b7ed2d-df08-499a-b37c-85434a3ad364" xmlns:ns4="908af077-60c0-4c17-93a5-e9eedf8fdeb6" targetNamespace="http://schemas.microsoft.com/office/2006/metadata/properties" ma:root="true" ma:fieldsID="818e3ead2bc76c919fda2c472cca4f20" ns3:_="" ns4:_="">
    <xsd:import namespace="56b7ed2d-df08-499a-b37c-85434a3ad364"/>
    <xsd:import namespace="908af077-60c0-4c17-93a5-e9eedf8fde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7ed2d-df08-499a-b37c-85434a3ad3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af077-60c0-4c17-93a5-e9eedf8fde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38C8A-C0C4-49A9-9214-D099C0EC0F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5B20FE-9D67-44C2-9BFC-7FDE17B0C0EA}">
  <ds:schemaRefs>
    <ds:schemaRef ds:uri="http://schemas.microsoft.com/sharepoint/v3/contenttype/forms"/>
  </ds:schemaRefs>
</ds:datastoreItem>
</file>

<file path=customXml/itemProps3.xml><?xml version="1.0" encoding="utf-8"?>
<ds:datastoreItem xmlns:ds="http://schemas.openxmlformats.org/officeDocument/2006/customXml" ds:itemID="{A3A30081-6ABC-4364-A21B-731A5A3F6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7ed2d-df08-499a-b37c-85434a3ad364"/>
    <ds:schemaRef ds:uri="908af077-60c0-4c17-93a5-e9eedf8fd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1D505-3E48-48B9-A4AD-3C15B94C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8656</TotalTime>
  <Pages>37</Pages>
  <Words>10360</Words>
  <Characters>59053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GILL</dc:creator>
  <cp:keywords/>
  <dc:description/>
  <cp:lastModifiedBy>GILL Ashley J.G.</cp:lastModifiedBy>
  <cp:revision>3211</cp:revision>
  <dcterms:created xsi:type="dcterms:W3CDTF">2021-05-14T08:59:00Z</dcterms:created>
  <dcterms:modified xsi:type="dcterms:W3CDTF">2023-02-20T11:02:00Z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0x010100FFDB6BAF014A6F43A3D197AA90C4D57E</vt:lpwstr>
  </property>
</Properties>
</file>