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EE76" w14:textId="39F05D79" w:rsidR="00760CD5" w:rsidRDefault="00760CD5" w:rsidP="00760CD5">
      <w:pPr>
        <w:jc w:val="center"/>
        <w:rPr>
          <w:sz w:val="28"/>
          <w:szCs w:val="28"/>
        </w:rPr>
      </w:pPr>
      <w:r w:rsidRPr="003E725F">
        <w:rPr>
          <w:sz w:val="28"/>
          <w:szCs w:val="28"/>
        </w:rPr>
        <w:t>R</w:t>
      </w:r>
      <w:r w:rsidR="0042503F">
        <w:rPr>
          <w:sz w:val="28"/>
          <w:szCs w:val="28"/>
        </w:rPr>
        <w:t>ESPONSIBLE PRACTICE, OR RESTRICTED PRACTICE? AN EMPIRICAL STUDY OF THE USE OF CLINICAL GUIDELINES IN MEDICAL NEGLIGENCE LITIGATION</w:t>
      </w:r>
    </w:p>
    <w:p w14:paraId="4B7EF4E6" w14:textId="77777777" w:rsidR="0042503F" w:rsidRPr="003E725F" w:rsidRDefault="0042503F" w:rsidP="00760CD5">
      <w:pPr>
        <w:jc w:val="center"/>
        <w:rPr>
          <w:sz w:val="28"/>
          <w:szCs w:val="28"/>
        </w:rPr>
      </w:pPr>
    </w:p>
    <w:p w14:paraId="17B9E12C" w14:textId="3EB16313" w:rsidR="0042503F" w:rsidRDefault="0042503F" w:rsidP="002858F9">
      <w:pPr>
        <w:spacing w:after="200"/>
        <w:rPr>
          <w:i/>
        </w:rPr>
      </w:pPr>
      <w:r>
        <w:rPr>
          <w:i/>
        </w:rPr>
        <w:t>Ash Samanta,</w:t>
      </w:r>
      <w:r w:rsidR="002858F9" w:rsidRPr="002858F9">
        <w:rPr>
          <w:i/>
          <w:vertAlign w:val="superscript"/>
        </w:rPr>
        <w:t>1</w:t>
      </w:r>
      <w:r w:rsidR="00347D6E">
        <w:rPr>
          <w:i/>
        </w:rPr>
        <w:t>*</w:t>
      </w:r>
      <w:r>
        <w:rPr>
          <w:i/>
        </w:rPr>
        <w:t xml:space="preserve"> </w:t>
      </w:r>
    </w:p>
    <w:p w14:paraId="51001B7E" w14:textId="32BF9261" w:rsidR="0042503F" w:rsidRDefault="0042503F" w:rsidP="0042503F">
      <w:pPr>
        <w:spacing w:after="200" w:line="276" w:lineRule="auto"/>
        <w:rPr>
          <w:i/>
        </w:rPr>
      </w:pPr>
      <w:r>
        <w:rPr>
          <w:i/>
        </w:rPr>
        <w:t>Jo Samanta,</w:t>
      </w:r>
      <w:r w:rsidR="002858F9" w:rsidRPr="002858F9">
        <w:rPr>
          <w:i/>
          <w:vertAlign w:val="superscript"/>
        </w:rPr>
        <w:t>2</w:t>
      </w:r>
      <w:r w:rsidR="00347D6E">
        <w:rPr>
          <w:i/>
        </w:rPr>
        <w:t>*</w:t>
      </w:r>
      <w:r>
        <w:rPr>
          <w:i/>
        </w:rPr>
        <w:t xml:space="preserve"> </w:t>
      </w:r>
    </w:p>
    <w:p w14:paraId="0C2B87B2" w14:textId="20CCBD40" w:rsidR="0042503F" w:rsidRDefault="0042503F" w:rsidP="0042503F">
      <w:pPr>
        <w:spacing w:after="200" w:line="276" w:lineRule="auto"/>
        <w:rPr>
          <w:i/>
          <w:iCs/>
        </w:rPr>
      </w:pPr>
      <w:r>
        <w:rPr>
          <w:i/>
        </w:rPr>
        <w:t>Joanne Beswick</w:t>
      </w:r>
      <w:r w:rsidR="00347D6E">
        <w:rPr>
          <w:i/>
        </w:rPr>
        <w:t>,</w:t>
      </w:r>
      <w:r w:rsidR="002858F9" w:rsidRPr="002858F9">
        <w:rPr>
          <w:i/>
          <w:vertAlign w:val="superscript"/>
        </w:rPr>
        <w:t>3</w:t>
      </w:r>
      <w:r w:rsidR="00347D6E">
        <w:rPr>
          <w:i/>
        </w:rPr>
        <w:t xml:space="preserve">* </w:t>
      </w:r>
    </w:p>
    <w:p w14:paraId="0114039F" w14:textId="52671B85" w:rsidR="002858F9" w:rsidRPr="002858F9" w:rsidRDefault="002858F9" w:rsidP="0042503F">
      <w:pPr>
        <w:spacing w:after="200" w:line="276" w:lineRule="auto"/>
        <w:rPr>
          <w:sz w:val="20"/>
        </w:rPr>
      </w:pPr>
      <w:r w:rsidRPr="002858F9">
        <w:rPr>
          <w:i/>
          <w:vertAlign w:val="superscript"/>
        </w:rPr>
        <w:t>1</w:t>
      </w:r>
      <w:r>
        <w:rPr>
          <w:i/>
        </w:rPr>
        <w:t xml:space="preserve"> </w:t>
      </w:r>
      <w:r w:rsidRPr="002858F9">
        <w:rPr>
          <w:sz w:val="20"/>
        </w:rPr>
        <w:t>Emeritus consultant Physician and Rheumatologist, University Hospitals, Leicester, UK</w:t>
      </w:r>
    </w:p>
    <w:p w14:paraId="390B13E5" w14:textId="672EDFB9" w:rsidR="002858F9" w:rsidRPr="002858F9" w:rsidRDefault="002858F9" w:rsidP="002858F9">
      <w:pPr>
        <w:spacing w:after="200" w:line="276" w:lineRule="auto"/>
        <w:rPr>
          <w:sz w:val="20"/>
        </w:rPr>
      </w:pPr>
      <w:r w:rsidRPr="002858F9">
        <w:rPr>
          <w:i/>
          <w:sz w:val="20"/>
          <w:vertAlign w:val="superscript"/>
        </w:rPr>
        <w:t>2</w:t>
      </w:r>
      <w:r w:rsidRPr="002858F9">
        <w:rPr>
          <w:i/>
          <w:sz w:val="20"/>
        </w:rPr>
        <w:t xml:space="preserve"> </w:t>
      </w:r>
      <w:r w:rsidRPr="002858F9">
        <w:rPr>
          <w:sz w:val="20"/>
        </w:rPr>
        <w:t>Emeritus Professor, De Montfort University, Leicester, UK</w:t>
      </w:r>
    </w:p>
    <w:p w14:paraId="69850A80" w14:textId="0C49A3C3" w:rsidR="002858F9" w:rsidRPr="002858F9" w:rsidRDefault="002858F9" w:rsidP="002858F9">
      <w:pPr>
        <w:spacing w:after="200" w:line="276" w:lineRule="auto"/>
        <w:rPr>
          <w:sz w:val="20"/>
        </w:rPr>
      </w:pPr>
      <w:r w:rsidRPr="002858F9">
        <w:rPr>
          <w:iCs/>
          <w:sz w:val="20"/>
          <w:vertAlign w:val="superscript"/>
        </w:rPr>
        <w:t xml:space="preserve">3 </w:t>
      </w:r>
      <w:r w:rsidRPr="002858F9">
        <w:rPr>
          <w:iCs/>
          <w:sz w:val="20"/>
        </w:rPr>
        <w:t>Senior lecturer in law, Staffordshire University, UK.</w:t>
      </w:r>
    </w:p>
    <w:p w14:paraId="7DB24932" w14:textId="553EC3D2" w:rsidR="00760CD5" w:rsidRPr="0042503F" w:rsidRDefault="00760CD5" w:rsidP="00F57D4F">
      <w:pPr>
        <w:jc w:val="center"/>
        <w:rPr>
          <w:sz w:val="24"/>
          <w:szCs w:val="24"/>
        </w:rPr>
      </w:pPr>
    </w:p>
    <w:p w14:paraId="26E9F62E" w14:textId="77777777" w:rsidR="009F7CE1" w:rsidRDefault="009F7CE1" w:rsidP="00F57D4F">
      <w:pPr>
        <w:jc w:val="center"/>
        <w:rPr>
          <w:b/>
          <w:sz w:val="24"/>
          <w:szCs w:val="24"/>
        </w:rPr>
      </w:pPr>
    </w:p>
    <w:p w14:paraId="789606F8" w14:textId="7018E252" w:rsidR="009F7CE1" w:rsidRDefault="009F7CE1" w:rsidP="009F7CE1">
      <w:pPr>
        <w:jc w:val="center"/>
        <w:rPr>
          <w:sz w:val="24"/>
          <w:szCs w:val="24"/>
        </w:rPr>
      </w:pPr>
      <w:r w:rsidRPr="009F7CE1">
        <w:rPr>
          <w:sz w:val="24"/>
          <w:szCs w:val="24"/>
        </w:rPr>
        <w:t>Abstract</w:t>
      </w:r>
    </w:p>
    <w:p w14:paraId="466EE790" w14:textId="77777777" w:rsidR="007C3AFA" w:rsidRDefault="007C3AFA" w:rsidP="009F7CE1">
      <w:pPr>
        <w:jc w:val="center"/>
        <w:rPr>
          <w:sz w:val="24"/>
          <w:szCs w:val="24"/>
        </w:rPr>
      </w:pPr>
    </w:p>
    <w:p w14:paraId="1678AD46" w14:textId="77777777" w:rsidR="007C3AFA" w:rsidRPr="005321AC" w:rsidRDefault="007C3AFA" w:rsidP="007C3AFA">
      <w:pPr>
        <w:rPr>
          <w:sz w:val="24"/>
          <w:szCs w:val="24"/>
        </w:rPr>
      </w:pPr>
      <w:r w:rsidRPr="005321AC">
        <w:rPr>
          <w:sz w:val="24"/>
          <w:szCs w:val="24"/>
        </w:rPr>
        <w:t xml:space="preserve">In medical negligence litigation, the standard for breach of duty is measured against the </w:t>
      </w:r>
      <w:r w:rsidRPr="005321AC">
        <w:rPr>
          <w:i/>
          <w:sz w:val="24"/>
          <w:szCs w:val="24"/>
        </w:rPr>
        <w:t>Bolam</w:t>
      </w:r>
      <w:r w:rsidRPr="005321AC">
        <w:rPr>
          <w:sz w:val="24"/>
          <w:szCs w:val="24"/>
        </w:rPr>
        <w:t xml:space="preserve"> test</w:t>
      </w:r>
      <w:r>
        <w:rPr>
          <w:sz w:val="24"/>
          <w:szCs w:val="24"/>
        </w:rPr>
        <w:t xml:space="preserve"> </w:t>
      </w:r>
      <w:r w:rsidRPr="005321AC">
        <w:rPr>
          <w:sz w:val="24"/>
          <w:szCs w:val="24"/>
        </w:rPr>
        <w:t xml:space="preserve">which reflects </w:t>
      </w:r>
      <w:r>
        <w:rPr>
          <w:sz w:val="24"/>
          <w:szCs w:val="24"/>
        </w:rPr>
        <w:t xml:space="preserve">accepted </w:t>
      </w:r>
      <w:r w:rsidRPr="005321AC">
        <w:rPr>
          <w:sz w:val="24"/>
          <w:szCs w:val="24"/>
        </w:rPr>
        <w:t xml:space="preserve">practice.  Despite protracted debate and common law development, the </w:t>
      </w:r>
      <w:r w:rsidRPr="005321AC">
        <w:rPr>
          <w:i/>
          <w:sz w:val="24"/>
          <w:szCs w:val="24"/>
        </w:rPr>
        <w:t xml:space="preserve">Bolam </w:t>
      </w:r>
      <w:r w:rsidRPr="005321AC">
        <w:rPr>
          <w:sz w:val="24"/>
          <w:szCs w:val="24"/>
        </w:rPr>
        <w:t xml:space="preserve">standard remains the touchstone for litigation in this area. </w:t>
      </w:r>
      <w:r>
        <w:rPr>
          <w:sz w:val="24"/>
          <w:szCs w:val="24"/>
        </w:rPr>
        <w:t xml:space="preserve"> </w:t>
      </w:r>
      <w:r w:rsidRPr="005321AC">
        <w:rPr>
          <w:sz w:val="24"/>
          <w:szCs w:val="24"/>
        </w:rPr>
        <w:t xml:space="preserve">Clinical guidelines (CGs) are statements based upon best available medical evidence and are designed to </w:t>
      </w:r>
      <w:r>
        <w:rPr>
          <w:sz w:val="24"/>
          <w:szCs w:val="24"/>
        </w:rPr>
        <w:t xml:space="preserve">facilitate </w:t>
      </w:r>
      <w:r w:rsidRPr="005321AC">
        <w:rPr>
          <w:sz w:val="24"/>
          <w:szCs w:val="24"/>
        </w:rPr>
        <w:t xml:space="preserve">clinical decision-making to optimise outcomes thereby </w:t>
      </w:r>
      <w:r>
        <w:rPr>
          <w:sz w:val="24"/>
          <w:szCs w:val="24"/>
        </w:rPr>
        <w:t xml:space="preserve">reflecting expected </w:t>
      </w:r>
      <w:r w:rsidRPr="005321AC">
        <w:rPr>
          <w:sz w:val="24"/>
          <w:szCs w:val="24"/>
        </w:rPr>
        <w:t xml:space="preserve">practice.  Nevertheless, there is </w:t>
      </w:r>
      <w:r>
        <w:rPr>
          <w:sz w:val="24"/>
          <w:szCs w:val="24"/>
        </w:rPr>
        <w:t xml:space="preserve">little </w:t>
      </w:r>
      <w:r w:rsidRPr="005321AC">
        <w:rPr>
          <w:sz w:val="24"/>
          <w:szCs w:val="24"/>
        </w:rPr>
        <w:t>research that considers how CGs engage in litigation and their influence on judicial reasoning.  Given the increasing pressures on the NHS amid rising costs of litigation these are important issues</w:t>
      </w:r>
      <w:r>
        <w:rPr>
          <w:sz w:val="24"/>
          <w:szCs w:val="24"/>
        </w:rPr>
        <w:t xml:space="preserve">. </w:t>
      </w:r>
      <w:r w:rsidRPr="005321AC">
        <w:rPr>
          <w:sz w:val="24"/>
          <w:szCs w:val="24"/>
        </w:rPr>
        <w:t xml:space="preserve">This study provides an original contribution to the literature </w:t>
      </w:r>
      <w:r>
        <w:rPr>
          <w:sz w:val="24"/>
          <w:szCs w:val="24"/>
        </w:rPr>
        <w:t xml:space="preserve">on </w:t>
      </w:r>
      <w:r w:rsidRPr="005321AC">
        <w:rPr>
          <w:sz w:val="24"/>
          <w:szCs w:val="24"/>
        </w:rPr>
        <w:t>CGs in determining breach of duty</w:t>
      </w:r>
      <w:r>
        <w:rPr>
          <w:sz w:val="24"/>
          <w:szCs w:val="24"/>
        </w:rPr>
        <w:t xml:space="preserve"> in law</w:t>
      </w:r>
      <w:r w:rsidRPr="005321AC">
        <w:rPr>
          <w:sz w:val="24"/>
          <w:szCs w:val="24"/>
        </w:rPr>
        <w:t>. Using a mixed methods approach, data from multiple sources ha</w:t>
      </w:r>
      <w:r>
        <w:rPr>
          <w:sz w:val="24"/>
          <w:szCs w:val="24"/>
        </w:rPr>
        <w:t xml:space="preserve">ve </w:t>
      </w:r>
      <w:r w:rsidRPr="005321AC">
        <w:rPr>
          <w:sz w:val="24"/>
          <w:szCs w:val="24"/>
        </w:rPr>
        <w:t xml:space="preserve">been gathered and analysed to assess </w:t>
      </w:r>
      <w:r>
        <w:rPr>
          <w:sz w:val="24"/>
          <w:szCs w:val="24"/>
        </w:rPr>
        <w:t xml:space="preserve">the use of CGs </w:t>
      </w:r>
      <w:r w:rsidRPr="005321AC">
        <w:rPr>
          <w:sz w:val="24"/>
          <w:szCs w:val="24"/>
        </w:rPr>
        <w:t xml:space="preserve">by lawyers and the courts thereby adding to the discourse on </w:t>
      </w:r>
      <w:r>
        <w:rPr>
          <w:sz w:val="24"/>
          <w:szCs w:val="24"/>
        </w:rPr>
        <w:t xml:space="preserve">the </w:t>
      </w:r>
      <w:r w:rsidRPr="005321AC">
        <w:rPr>
          <w:sz w:val="24"/>
          <w:szCs w:val="24"/>
        </w:rPr>
        <w:t xml:space="preserve">judicial shift away from deference to </w:t>
      </w:r>
      <w:r w:rsidRPr="005321AC">
        <w:rPr>
          <w:i/>
          <w:sz w:val="24"/>
          <w:szCs w:val="24"/>
        </w:rPr>
        <w:t>Bolam</w:t>
      </w:r>
      <w:r w:rsidRPr="005321AC">
        <w:rPr>
          <w:sz w:val="24"/>
          <w:szCs w:val="24"/>
        </w:rPr>
        <w:t xml:space="preserve">. </w:t>
      </w:r>
      <w:r>
        <w:rPr>
          <w:sz w:val="24"/>
          <w:szCs w:val="24"/>
        </w:rPr>
        <w:t xml:space="preserve"> </w:t>
      </w:r>
      <w:r w:rsidRPr="005321AC">
        <w:rPr>
          <w:sz w:val="24"/>
          <w:szCs w:val="24"/>
        </w:rPr>
        <w:t xml:space="preserve">It concludes by offering a conceptual basis for use of CGs within a framework for reasonableness </w:t>
      </w:r>
      <w:r>
        <w:rPr>
          <w:sz w:val="24"/>
          <w:szCs w:val="24"/>
        </w:rPr>
        <w:t xml:space="preserve">and promotes their </w:t>
      </w:r>
      <w:r w:rsidRPr="005321AC">
        <w:rPr>
          <w:sz w:val="24"/>
          <w:szCs w:val="24"/>
        </w:rPr>
        <w:t>principled use</w:t>
      </w:r>
      <w:r>
        <w:rPr>
          <w:sz w:val="24"/>
          <w:szCs w:val="24"/>
        </w:rPr>
        <w:t xml:space="preserve"> </w:t>
      </w:r>
      <w:r w:rsidRPr="005321AC">
        <w:rPr>
          <w:sz w:val="24"/>
          <w:szCs w:val="24"/>
        </w:rPr>
        <w:t xml:space="preserve">while avoiding </w:t>
      </w:r>
      <w:r>
        <w:rPr>
          <w:sz w:val="24"/>
          <w:szCs w:val="24"/>
        </w:rPr>
        <w:t xml:space="preserve">constraints on </w:t>
      </w:r>
      <w:r w:rsidRPr="005321AC">
        <w:rPr>
          <w:sz w:val="24"/>
          <w:szCs w:val="24"/>
        </w:rPr>
        <w:t xml:space="preserve">expert testimony, experience and exercise of clinical discretion. This study has relevance for </w:t>
      </w:r>
      <w:r>
        <w:rPr>
          <w:sz w:val="24"/>
          <w:szCs w:val="24"/>
        </w:rPr>
        <w:t xml:space="preserve">academics, </w:t>
      </w:r>
      <w:r w:rsidRPr="005321AC">
        <w:rPr>
          <w:sz w:val="24"/>
          <w:szCs w:val="24"/>
        </w:rPr>
        <w:t xml:space="preserve">legal and medical practitioners </w:t>
      </w:r>
      <w:r>
        <w:rPr>
          <w:sz w:val="24"/>
          <w:szCs w:val="24"/>
        </w:rPr>
        <w:t xml:space="preserve">and policy makers. </w:t>
      </w:r>
      <w:r w:rsidRPr="005321AC">
        <w:rPr>
          <w:sz w:val="24"/>
          <w:szCs w:val="24"/>
        </w:rPr>
        <w:t xml:space="preserve">   </w:t>
      </w:r>
    </w:p>
    <w:p w14:paraId="27B64BD1" w14:textId="77777777" w:rsidR="007C3AFA" w:rsidRDefault="007C3AFA" w:rsidP="007C3AFA">
      <w:pPr>
        <w:jc w:val="left"/>
        <w:rPr>
          <w:sz w:val="24"/>
          <w:szCs w:val="24"/>
        </w:rPr>
      </w:pPr>
    </w:p>
    <w:p w14:paraId="5F6D8957" w14:textId="03627576" w:rsidR="00130DF3" w:rsidRDefault="00130DF3" w:rsidP="007C3AFA">
      <w:pPr>
        <w:jc w:val="left"/>
        <w:rPr>
          <w:sz w:val="24"/>
          <w:szCs w:val="24"/>
        </w:rPr>
      </w:pPr>
      <w:r>
        <w:rPr>
          <w:sz w:val="24"/>
          <w:szCs w:val="24"/>
        </w:rPr>
        <w:t xml:space="preserve">Key words: </w:t>
      </w:r>
    </w:p>
    <w:p w14:paraId="2E964424" w14:textId="19939B0B" w:rsidR="009F7CE1" w:rsidRDefault="00F93803" w:rsidP="009F7CE1">
      <w:pPr>
        <w:jc w:val="left"/>
        <w:rPr>
          <w:b/>
          <w:sz w:val="24"/>
          <w:szCs w:val="24"/>
        </w:rPr>
      </w:pPr>
      <w:r>
        <w:rPr>
          <w:sz w:val="24"/>
          <w:szCs w:val="24"/>
        </w:rPr>
        <w:t>Breach of duty; clinical guidelines; doctors; n</w:t>
      </w:r>
      <w:r w:rsidR="00DD465E">
        <w:rPr>
          <w:sz w:val="24"/>
          <w:szCs w:val="24"/>
        </w:rPr>
        <w:t xml:space="preserve">egligence; </w:t>
      </w:r>
      <w:r>
        <w:rPr>
          <w:sz w:val="24"/>
          <w:szCs w:val="24"/>
        </w:rPr>
        <w:t xml:space="preserve">reasonableness; </w:t>
      </w:r>
      <w:r w:rsidR="00DD465E">
        <w:rPr>
          <w:sz w:val="24"/>
          <w:szCs w:val="24"/>
        </w:rPr>
        <w:t>standard of care</w:t>
      </w:r>
      <w:r>
        <w:rPr>
          <w:sz w:val="24"/>
          <w:szCs w:val="24"/>
        </w:rPr>
        <w:t>.</w:t>
      </w:r>
      <w:r w:rsidR="00DD465E">
        <w:rPr>
          <w:sz w:val="24"/>
          <w:szCs w:val="24"/>
        </w:rPr>
        <w:t xml:space="preserve"> </w:t>
      </w:r>
    </w:p>
    <w:p w14:paraId="0A4D0F93" w14:textId="77777777" w:rsidR="007026C7" w:rsidRDefault="007026C7" w:rsidP="00F57D4F">
      <w:pPr>
        <w:jc w:val="center"/>
        <w:rPr>
          <w:b/>
          <w:sz w:val="24"/>
          <w:szCs w:val="24"/>
        </w:rPr>
      </w:pPr>
    </w:p>
    <w:p w14:paraId="67D1AF9D" w14:textId="2AFEF257" w:rsidR="0067138A" w:rsidRPr="00F57D4F" w:rsidRDefault="00F57D4F" w:rsidP="00F57D4F">
      <w:pPr>
        <w:jc w:val="center"/>
        <w:rPr>
          <w:sz w:val="24"/>
          <w:szCs w:val="24"/>
        </w:rPr>
      </w:pPr>
      <w:r w:rsidRPr="00F57D4F">
        <w:rPr>
          <w:b/>
          <w:sz w:val="24"/>
          <w:szCs w:val="24"/>
        </w:rPr>
        <w:t>I. INTRODUCTION</w:t>
      </w:r>
    </w:p>
    <w:p w14:paraId="68BCAB2E" w14:textId="77777777" w:rsidR="0067138A" w:rsidRDefault="0067138A" w:rsidP="0067138A">
      <w:pPr>
        <w:spacing w:line="276" w:lineRule="auto"/>
        <w:rPr>
          <w:sz w:val="24"/>
          <w:szCs w:val="24"/>
        </w:rPr>
      </w:pPr>
    </w:p>
    <w:p w14:paraId="724AF78B" w14:textId="722498C8" w:rsidR="0067138A" w:rsidRPr="00C41814" w:rsidRDefault="0067138A" w:rsidP="008E5806">
      <w:pPr>
        <w:spacing w:line="360" w:lineRule="auto"/>
        <w:rPr>
          <w:sz w:val="24"/>
          <w:szCs w:val="24"/>
        </w:rPr>
      </w:pPr>
      <w:r w:rsidRPr="00C41814">
        <w:rPr>
          <w:sz w:val="24"/>
          <w:szCs w:val="24"/>
        </w:rPr>
        <w:t xml:space="preserve">The standard for breach of duty in medical negligence litigation is measured against the </w:t>
      </w:r>
      <w:r w:rsidRPr="00C41814">
        <w:rPr>
          <w:i/>
          <w:sz w:val="24"/>
          <w:szCs w:val="24"/>
        </w:rPr>
        <w:t>Bolam</w:t>
      </w:r>
      <w:r w:rsidRPr="00C41814">
        <w:rPr>
          <w:sz w:val="24"/>
          <w:szCs w:val="24"/>
        </w:rPr>
        <w:t xml:space="preserve"> test</w:t>
      </w:r>
      <w:r w:rsidR="00460653" w:rsidRPr="00C41814">
        <w:rPr>
          <w:sz w:val="24"/>
          <w:szCs w:val="24"/>
        </w:rPr>
        <w:t xml:space="preserve"> in that </w:t>
      </w:r>
      <w:r w:rsidRPr="00C41814">
        <w:rPr>
          <w:sz w:val="24"/>
          <w:szCs w:val="24"/>
        </w:rPr>
        <w:t>a doctor “is not guilty of negligence if he has acted in accordance with [a] practice accepted as proper by a responsible body of medical men skilled in that particular art.”</w:t>
      </w:r>
      <w:r w:rsidRPr="00C41814">
        <w:rPr>
          <w:sz w:val="24"/>
          <w:szCs w:val="24"/>
          <w:vertAlign w:val="superscript"/>
        </w:rPr>
        <w:footnoteReference w:id="1"/>
      </w:r>
      <w:r w:rsidRPr="00C41814">
        <w:rPr>
          <w:sz w:val="24"/>
          <w:szCs w:val="24"/>
        </w:rPr>
        <w:t xml:space="preserve">  </w:t>
      </w:r>
      <w:r w:rsidRPr="00C41814">
        <w:rPr>
          <w:sz w:val="24"/>
          <w:szCs w:val="24"/>
        </w:rPr>
        <w:lastRenderedPageBreak/>
        <w:t xml:space="preserve">Application of the </w:t>
      </w:r>
      <w:r w:rsidRPr="00C41814">
        <w:rPr>
          <w:i/>
          <w:sz w:val="24"/>
          <w:szCs w:val="24"/>
        </w:rPr>
        <w:t xml:space="preserve">Bolam </w:t>
      </w:r>
      <w:r w:rsidRPr="00C41814">
        <w:rPr>
          <w:sz w:val="24"/>
          <w:szCs w:val="24"/>
        </w:rPr>
        <w:t>test, along</w:t>
      </w:r>
      <w:r w:rsidR="008B117A" w:rsidRPr="00C41814">
        <w:rPr>
          <w:sz w:val="24"/>
          <w:szCs w:val="24"/>
        </w:rPr>
        <w:t xml:space="preserve">side </w:t>
      </w:r>
      <w:r w:rsidRPr="00C41814">
        <w:rPr>
          <w:sz w:val="24"/>
          <w:szCs w:val="24"/>
        </w:rPr>
        <w:t xml:space="preserve">deference to medical expert </w:t>
      </w:r>
      <w:r w:rsidR="006B7316" w:rsidRPr="00C41814">
        <w:rPr>
          <w:sz w:val="24"/>
          <w:szCs w:val="24"/>
        </w:rPr>
        <w:t xml:space="preserve">testimony </w:t>
      </w:r>
      <w:r w:rsidRPr="00C41814">
        <w:rPr>
          <w:sz w:val="24"/>
          <w:szCs w:val="24"/>
        </w:rPr>
        <w:t xml:space="preserve">has </w:t>
      </w:r>
      <w:r w:rsidR="00460653" w:rsidRPr="00C41814">
        <w:rPr>
          <w:sz w:val="24"/>
          <w:szCs w:val="24"/>
        </w:rPr>
        <w:t xml:space="preserve">long </w:t>
      </w:r>
      <w:r w:rsidRPr="00C41814">
        <w:rPr>
          <w:sz w:val="24"/>
          <w:szCs w:val="24"/>
        </w:rPr>
        <w:t xml:space="preserve">been regarded as secession of judicial authority to doctors in setting the standard </w:t>
      </w:r>
      <w:r w:rsidR="00460653" w:rsidRPr="00C41814">
        <w:rPr>
          <w:sz w:val="24"/>
          <w:szCs w:val="24"/>
        </w:rPr>
        <w:t>of care</w:t>
      </w:r>
      <w:r w:rsidR="008B117A" w:rsidRPr="00C41814">
        <w:rPr>
          <w:sz w:val="24"/>
          <w:szCs w:val="24"/>
        </w:rPr>
        <w:t>.</w:t>
      </w:r>
      <w:r w:rsidRPr="00C41814">
        <w:rPr>
          <w:sz w:val="24"/>
          <w:szCs w:val="24"/>
          <w:vertAlign w:val="superscript"/>
        </w:rPr>
        <w:footnoteReference w:id="2"/>
      </w:r>
      <w:r w:rsidRPr="00C41814">
        <w:rPr>
          <w:sz w:val="24"/>
          <w:szCs w:val="24"/>
        </w:rPr>
        <w:t xml:space="preserve"> McNair J</w:t>
      </w:r>
      <w:r w:rsidR="00A80BFD" w:rsidRPr="00C41814">
        <w:rPr>
          <w:sz w:val="24"/>
          <w:szCs w:val="24"/>
        </w:rPr>
        <w:t xml:space="preserve">’s pronouncement </w:t>
      </w:r>
      <w:r w:rsidR="002B3760" w:rsidRPr="00C41814">
        <w:rPr>
          <w:sz w:val="24"/>
          <w:szCs w:val="24"/>
        </w:rPr>
        <w:t>that “a doctor is not negligent, if he is acting in accordance with … a practice [accepted as proper by a responsible body of doctors], merely because there is a body of opinion that takes a contrary view</w:t>
      </w:r>
      <w:r w:rsidR="008327E8" w:rsidRPr="00C41814">
        <w:rPr>
          <w:sz w:val="24"/>
          <w:szCs w:val="24"/>
        </w:rPr>
        <w:t xml:space="preserve">,” </w:t>
      </w:r>
      <w:r w:rsidR="002B3760" w:rsidRPr="00C41814">
        <w:rPr>
          <w:sz w:val="24"/>
          <w:szCs w:val="24"/>
        </w:rPr>
        <w:t xml:space="preserve">seems </w:t>
      </w:r>
      <w:r w:rsidRPr="00C41814">
        <w:rPr>
          <w:sz w:val="24"/>
          <w:szCs w:val="24"/>
        </w:rPr>
        <w:t xml:space="preserve">to have created a traction that inhibits judicial </w:t>
      </w:r>
      <w:r w:rsidR="002B3760" w:rsidRPr="00C41814">
        <w:rPr>
          <w:sz w:val="24"/>
          <w:szCs w:val="24"/>
        </w:rPr>
        <w:t xml:space="preserve">challenge </w:t>
      </w:r>
      <w:r w:rsidRPr="00C41814">
        <w:rPr>
          <w:sz w:val="24"/>
          <w:szCs w:val="24"/>
        </w:rPr>
        <w:t xml:space="preserve">of expert opinion. </w:t>
      </w:r>
      <w:r w:rsidR="006F5845" w:rsidRPr="00C41814">
        <w:rPr>
          <w:sz w:val="24"/>
          <w:szCs w:val="24"/>
        </w:rPr>
        <w:t xml:space="preserve"> In fact, it is </w:t>
      </w:r>
      <w:r w:rsidRPr="00C41814">
        <w:rPr>
          <w:sz w:val="24"/>
          <w:szCs w:val="24"/>
        </w:rPr>
        <w:t xml:space="preserve">commonly understood that where there are differing schools of thought, doctors cannot be negligent if a professional and responsible opinion </w:t>
      </w:r>
      <w:r w:rsidR="00460653" w:rsidRPr="00C41814">
        <w:rPr>
          <w:sz w:val="24"/>
          <w:szCs w:val="24"/>
        </w:rPr>
        <w:t xml:space="preserve">considers </w:t>
      </w:r>
      <w:r w:rsidRPr="00C41814">
        <w:rPr>
          <w:sz w:val="24"/>
          <w:szCs w:val="24"/>
        </w:rPr>
        <w:t xml:space="preserve">their conduct </w:t>
      </w:r>
      <w:r w:rsidR="00460653" w:rsidRPr="00C41814">
        <w:rPr>
          <w:sz w:val="24"/>
          <w:szCs w:val="24"/>
        </w:rPr>
        <w:t xml:space="preserve">to be </w:t>
      </w:r>
      <w:r w:rsidRPr="00C41814">
        <w:rPr>
          <w:sz w:val="24"/>
          <w:szCs w:val="24"/>
        </w:rPr>
        <w:t xml:space="preserve">acceptable </w:t>
      </w:r>
      <w:r w:rsidR="006F5845" w:rsidRPr="00C41814">
        <w:rPr>
          <w:sz w:val="24"/>
          <w:szCs w:val="24"/>
        </w:rPr>
        <w:t xml:space="preserve">even if it was </w:t>
      </w:r>
      <w:r w:rsidRPr="00C41814">
        <w:rPr>
          <w:sz w:val="24"/>
          <w:szCs w:val="24"/>
        </w:rPr>
        <w:t>rejected by the bulk of expert opinion.</w:t>
      </w:r>
      <w:r w:rsidRPr="00C41814">
        <w:rPr>
          <w:sz w:val="24"/>
          <w:szCs w:val="24"/>
          <w:vertAlign w:val="superscript"/>
        </w:rPr>
        <w:footnoteReference w:id="3"/>
      </w:r>
      <w:r w:rsidRPr="00C41814">
        <w:rPr>
          <w:sz w:val="24"/>
          <w:szCs w:val="24"/>
        </w:rPr>
        <w:t xml:space="preserve">  </w:t>
      </w:r>
    </w:p>
    <w:p w14:paraId="68B995B0" w14:textId="77777777" w:rsidR="00BC5114" w:rsidRPr="00C41814" w:rsidRDefault="00BC5114" w:rsidP="008E5806">
      <w:pPr>
        <w:spacing w:line="360" w:lineRule="auto"/>
        <w:rPr>
          <w:sz w:val="24"/>
          <w:szCs w:val="24"/>
        </w:rPr>
      </w:pPr>
    </w:p>
    <w:p w14:paraId="6C2B5AD0" w14:textId="12374A8D" w:rsidR="00B15B6E" w:rsidRPr="00C41814" w:rsidRDefault="0067138A" w:rsidP="008E5806">
      <w:pPr>
        <w:spacing w:line="360" w:lineRule="auto"/>
        <w:rPr>
          <w:sz w:val="24"/>
          <w:szCs w:val="24"/>
        </w:rPr>
      </w:pPr>
      <w:r w:rsidRPr="00C41814">
        <w:rPr>
          <w:sz w:val="24"/>
          <w:szCs w:val="24"/>
        </w:rPr>
        <w:t xml:space="preserve">The advent of </w:t>
      </w:r>
      <w:r w:rsidRPr="00C41814">
        <w:rPr>
          <w:i/>
          <w:sz w:val="24"/>
          <w:szCs w:val="24"/>
        </w:rPr>
        <w:t>Bolitho</w:t>
      </w:r>
      <w:r w:rsidRPr="00C41814">
        <w:rPr>
          <w:sz w:val="24"/>
          <w:szCs w:val="24"/>
        </w:rPr>
        <w:t xml:space="preserve"> </w:t>
      </w:r>
      <w:r w:rsidR="00460653" w:rsidRPr="00C41814">
        <w:rPr>
          <w:sz w:val="24"/>
          <w:szCs w:val="24"/>
        </w:rPr>
        <w:t xml:space="preserve">promised </w:t>
      </w:r>
      <w:r w:rsidRPr="00C41814">
        <w:rPr>
          <w:sz w:val="24"/>
          <w:szCs w:val="24"/>
        </w:rPr>
        <w:t xml:space="preserve">some </w:t>
      </w:r>
      <w:r w:rsidR="00460653" w:rsidRPr="00C41814">
        <w:rPr>
          <w:sz w:val="24"/>
          <w:szCs w:val="24"/>
        </w:rPr>
        <w:t xml:space="preserve">retrieval </w:t>
      </w:r>
      <w:r w:rsidRPr="00C41814">
        <w:rPr>
          <w:sz w:val="24"/>
          <w:szCs w:val="24"/>
        </w:rPr>
        <w:t xml:space="preserve">of </w:t>
      </w:r>
      <w:r w:rsidR="00460653" w:rsidRPr="00C41814">
        <w:rPr>
          <w:sz w:val="24"/>
          <w:szCs w:val="24"/>
        </w:rPr>
        <w:t xml:space="preserve">judicial </w:t>
      </w:r>
      <w:r w:rsidRPr="00C41814">
        <w:rPr>
          <w:sz w:val="24"/>
          <w:szCs w:val="24"/>
        </w:rPr>
        <w:t>authority</w:t>
      </w:r>
      <w:r w:rsidR="00460653" w:rsidRPr="00C41814">
        <w:rPr>
          <w:sz w:val="24"/>
          <w:szCs w:val="24"/>
        </w:rPr>
        <w:t>.</w:t>
      </w:r>
      <w:r w:rsidRPr="00C41814">
        <w:rPr>
          <w:sz w:val="24"/>
          <w:szCs w:val="24"/>
        </w:rPr>
        <w:t xml:space="preserve">  In the only substantive speech</w:t>
      </w:r>
      <w:r w:rsidR="008677B2" w:rsidRPr="00C41814">
        <w:rPr>
          <w:sz w:val="24"/>
          <w:szCs w:val="24"/>
        </w:rPr>
        <w:t xml:space="preserve">, </w:t>
      </w:r>
      <w:r w:rsidRPr="00C41814">
        <w:rPr>
          <w:sz w:val="24"/>
          <w:szCs w:val="24"/>
        </w:rPr>
        <w:t>Lord Browne-Wilkinson</w:t>
      </w:r>
      <w:r w:rsidR="008677B2" w:rsidRPr="00C41814">
        <w:rPr>
          <w:sz w:val="24"/>
          <w:szCs w:val="24"/>
        </w:rPr>
        <w:t xml:space="preserve"> </w:t>
      </w:r>
      <w:r w:rsidRPr="00C41814">
        <w:rPr>
          <w:sz w:val="24"/>
          <w:szCs w:val="24"/>
        </w:rPr>
        <w:t>stated (in relation to diagnosis and treatment) that</w:t>
      </w:r>
      <w:r w:rsidR="008327E8" w:rsidRPr="00C41814">
        <w:rPr>
          <w:sz w:val="24"/>
          <w:szCs w:val="24"/>
        </w:rPr>
        <w:t xml:space="preserve"> t</w:t>
      </w:r>
      <w:r w:rsidRPr="00C41814">
        <w:rPr>
          <w:sz w:val="24"/>
          <w:szCs w:val="24"/>
        </w:rPr>
        <w:t xml:space="preserve">he court </w:t>
      </w:r>
      <w:r w:rsidR="008327E8" w:rsidRPr="00C41814">
        <w:rPr>
          <w:sz w:val="24"/>
          <w:szCs w:val="24"/>
        </w:rPr>
        <w:t>must “</w:t>
      </w:r>
      <w:r w:rsidRPr="00C41814">
        <w:rPr>
          <w:sz w:val="24"/>
          <w:szCs w:val="24"/>
        </w:rPr>
        <w:t>be satisfied that the exponents of the body of opinion relied upon can demonstrate that such an opinion has a logical basis.”</w:t>
      </w:r>
      <w:r w:rsidRPr="00C41814">
        <w:rPr>
          <w:sz w:val="24"/>
          <w:szCs w:val="24"/>
          <w:vertAlign w:val="superscript"/>
        </w:rPr>
        <w:footnoteReference w:id="4"/>
      </w:r>
      <w:r w:rsidRPr="00C41814">
        <w:rPr>
          <w:sz w:val="24"/>
          <w:szCs w:val="24"/>
        </w:rPr>
        <w:t xml:space="preserve"> The concept of ‘logical basis’ has received </w:t>
      </w:r>
      <w:r w:rsidR="005D39F5" w:rsidRPr="00C41814">
        <w:rPr>
          <w:sz w:val="24"/>
          <w:szCs w:val="24"/>
        </w:rPr>
        <w:t xml:space="preserve">considerable </w:t>
      </w:r>
      <w:r w:rsidRPr="00C41814">
        <w:rPr>
          <w:sz w:val="24"/>
          <w:szCs w:val="24"/>
        </w:rPr>
        <w:t>attention.</w:t>
      </w:r>
      <w:r w:rsidRPr="00C41814">
        <w:rPr>
          <w:sz w:val="24"/>
          <w:szCs w:val="24"/>
          <w:vertAlign w:val="superscript"/>
        </w:rPr>
        <w:footnoteReference w:id="5"/>
      </w:r>
      <w:r w:rsidRPr="00C41814">
        <w:rPr>
          <w:sz w:val="24"/>
          <w:szCs w:val="24"/>
        </w:rPr>
        <w:t xml:space="preserve"> The </w:t>
      </w:r>
      <w:r w:rsidR="00460653" w:rsidRPr="00C41814">
        <w:rPr>
          <w:sz w:val="24"/>
          <w:szCs w:val="24"/>
        </w:rPr>
        <w:t xml:space="preserve">so-called </w:t>
      </w:r>
      <w:r w:rsidRPr="00C41814">
        <w:rPr>
          <w:sz w:val="24"/>
          <w:szCs w:val="24"/>
        </w:rPr>
        <w:t xml:space="preserve">“gloss” that </w:t>
      </w:r>
      <w:r w:rsidRPr="00C41814">
        <w:rPr>
          <w:i/>
          <w:sz w:val="24"/>
          <w:szCs w:val="24"/>
        </w:rPr>
        <w:t>Bolitho</w:t>
      </w:r>
      <w:r w:rsidRPr="00C41814">
        <w:rPr>
          <w:sz w:val="24"/>
          <w:szCs w:val="24"/>
        </w:rPr>
        <w:t xml:space="preserve"> </w:t>
      </w:r>
      <w:r w:rsidR="00B15B6E" w:rsidRPr="00C41814">
        <w:rPr>
          <w:sz w:val="24"/>
          <w:szCs w:val="24"/>
        </w:rPr>
        <w:t>applie</w:t>
      </w:r>
      <w:r w:rsidR="00D77520" w:rsidRPr="00C41814">
        <w:rPr>
          <w:sz w:val="24"/>
          <w:szCs w:val="24"/>
        </w:rPr>
        <w:t>s</w:t>
      </w:r>
      <w:r w:rsidR="00B15B6E" w:rsidRPr="00C41814">
        <w:rPr>
          <w:sz w:val="24"/>
          <w:szCs w:val="24"/>
        </w:rPr>
        <w:t xml:space="preserve"> </w:t>
      </w:r>
      <w:r w:rsidR="00460653" w:rsidRPr="00C41814">
        <w:rPr>
          <w:sz w:val="24"/>
          <w:szCs w:val="24"/>
        </w:rPr>
        <w:t xml:space="preserve">to </w:t>
      </w:r>
      <w:r w:rsidRPr="00C41814">
        <w:rPr>
          <w:sz w:val="24"/>
          <w:szCs w:val="24"/>
        </w:rPr>
        <w:t xml:space="preserve">the </w:t>
      </w:r>
      <w:r w:rsidRPr="00C41814">
        <w:rPr>
          <w:i/>
          <w:sz w:val="24"/>
          <w:szCs w:val="24"/>
        </w:rPr>
        <w:t>Bolam</w:t>
      </w:r>
      <w:r w:rsidRPr="00C41814">
        <w:rPr>
          <w:sz w:val="24"/>
          <w:szCs w:val="24"/>
        </w:rPr>
        <w:t xml:space="preserve"> standard has been interpreted as presaging a shift from </w:t>
      </w:r>
      <w:r w:rsidR="00B15B6E" w:rsidRPr="00C41814">
        <w:rPr>
          <w:sz w:val="24"/>
          <w:szCs w:val="24"/>
        </w:rPr>
        <w:t xml:space="preserve">unqualified </w:t>
      </w:r>
      <w:r w:rsidRPr="00C41814">
        <w:rPr>
          <w:sz w:val="24"/>
          <w:szCs w:val="24"/>
        </w:rPr>
        <w:t>acceptance of medical opinion, to one of a more inquisitorial approach</w:t>
      </w:r>
      <w:r w:rsidR="00B75CB3" w:rsidRPr="00C41814">
        <w:rPr>
          <w:sz w:val="24"/>
          <w:szCs w:val="24"/>
        </w:rPr>
        <w:t xml:space="preserve"> by the court. </w:t>
      </w:r>
      <w:r w:rsidRPr="00C41814">
        <w:rPr>
          <w:sz w:val="24"/>
          <w:szCs w:val="24"/>
        </w:rPr>
        <w:t xml:space="preserve"> This raises the question </w:t>
      </w:r>
      <w:r w:rsidR="00B15B6E" w:rsidRPr="00C41814">
        <w:rPr>
          <w:sz w:val="24"/>
          <w:szCs w:val="24"/>
        </w:rPr>
        <w:t xml:space="preserve">as to whether </w:t>
      </w:r>
      <w:r w:rsidRPr="00C41814">
        <w:rPr>
          <w:sz w:val="24"/>
          <w:szCs w:val="24"/>
        </w:rPr>
        <w:t>a set of objective standards</w:t>
      </w:r>
      <w:r w:rsidR="00B15B6E" w:rsidRPr="00C41814">
        <w:rPr>
          <w:sz w:val="24"/>
          <w:szCs w:val="24"/>
        </w:rPr>
        <w:t xml:space="preserve"> might usefully </w:t>
      </w:r>
      <w:r w:rsidRPr="00C41814">
        <w:rPr>
          <w:sz w:val="24"/>
          <w:szCs w:val="24"/>
        </w:rPr>
        <w:t xml:space="preserve">provide the court with the knowledge and assurance of </w:t>
      </w:r>
      <w:r w:rsidR="001D7AD2" w:rsidRPr="00C41814">
        <w:rPr>
          <w:sz w:val="24"/>
          <w:szCs w:val="24"/>
        </w:rPr>
        <w:t xml:space="preserve">the </w:t>
      </w:r>
      <w:r w:rsidRPr="00C41814">
        <w:rPr>
          <w:sz w:val="24"/>
          <w:szCs w:val="24"/>
        </w:rPr>
        <w:t xml:space="preserve">standard </w:t>
      </w:r>
      <w:r w:rsidR="001D7AD2" w:rsidRPr="00C41814">
        <w:rPr>
          <w:sz w:val="24"/>
          <w:szCs w:val="24"/>
        </w:rPr>
        <w:t xml:space="preserve">expected </w:t>
      </w:r>
      <w:r w:rsidRPr="00C41814">
        <w:rPr>
          <w:sz w:val="24"/>
          <w:szCs w:val="24"/>
        </w:rPr>
        <w:t xml:space="preserve">against which breach of duty </w:t>
      </w:r>
      <w:r w:rsidR="00EF469E" w:rsidRPr="00C41814">
        <w:rPr>
          <w:sz w:val="24"/>
          <w:szCs w:val="24"/>
        </w:rPr>
        <w:t xml:space="preserve">can </w:t>
      </w:r>
      <w:r w:rsidRPr="00C41814">
        <w:rPr>
          <w:sz w:val="24"/>
          <w:szCs w:val="24"/>
        </w:rPr>
        <w:t xml:space="preserve">be </w:t>
      </w:r>
      <w:r w:rsidR="00B15B6E" w:rsidRPr="00C41814">
        <w:rPr>
          <w:sz w:val="24"/>
          <w:szCs w:val="24"/>
        </w:rPr>
        <w:t>measured.</w:t>
      </w:r>
      <w:r w:rsidRPr="00C41814">
        <w:rPr>
          <w:sz w:val="24"/>
          <w:szCs w:val="24"/>
        </w:rPr>
        <w:t xml:space="preserve"> </w:t>
      </w:r>
    </w:p>
    <w:p w14:paraId="1E0DBA36" w14:textId="77777777" w:rsidR="00B15B6E" w:rsidRPr="00C41814" w:rsidRDefault="00B15B6E" w:rsidP="008E5806">
      <w:pPr>
        <w:spacing w:line="360" w:lineRule="auto"/>
        <w:rPr>
          <w:sz w:val="24"/>
          <w:szCs w:val="24"/>
        </w:rPr>
      </w:pPr>
    </w:p>
    <w:p w14:paraId="36B42B8C" w14:textId="4BC3C970" w:rsidR="0067138A" w:rsidRPr="00C41814" w:rsidRDefault="0067138A" w:rsidP="008E5806">
      <w:pPr>
        <w:spacing w:line="360" w:lineRule="auto"/>
        <w:rPr>
          <w:sz w:val="24"/>
          <w:szCs w:val="24"/>
          <w:lang w:val="en"/>
        </w:rPr>
      </w:pPr>
      <w:r w:rsidRPr="00C41814">
        <w:rPr>
          <w:rFonts w:cstheme="minorHAnsi"/>
          <w:sz w:val="24"/>
          <w:szCs w:val="24"/>
        </w:rPr>
        <w:t xml:space="preserve">Clinical guidelines (CGs) are statements produced upon the best available evidence and are designed to assist clinicians </w:t>
      </w:r>
      <w:r w:rsidR="00B15B6E" w:rsidRPr="00C41814">
        <w:rPr>
          <w:rFonts w:cstheme="minorHAnsi"/>
          <w:sz w:val="24"/>
          <w:szCs w:val="24"/>
        </w:rPr>
        <w:t xml:space="preserve">to make </w:t>
      </w:r>
      <w:r w:rsidRPr="00C41814">
        <w:rPr>
          <w:rFonts w:cstheme="minorHAnsi"/>
          <w:sz w:val="24"/>
          <w:szCs w:val="24"/>
        </w:rPr>
        <w:t xml:space="preserve">optimal decisions about clinical care </w:t>
      </w:r>
      <w:r w:rsidRPr="00C41814">
        <w:rPr>
          <w:sz w:val="24"/>
          <w:szCs w:val="24"/>
          <w:lang w:val="en"/>
        </w:rPr>
        <w:t xml:space="preserve">by </w:t>
      </w:r>
      <w:r w:rsidR="005D39F5" w:rsidRPr="00C41814">
        <w:rPr>
          <w:sz w:val="24"/>
          <w:szCs w:val="24"/>
          <w:lang w:val="en"/>
        </w:rPr>
        <w:t xml:space="preserve">promoting </w:t>
      </w:r>
      <w:r w:rsidRPr="00C41814">
        <w:rPr>
          <w:sz w:val="24"/>
          <w:szCs w:val="24"/>
          <w:lang w:val="en"/>
        </w:rPr>
        <w:t xml:space="preserve">interventions of proven benefit. </w:t>
      </w:r>
      <w:r w:rsidR="00B15B6E" w:rsidRPr="00C41814">
        <w:rPr>
          <w:sz w:val="24"/>
          <w:szCs w:val="24"/>
          <w:lang w:val="en"/>
        </w:rPr>
        <w:t xml:space="preserve">Evidence-based guidelines aim to promote consistency </w:t>
      </w:r>
      <w:r w:rsidR="006B7316" w:rsidRPr="00C41814">
        <w:rPr>
          <w:sz w:val="24"/>
          <w:szCs w:val="24"/>
          <w:lang w:val="en"/>
        </w:rPr>
        <w:t xml:space="preserve">of </w:t>
      </w:r>
      <w:r w:rsidR="00B15B6E" w:rsidRPr="00C41814">
        <w:rPr>
          <w:sz w:val="24"/>
          <w:szCs w:val="24"/>
          <w:lang w:val="en"/>
        </w:rPr>
        <w:t>clinical decision-making and narrow the gap between practice and best evidence from research.</w:t>
      </w:r>
      <w:r w:rsidR="00B15B6E" w:rsidRPr="00C41814">
        <w:rPr>
          <w:sz w:val="24"/>
          <w:szCs w:val="24"/>
          <w:vertAlign w:val="superscript"/>
          <w:lang w:val="en"/>
        </w:rPr>
        <w:footnoteReference w:id="6"/>
      </w:r>
      <w:r w:rsidR="00B15B6E" w:rsidRPr="00C41814">
        <w:rPr>
          <w:sz w:val="24"/>
          <w:szCs w:val="24"/>
          <w:lang w:val="en"/>
        </w:rPr>
        <w:t xml:space="preserve">  </w:t>
      </w:r>
      <w:r w:rsidRPr="00C41814">
        <w:rPr>
          <w:rFonts w:cstheme="minorHAnsi"/>
          <w:sz w:val="24"/>
          <w:szCs w:val="24"/>
        </w:rPr>
        <w:t xml:space="preserve">Their uptake and proliferation across the globe is testament to concerns shared by all contemporary healthcare systems: the ongoing </w:t>
      </w:r>
      <w:r w:rsidRPr="00C41814">
        <w:rPr>
          <w:sz w:val="24"/>
          <w:szCs w:val="24"/>
          <w:lang w:val="en"/>
        </w:rPr>
        <w:t xml:space="preserve">variations in clinical care due to </w:t>
      </w:r>
      <w:r w:rsidR="00B15B6E" w:rsidRPr="00C41814">
        <w:rPr>
          <w:sz w:val="24"/>
          <w:szCs w:val="24"/>
          <w:lang w:val="en"/>
        </w:rPr>
        <w:t>sub</w:t>
      </w:r>
      <w:r w:rsidRPr="00C41814">
        <w:rPr>
          <w:sz w:val="24"/>
          <w:szCs w:val="24"/>
          <w:lang w:val="en"/>
        </w:rPr>
        <w:t>-</w:t>
      </w:r>
      <w:r w:rsidRPr="00C41814">
        <w:rPr>
          <w:sz w:val="24"/>
          <w:szCs w:val="24"/>
          <w:lang w:val="en"/>
        </w:rPr>
        <w:lastRenderedPageBreak/>
        <w:t>optimal use of services or medical interventions,</w:t>
      </w:r>
      <w:r w:rsidRPr="00C41814">
        <w:rPr>
          <w:rFonts w:cstheme="minorHAnsi"/>
          <w:sz w:val="24"/>
          <w:szCs w:val="24"/>
        </w:rPr>
        <w:t xml:space="preserve"> escalating costs </w:t>
      </w:r>
      <w:r w:rsidR="006B7316" w:rsidRPr="00C41814">
        <w:rPr>
          <w:rFonts w:cstheme="minorHAnsi"/>
          <w:sz w:val="24"/>
          <w:szCs w:val="24"/>
        </w:rPr>
        <w:t xml:space="preserve">of healthcare </w:t>
      </w:r>
      <w:r w:rsidRPr="00C41814">
        <w:rPr>
          <w:rFonts w:cstheme="minorHAnsi"/>
          <w:sz w:val="24"/>
          <w:szCs w:val="24"/>
        </w:rPr>
        <w:t xml:space="preserve">and increasing </w:t>
      </w:r>
      <w:r w:rsidR="006B7316" w:rsidRPr="00C41814">
        <w:rPr>
          <w:rFonts w:cstheme="minorHAnsi"/>
          <w:sz w:val="24"/>
          <w:szCs w:val="24"/>
        </w:rPr>
        <w:t xml:space="preserve">demands on </w:t>
      </w:r>
      <w:r w:rsidRPr="00C41814">
        <w:rPr>
          <w:rFonts w:cstheme="minorHAnsi"/>
          <w:sz w:val="24"/>
          <w:szCs w:val="24"/>
        </w:rPr>
        <w:t>capacity</w:t>
      </w:r>
      <w:r w:rsidR="006B7316" w:rsidRPr="00C41814">
        <w:rPr>
          <w:rFonts w:cstheme="minorHAnsi"/>
          <w:sz w:val="24"/>
          <w:szCs w:val="24"/>
        </w:rPr>
        <w:t>.</w:t>
      </w:r>
      <w:r w:rsidRPr="00C41814">
        <w:rPr>
          <w:sz w:val="24"/>
          <w:szCs w:val="24"/>
          <w:lang w:val="en"/>
        </w:rPr>
        <w:t xml:space="preserve"> </w:t>
      </w:r>
    </w:p>
    <w:p w14:paraId="31139F5C" w14:textId="77777777" w:rsidR="00E266C0" w:rsidRPr="00C41814" w:rsidRDefault="00E266C0" w:rsidP="008E5806">
      <w:pPr>
        <w:spacing w:line="360" w:lineRule="auto"/>
        <w:rPr>
          <w:sz w:val="24"/>
          <w:szCs w:val="24"/>
          <w:lang w:val="en"/>
        </w:rPr>
      </w:pPr>
    </w:p>
    <w:p w14:paraId="01EFD79E" w14:textId="0BAF451A" w:rsidR="00E266C0" w:rsidRPr="00C41814" w:rsidRDefault="00E266C0" w:rsidP="00E266C0">
      <w:pPr>
        <w:spacing w:line="360" w:lineRule="auto"/>
        <w:rPr>
          <w:rFonts w:cs="Arial"/>
          <w:sz w:val="24"/>
          <w:szCs w:val="24"/>
        </w:rPr>
      </w:pPr>
      <w:r w:rsidRPr="00C41814">
        <w:rPr>
          <w:sz w:val="24"/>
          <w:szCs w:val="24"/>
        </w:rPr>
        <w:t xml:space="preserve">The literature remains relatively sparse on the impact of CGs in medical negligence litigation.  </w:t>
      </w:r>
      <w:r w:rsidR="004B4E69" w:rsidRPr="00C41814">
        <w:rPr>
          <w:sz w:val="24"/>
          <w:szCs w:val="24"/>
        </w:rPr>
        <w:t xml:space="preserve">Apparent </w:t>
      </w:r>
      <w:r w:rsidRPr="00C41814">
        <w:rPr>
          <w:sz w:val="24"/>
          <w:szCs w:val="24"/>
        </w:rPr>
        <w:t xml:space="preserve">inconsistencies in the way guidelines are used by the courts provided the impetus for our research.  </w:t>
      </w:r>
      <w:r w:rsidRPr="00C41814">
        <w:rPr>
          <w:rFonts w:cs="Arial"/>
          <w:sz w:val="24"/>
          <w:szCs w:val="24"/>
        </w:rPr>
        <w:t xml:space="preserve">The courts are not unfamiliar with the potentially pivotal role of guidelines in asserting the expected standard of care.   Nevertheless, their role may vary even within the same case at different stages of the litigation process.  In </w:t>
      </w:r>
      <w:r w:rsidRPr="00C41814">
        <w:rPr>
          <w:rFonts w:cs="Arial"/>
          <w:i/>
          <w:sz w:val="24"/>
          <w:szCs w:val="24"/>
        </w:rPr>
        <w:t>Montgomery</w:t>
      </w:r>
      <w:r w:rsidRPr="00C41814">
        <w:rPr>
          <w:rFonts w:cs="Arial"/>
          <w:sz w:val="24"/>
          <w:szCs w:val="24"/>
        </w:rPr>
        <w:t>, for example, a case that concerned negligent disclosure of information, the Supreme Court had been influenced considerably by professional guidelines which promoted comprehensive standards of disclosure.</w:t>
      </w:r>
      <w:r w:rsidRPr="00C41814">
        <w:rPr>
          <w:rStyle w:val="FootnoteReference"/>
          <w:rFonts w:cs="Arial"/>
          <w:sz w:val="24"/>
          <w:szCs w:val="24"/>
        </w:rPr>
        <w:footnoteReference w:id="7"/>
      </w:r>
      <w:r w:rsidRPr="00C41814">
        <w:rPr>
          <w:rFonts w:cs="Arial"/>
          <w:sz w:val="24"/>
          <w:szCs w:val="24"/>
        </w:rPr>
        <w:t xml:space="preserve"> Those guidelines were seen as more representative of contemporary standards which had outpaced current law.</w:t>
      </w:r>
      <w:r w:rsidRPr="00C41814">
        <w:rPr>
          <w:rStyle w:val="FootnoteReference"/>
          <w:rFonts w:cs="Arial"/>
          <w:sz w:val="24"/>
          <w:szCs w:val="24"/>
        </w:rPr>
        <w:footnoteReference w:id="8"/>
      </w:r>
      <w:r w:rsidRPr="00C41814">
        <w:rPr>
          <w:rFonts w:cs="Arial"/>
          <w:sz w:val="24"/>
          <w:szCs w:val="24"/>
        </w:rPr>
        <w:t xml:space="preserve"> Earlier, in the same case, the Court of Session </w:t>
      </w:r>
      <w:r w:rsidR="004B4E69" w:rsidRPr="00C41814">
        <w:rPr>
          <w:rFonts w:cs="Arial"/>
          <w:sz w:val="24"/>
          <w:szCs w:val="24"/>
        </w:rPr>
        <w:t xml:space="preserve">had been </w:t>
      </w:r>
      <w:r w:rsidRPr="00C41814">
        <w:rPr>
          <w:rFonts w:cs="Arial"/>
          <w:sz w:val="24"/>
          <w:szCs w:val="24"/>
        </w:rPr>
        <w:t>more equivocal about the role of guidelines.  In the context of foetal distress, for example, even though CGs indicated that the foetal heart rate tracing demonstrated pathological lack of oxygen, this finding had to be considered by the doctor in its clinical context.</w:t>
      </w:r>
      <w:r w:rsidRPr="00C41814">
        <w:rPr>
          <w:rStyle w:val="FootnoteReference"/>
          <w:rFonts w:cs="Arial"/>
          <w:sz w:val="24"/>
          <w:szCs w:val="24"/>
        </w:rPr>
        <w:footnoteReference w:id="9"/>
      </w:r>
      <w:r w:rsidRPr="00C41814">
        <w:rPr>
          <w:rFonts w:cs="Arial"/>
          <w:sz w:val="24"/>
          <w:szCs w:val="24"/>
        </w:rPr>
        <w:t xml:space="preserve"> While CGs were relevant in the exercise of clinical discretion they were not considered determinative of the course of action to be followed.</w:t>
      </w:r>
      <w:r w:rsidRPr="00C41814">
        <w:rPr>
          <w:rStyle w:val="FootnoteReference"/>
          <w:rFonts w:cs="Arial"/>
          <w:sz w:val="24"/>
          <w:szCs w:val="24"/>
        </w:rPr>
        <w:footnoteReference w:id="10"/>
      </w:r>
      <w:r w:rsidRPr="00C41814">
        <w:rPr>
          <w:rFonts w:cs="Arial"/>
          <w:sz w:val="24"/>
          <w:szCs w:val="24"/>
        </w:rPr>
        <w:t xml:space="preserve"> Clinical guidelines were mere “indications of possible courses of action in particular circumstances” and not set in stone.</w:t>
      </w:r>
      <w:r w:rsidRPr="00C41814">
        <w:rPr>
          <w:rStyle w:val="FootnoteReference"/>
          <w:rFonts w:cs="Arial"/>
          <w:sz w:val="24"/>
          <w:szCs w:val="24"/>
        </w:rPr>
        <w:footnoteReference w:id="11"/>
      </w:r>
      <w:r w:rsidRPr="00C41814">
        <w:rPr>
          <w:rFonts w:cs="Arial"/>
          <w:sz w:val="24"/>
          <w:szCs w:val="24"/>
        </w:rPr>
        <w:t xml:space="preserve"> </w:t>
      </w:r>
    </w:p>
    <w:p w14:paraId="5418C191" w14:textId="02EC1E0C" w:rsidR="00C51DAF" w:rsidRPr="00C41814" w:rsidRDefault="00C51DAF" w:rsidP="00E266C0">
      <w:pPr>
        <w:spacing w:line="360" w:lineRule="auto"/>
        <w:rPr>
          <w:rFonts w:cs="Arial"/>
          <w:sz w:val="24"/>
          <w:szCs w:val="24"/>
        </w:rPr>
      </w:pPr>
    </w:p>
    <w:p w14:paraId="1575B8B0" w14:textId="46049BD2" w:rsidR="00C51DAF" w:rsidRPr="00C41814" w:rsidRDefault="00C51DAF" w:rsidP="00C51DAF">
      <w:pPr>
        <w:spacing w:line="360" w:lineRule="auto"/>
        <w:rPr>
          <w:rFonts w:cstheme="minorHAnsi"/>
          <w:sz w:val="24"/>
          <w:szCs w:val="24"/>
        </w:rPr>
      </w:pPr>
      <w:r w:rsidRPr="00C41814">
        <w:rPr>
          <w:sz w:val="24"/>
          <w:szCs w:val="24"/>
        </w:rPr>
        <w:t xml:space="preserve">It is not the purpose of this paper to rehearse well-trodden ground around </w:t>
      </w:r>
      <w:r w:rsidRPr="00C41814">
        <w:rPr>
          <w:i/>
          <w:iCs/>
          <w:sz w:val="24"/>
          <w:szCs w:val="24"/>
        </w:rPr>
        <w:t>Bolam</w:t>
      </w:r>
      <w:r w:rsidR="004B4E69" w:rsidRPr="00C41814">
        <w:rPr>
          <w:i/>
          <w:iCs/>
          <w:sz w:val="24"/>
          <w:szCs w:val="24"/>
        </w:rPr>
        <w:t xml:space="preserve">, </w:t>
      </w:r>
      <w:r w:rsidRPr="00C41814">
        <w:rPr>
          <w:i/>
          <w:iCs/>
          <w:sz w:val="24"/>
          <w:szCs w:val="24"/>
        </w:rPr>
        <w:t>Bolitho</w:t>
      </w:r>
      <w:r w:rsidRPr="00C41814">
        <w:rPr>
          <w:sz w:val="24"/>
          <w:szCs w:val="24"/>
        </w:rPr>
        <w:t xml:space="preserve"> and breach of duty, nor the theoretical basis underlying standards for developing CGs and arguments in favour of CGs in litigation. </w:t>
      </w:r>
      <w:r w:rsidRPr="00C41814">
        <w:rPr>
          <w:sz w:val="24"/>
          <w:szCs w:val="24"/>
          <w:lang w:val="en"/>
        </w:rPr>
        <w:t xml:space="preserve">Some years ago, the </w:t>
      </w:r>
      <w:r w:rsidRPr="00C41814">
        <w:rPr>
          <w:i/>
          <w:sz w:val="24"/>
          <w:szCs w:val="24"/>
          <w:lang w:val="en"/>
        </w:rPr>
        <w:t xml:space="preserve">Bolitho </w:t>
      </w:r>
      <w:r w:rsidRPr="00C41814">
        <w:rPr>
          <w:sz w:val="24"/>
          <w:szCs w:val="24"/>
          <w:lang w:val="en"/>
        </w:rPr>
        <w:t xml:space="preserve">decision, alongside other socio-political developments led us to consider whether evidence-based </w:t>
      </w:r>
      <w:r w:rsidRPr="00C41814">
        <w:rPr>
          <w:rFonts w:cstheme="minorHAnsi"/>
          <w:sz w:val="24"/>
          <w:szCs w:val="24"/>
        </w:rPr>
        <w:t>CGs from authoritative bodies might begin to play a greater role in measuring the standard for breach of duty of care in medical negligence.</w:t>
      </w:r>
      <w:r w:rsidRPr="00C41814">
        <w:rPr>
          <w:rFonts w:cstheme="minorHAnsi"/>
          <w:sz w:val="24"/>
          <w:szCs w:val="24"/>
          <w:vertAlign w:val="superscript"/>
        </w:rPr>
        <w:footnoteReference w:id="12"/>
      </w:r>
      <w:r w:rsidRPr="00C41814">
        <w:rPr>
          <w:rFonts w:cstheme="minorHAnsi"/>
          <w:sz w:val="24"/>
          <w:szCs w:val="24"/>
        </w:rPr>
        <w:t xml:space="preserve"> In the</w:t>
      </w:r>
      <w:r w:rsidRPr="00C41814">
        <w:rPr>
          <w:sz w:val="24"/>
          <w:szCs w:val="24"/>
        </w:rPr>
        <w:t xml:space="preserve"> first published empirical study (in </w:t>
      </w:r>
      <w:r w:rsidR="009A04A1" w:rsidRPr="00C41814">
        <w:rPr>
          <w:sz w:val="24"/>
          <w:szCs w:val="24"/>
        </w:rPr>
        <w:t>England</w:t>
      </w:r>
      <w:r w:rsidRPr="00C41814">
        <w:rPr>
          <w:sz w:val="24"/>
          <w:szCs w:val="24"/>
        </w:rPr>
        <w:t xml:space="preserve">) on </w:t>
      </w:r>
      <w:r w:rsidRPr="00C41814">
        <w:rPr>
          <w:sz w:val="24"/>
          <w:szCs w:val="24"/>
        </w:rPr>
        <w:lastRenderedPageBreak/>
        <w:t>the role of CGs in clinical negligence litigation,</w:t>
      </w:r>
      <w:r w:rsidRPr="00C41814">
        <w:rPr>
          <w:sz w:val="24"/>
          <w:szCs w:val="24"/>
          <w:vertAlign w:val="superscript"/>
        </w:rPr>
        <w:footnoteReference w:id="13"/>
      </w:r>
      <w:r w:rsidRPr="00C41814">
        <w:rPr>
          <w:sz w:val="24"/>
          <w:szCs w:val="24"/>
        </w:rPr>
        <w:t xml:space="preserve"> we </w:t>
      </w:r>
      <w:r w:rsidR="009A04A1" w:rsidRPr="00C41814">
        <w:rPr>
          <w:sz w:val="24"/>
          <w:szCs w:val="24"/>
        </w:rPr>
        <w:t>concluded t</w:t>
      </w:r>
      <w:r w:rsidRPr="00C41814">
        <w:rPr>
          <w:rFonts w:cstheme="minorHAnsi"/>
          <w:sz w:val="24"/>
          <w:szCs w:val="24"/>
        </w:rPr>
        <w:t xml:space="preserve">hat a high proportion of lawyers were familiar with the use </w:t>
      </w:r>
      <w:r w:rsidR="009A04A1" w:rsidRPr="00C41814">
        <w:rPr>
          <w:rFonts w:cstheme="minorHAnsi"/>
          <w:sz w:val="24"/>
          <w:szCs w:val="24"/>
        </w:rPr>
        <w:t xml:space="preserve">of </w:t>
      </w:r>
      <w:r w:rsidRPr="00C41814">
        <w:rPr>
          <w:rFonts w:cstheme="minorHAnsi"/>
          <w:sz w:val="24"/>
          <w:szCs w:val="24"/>
        </w:rPr>
        <w:t>CGs in litigation and that there was an expectation that their use would increase.</w:t>
      </w:r>
      <w:r w:rsidRPr="00C41814">
        <w:rPr>
          <w:rFonts w:cstheme="minorHAnsi"/>
          <w:sz w:val="24"/>
          <w:szCs w:val="24"/>
          <w:vertAlign w:val="superscript"/>
        </w:rPr>
        <w:footnoteReference w:id="14"/>
      </w:r>
      <w:r w:rsidRPr="00C41814">
        <w:rPr>
          <w:rFonts w:cstheme="minorHAnsi"/>
          <w:sz w:val="24"/>
          <w:szCs w:val="24"/>
        </w:rPr>
        <w:t xml:space="preserve"> </w:t>
      </w:r>
    </w:p>
    <w:p w14:paraId="741A87C2" w14:textId="77777777" w:rsidR="00C51DAF" w:rsidRPr="00C41814" w:rsidRDefault="00C51DAF" w:rsidP="00C51DAF">
      <w:pPr>
        <w:spacing w:line="360" w:lineRule="auto"/>
        <w:rPr>
          <w:rFonts w:cstheme="minorHAnsi"/>
          <w:sz w:val="24"/>
          <w:szCs w:val="24"/>
        </w:rPr>
      </w:pPr>
    </w:p>
    <w:p w14:paraId="603AF082" w14:textId="24EF882B" w:rsidR="00C51DAF" w:rsidRPr="00C41814" w:rsidRDefault="00C51DAF" w:rsidP="00C51DAF">
      <w:pPr>
        <w:spacing w:line="360" w:lineRule="auto"/>
        <w:rPr>
          <w:rFonts w:cstheme="minorHAnsi"/>
          <w:sz w:val="24"/>
          <w:szCs w:val="24"/>
        </w:rPr>
      </w:pPr>
      <w:r w:rsidRPr="00C41814">
        <w:rPr>
          <w:rFonts w:cstheme="minorHAnsi"/>
          <w:sz w:val="24"/>
          <w:szCs w:val="24"/>
        </w:rPr>
        <w:t>In this study</w:t>
      </w:r>
      <w:r w:rsidRPr="00C41814">
        <w:rPr>
          <w:rStyle w:val="FootnoteReference"/>
          <w:rFonts w:cstheme="minorHAnsi"/>
          <w:sz w:val="24"/>
          <w:szCs w:val="24"/>
        </w:rPr>
        <w:footnoteReference w:id="15"/>
      </w:r>
      <w:r w:rsidRPr="00C41814">
        <w:rPr>
          <w:rFonts w:cstheme="minorHAnsi"/>
          <w:sz w:val="24"/>
          <w:szCs w:val="24"/>
        </w:rPr>
        <w:t xml:space="preserve"> we explore </w:t>
      </w:r>
      <w:r w:rsidRPr="00C41814">
        <w:rPr>
          <w:rFonts w:cstheme="minorHAnsi"/>
          <w:i/>
          <w:sz w:val="24"/>
          <w:szCs w:val="24"/>
        </w:rPr>
        <w:t>how</w:t>
      </w:r>
      <w:r w:rsidRPr="00C41814">
        <w:rPr>
          <w:rFonts w:cstheme="minorHAnsi"/>
          <w:sz w:val="24"/>
          <w:szCs w:val="24"/>
        </w:rPr>
        <w:t xml:space="preserve"> and </w:t>
      </w:r>
      <w:r w:rsidRPr="00C41814">
        <w:rPr>
          <w:rFonts w:cstheme="minorHAnsi"/>
          <w:i/>
          <w:sz w:val="24"/>
          <w:szCs w:val="24"/>
        </w:rPr>
        <w:t>why</w:t>
      </w:r>
      <w:r w:rsidRPr="00C41814">
        <w:rPr>
          <w:rFonts w:cstheme="minorHAnsi"/>
          <w:sz w:val="24"/>
          <w:szCs w:val="24"/>
        </w:rPr>
        <w:t xml:space="preserve"> CGs are used in medical litigation in relation to: awareness and use by lawyers </w:t>
      </w:r>
      <w:r w:rsidRPr="00C41814">
        <w:rPr>
          <w:rFonts w:cstheme="minorHAnsi"/>
          <w:i/>
          <w:iCs/>
          <w:sz w:val="24"/>
          <w:szCs w:val="24"/>
        </w:rPr>
        <w:t>(a)</w:t>
      </w:r>
      <w:r w:rsidRPr="00C41814">
        <w:rPr>
          <w:rFonts w:cstheme="minorHAnsi"/>
          <w:sz w:val="24"/>
          <w:szCs w:val="24"/>
        </w:rPr>
        <w:t xml:space="preserve">;  deployment in the litigation process </w:t>
      </w:r>
      <w:r w:rsidRPr="00C41814">
        <w:rPr>
          <w:rFonts w:cstheme="minorHAnsi"/>
          <w:i/>
          <w:iCs/>
          <w:sz w:val="24"/>
          <w:szCs w:val="24"/>
        </w:rPr>
        <w:t>(b)</w:t>
      </w:r>
      <w:r w:rsidRPr="00C41814">
        <w:rPr>
          <w:rFonts w:cstheme="minorHAnsi"/>
          <w:sz w:val="24"/>
          <w:szCs w:val="24"/>
        </w:rPr>
        <w:t xml:space="preserve">; use by the court </w:t>
      </w:r>
      <w:r w:rsidRPr="00C41814">
        <w:rPr>
          <w:rFonts w:cstheme="minorHAnsi"/>
          <w:i/>
          <w:iCs/>
          <w:sz w:val="24"/>
          <w:szCs w:val="24"/>
        </w:rPr>
        <w:t>(c)</w:t>
      </w:r>
      <w:r w:rsidRPr="00C41814">
        <w:rPr>
          <w:rFonts w:cstheme="minorHAnsi"/>
          <w:sz w:val="24"/>
          <w:szCs w:val="24"/>
        </w:rPr>
        <w:t xml:space="preserve">; impact on judicial decision-making </w:t>
      </w:r>
      <w:r w:rsidRPr="00C41814">
        <w:rPr>
          <w:rFonts w:cstheme="minorHAnsi"/>
          <w:i/>
          <w:iCs/>
          <w:sz w:val="24"/>
          <w:szCs w:val="24"/>
        </w:rPr>
        <w:t>(d)</w:t>
      </w:r>
      <w:r w:rsidRPr="00C41814">
        <w:rPr>
          <w:rFonts w:cstheme="minorHAnsi"/>
          <w:sz w:val="24"/>
          <w:szCs w:val="24"/>
        </w:rPr>
        <w:t xml:space="preserve">; settlement of claims </w:t>
      </w:r>
      <w:r w:rsidRPr="00C41814">
        <w:rPr>
          <w:rFonts w:cstheme="minorHAnsi"/>
          <w:i/>
          <w:iCs/>
          <w:sz w:val="24"/>
          <w:szCs w:val="24"/>
        </w:rPr>
        <w:t>(e)</w:t>
      </w:r>
      <w:r w:rsidRPr="00C41814">
        <w:rPr>
          <w:rFonts w:cstheme="minorHAnsi"/>
          <w:sz w:val="24"/>
          <w:szCs w:val="24"/>
        </w:rPr>
        <w:t xml:space="preserve">; and potential barriers </w:t>
      </w:r>
      <w:r w:rsidRPr="00C41814">
        <w:rPr>
          <w:rFonts w:cstheme="minorHAnsi"/>
          <w:i/>
          <w:iCs/>
          <w:sz w:val="24"/>
          <w:szCs w:val="24"/>
        </w:rPr>
        <w:t>(f)</w:t>
      </w:r>
      <w:r w:rsidRPr="00C41814">
        <w:rPr>
          <w:rFonts w:cstheme="minorHAnsi"/>
          <w:sz w:val="24"/>
          <w:szCs w:val="24"/>
        </w:rPr>
        <w:t xml:space="preserve">. Data are derived from multiple sources to provide a unique and meaningful insight into the evolving role of CGs in medical litigation. </w:t>
      </w:r>
    </w:p>
    <w:p w14:paraId="34AFFCE5" w14:textId="5E85B18F" w:rsidR="00C51DAF" w:rsidRPr="00C41814" w:rsidRDefault="00C51DAF" w:rsidP="00C51DAF">
      <w:pPr>
        <w:spacing w:line="360" w:lineRule="auto"/>
        <w:rPr>
          <w:rFonts w:cstheme="minorHAnsi"/>
          <w:sz w:val="24"/>
          <w:szCs w:val="24"/>
        </w:rPr>
      </w:pPr>
    </w:p>
    <w:p w14:paraId="09D5F824" w14:textId="5DF9D979" w:rsidR="00C51DAF" w:rsidRPr="00C41814" w:rsidRDefault="00C51DAF" w:rsidP="00C51DAF">
      <w:pPr>
        <w:spacing w:line="360" w:lineRule="auto"/>
        <w:rPr>
          <w:rFonts w:cstheme="minorHAnsi"/>
          <w:sz w:val="24"/>
          <w:szCs w:val="24"/>
        </w:rPr>
      </w:pPr>
      <w:r w:rsidRPr="00C41814">
        <w:rPr>
          <w:rFonts w:cstheme="minorHAnsi"/>
          <w:sz w:val="24"/>
          <w:szCs w:val="24"/>
        </w:rPr>
        <w:t>We first describe the methods used to collect and analyse qua</w:t>
      </w:r>
      <w:r w:rsidR="00F935DA" w:rsidRPr="00C41814">
        <w:rPr>
          <w:rFonts w:cstheme="minorHAnsi"/>
          <w:sz w:val="24"/>
          <w:szCs w:val="24"/>
        </w:rPr>
        <w:t xml:space="preserve">ntitative and qualitative data </w:t>
      </w:r>
      <w:r w:rsidRPr="00C41814">
        <w:rPr>
          <w:rFonts w:cstheme="minorHAnsi"/>
          <w:sz w:val="24"/>
          <w:szCs w:val="24"/>
        </w:rPr>
        <w:t xml:space="preserve">to provide headline metrics and key themes.  We then discuss how guidelines are deployed in setting the standard for breach of duty, impact on judicial decision-making, settlement of claims and perceived potential barriers to their use. We conclude that </w:t>
      </w:r>
      <w:r w:rsidR="00B02286" w:rsidRPr="00C41814">
        <w:rPr>
          <w:rFonts w:cstheme="minorHAnsi"/>
          <w:sz w:val="24"/>
          <w:szCs w:val="24"/>
        </w:rPr>
        <w:t xml:space="preserve">CGs </w:t>
      </w:r>
      <w:r w:rsidRPr="00C41814">
        <w:rPr>
          <w:rFonts w:cstheme="minorHAnsi"/>
          <w:sz w:val="24"/>
          <w:szCs w:val="24"/>
        </w:rPr>
        <w:t xml:space="preserve">can be instrumental in deciding whether to abandon or settle </w:t>
      </w:r>
      <w:r w:rsidR="00B02286" w:rsidRPr="00C41814">
        <w:rPr>
          <w:rFonts w:cstheme="minorHAnsi"/>
          <w:sz w:val="24"/>
          <w:szCs w:val="24"/>
        </w:rPr>
        <w:t xml:space="preserve">a </w:t>
      </w:r>
      <w:r w:rsidRPr="00C41814">
        <w:rPr>
          <w:rFonts w:cstheme="minorHAnsi"/>
          <w:sz w:val="24"/>
          <w:szCs w:val="24"/>
        </w:rPr>
        <w:t xml:space="preserve">claim at any stage in the litigation process.  Cases </w:t>
      </w:r>
      <w:r w:rsidR="00B02286" w:rsidRPr="00C41814">
        <w:rPr>
          <w:rFonts w:cstheme="minorHAnsi"/>
          <w:sz w:val="24"/>
          <w:szCs w:val="24"/>
        </w:rPr>
        <w:t xml:space="preserve">may </w:t>
      </w:r>
      <w:r w:rsidRPr="00C41814">
        <w:rPr>
          <w:rFonts w:cstheme="minorHAnsi"/>
          <w:sz w:val="24"/>
          <w:szCs w:val="24"/>
        </w:rPr>
        <w:t>settle on the proposition that clinicians should follow authoritative guid</w:t>
      </w:r>
      <w:r w:rsidR="009272FF" w:rsidRPr="00C41814">
        <w:rPr>
          <w:rFonts w:cstheme="minorHAnsi"/>
          <w:sz w:val="24"/>
          <w:szCs w:val="24"/>
        </w:rPr>
        <w:t xml:space="preserve">ance </w:t>
      </w:r>
      <w:r w:rsidRPr="00C41814">
        <w:rPr>
          <w:rFonts w:cstheme="minorHAnsi"/>
          <w:sz w:val="24"/>
          <w:szCs w:val="24"/>
        </w:rPr>
        <w:t xml:space="preserve">unless there are cogent reasons for not doing so. We propose that CGs should be used in litigation within a framework of reasonableness on a case by case basis. </w:t>
      </w:r>
    </w:p>
    <w:p w14:paraId="59458A4B" w14:textId="77777777" w:rsidR="00C51DAF" w:rsidRPr="00C41814" w:rsidRDefault="00C51DAF" w:rsidP="008E5806">
      <w:pPr>
        <w:spacing w:line="360" w:lineRule="auto"/>
        <w:rPr>
          <w:rFonts w:cstheme="minorHAnsi"/>
          <w:sz w:val="24"/>
          <w:szCs w:val="24"/>
        </w:rPr>
      </w:pPr>
    </w:p>
    <w:p w14:paraId="51BEAAEB" w14:textId="709D2FF4" w:rsidR="0067138A" w:rsidRPr="00C41814" w:rsidRDefault="0067138A" w:rsidP="008E5806">
      <w:pPr>
        <w:spacing w:line="360" w:lineRule="auto"/>
        <w:rPr>
          <w:rFonts w:cstheme="minorHAnsi"/>
          <w:sz w:val="24"/>
          <w:szCs w:val="24"/>
        </w:rPr>
      </w:pPr>
      <w:r w:rsidRPr="00C41814">
        <w:rPr>
          <w:rFonts w:cstheme="minorHAnsi"/>
          <w:sz w:val="24"/>
          <w:szCs w:val="24"/>
        </w:rPr>
        <w:t xml:space="preserve">The implications and impact </w:t>
      </w:r>
      <w:r w:rsidR="00E50FFB" w:rsidRPr="00C41814">
        <w:rPr>
          <w:rFonts w:cstheme="minorHAnsi"/>
          <w:sz w:val="24"/>
          <w:szCs w:val="24"/>
        </w:rPr>
        <w:t xml:space="preserve">of </w:t>
      </w:r>
      <w:r w:rsidRPr="00C41814">
        <w:rPr>
          <w:rFonts w:cstheme="minorHAnsi"/>
          <w:sz w:val="24"/>
          <w:szCs w:val="24"/>
        </w:rPr>
        <w:t xml:space="preserve">this </w:t>
      </w:r>
      <w:r w:rsidR="00E813B0" w:rsidRPr="00C41814">
        <w:rPr>
          <w:rFonts w:cstheme="minorHAnsi"/>
          <w:sz w:val="24"/>
          <w:szCs w:val="24"/>
        </w:rPr>
        <w:t xml:space="preserve">original </w:t>
      </w:r>
      <w:r w:rsidR="00E50FFB" w:rsidRPr="00C41814">
        <w:rPr>
          <w:rFonts w:cstheme="minorHAnsi"/>
          <w:sz w:val="24"/>
          <w:szCs w:val="24"/>
        </w:rPr>
        <w:t xml:space="preserve">research is </w:t>
      </w:r>
      <w:r w:rsidRPr="00C41814">
        <w:rPr>
          <w:rFonts w:cstheme="minorHAnsi"/>
          <w:sz w:val="24"/>
          <w:szCs w:val="24"/>
        </w:rPr>
        <w:t>relevan</w:t>
      </w:r>
      <w:r w:rsidR="00E50FFB" w:rsidRPr="00C41814">
        <w:rPr>
          <w:rFonts w:cstheme="minorHAnsi"/>
          <w:sz w:val="24"/>
          <w:szCs w:val="24"/>
        </w:rPr>
        <w:t xml:space="preserve">t </w:t>
      </w:r>
      <w:r w:rsidRPr="00C41814">
        <w:rPr>
          <w:rFonts w:cstheme="minorHAnsi"/>
          <w:sz w:val="24"/>
          <w:szCs w:val="24"/>
        </w:rPr>
        <w:t xml:space="preserve">for legal and medical practitioners, the courts, clinical governance and regulatory bodies, healthcare policy-makers and </w:t>
      </w:r>
      <w:r w:rsidR="00AD7D67" w:rsidRPr="00C41814">
        <w:rPr>
          <w:rFonts w:cstheme="minorHAnsi"/>
          <w:sz w:val="24"/>
          <w:szCs w:val="24"/>
        </w:rPr>
        <w:t xml:space="preserve">is </w:t>
      </w:r>
      <w:r w:rsidRPr="00C41814">
        <w:rPr>
          <w:rFonts w:cstheme="minorHAnsi"/>
          <w:sz w:val="24"/>
          <w:szCs w:val="24"/>
        </w:rPr>
        <w:t>particularly germane at a time when costs of litigation and compensation are burgeoning.</w:t>
      </w:r>
      <w:r w:rsidRPr="00C41814">
        <w:rPr>
          <w:rFonts w:cstheme="minorHAnsi"/>
          <w:sz w:val="24"/>
          <w:szCs w:val="24"/>
          <w:vertAlign w:val="superscript"/>
        </w:rPr>
        <w:footnoteReference w:id="16"/>
      </w:r>
      <w:r w:rsidRPr="00C41814">
        <w:rPr>
          <w:rFonts w:cstheme="minorHAnsi"/>
          <w:sz w:val="24"/>
          <w:szCs w:val="24"/>
        </w:rPr>
        <w:t xml:space="preserve"> </w:t>
      </w:r>
    </w:p>
    <w:p w14:paraId="6EA660B3" w14:textId="77777777" w:rsidR="009403E3" w:rsidRPr="00C41814" w:rsidRDefault="009403E3" w:rsidP="008E5806">
      <w:pPr>
        <w:spacing w:line="360" w:lineRule="auto"/>
        <w:rPr>
          <w:rFonts w:cstheme="minorHAnsi"/>
          <w:sz w:val="24"/>
          <w:szCs w:val="24"/>
        </w:rPr>
      </w:pPr>
    </w:p>
    <w:p w14:paraId="399E27DD" w14:textId="77777777" w:rsidR="009403E3" w:rsidRPr="00C41814" w:rsidRDefault="009403E3" w:rsidP="008E5806">
      <w:pPr>
        <w:spacing w:line="360" w:lineRule="auto"/>
        <w:rPr>
          <w:rFonts w:cstheme="minorHAnsi"/>
          <w:sz w:val="24"/>
          <w:szCs w:val="24"/>
        </w:rPr>
      </w:pPr>
    </w:p>
    <w:p w14:paraId="52295C60" w14:textId="77777777" w:rsidR="00AD7D67" w:rsidRPr="00C41814" w:rsidRDefault="00AD7D67" w:rsidP="008E5806">
      <w:pPr>
        <w:spacing w:line="360" w:lineRule="auto"/>
        <w:rPr>
          <w:rFonts w:cstheme="minorHAnsi"/>
          <w:sz w:val="24"/>
          <w:szCs w:val="24"/>
        </w:rPr>
      </w:pPr>
    </w:p>
    <w:p w14:paraId="68C45E22" w14:textId="77777777" w:rsidR="001C1506" w:rsidRPr="00C41814" w:rsidRDefault="001C1506" w:rsidP="008E5806">
      <w:pPr>
        <w:spacing w:after="200" w:line="360" w:lineRule="auto"/>
        <w:jc w:val="center"/>
        <w:rPr>
          <w:rFonts w:asciiTheme="minorHAnsi" w:hAnsiTheme="minorHAnsi" w:cstheme="minorHAnsi"/>
          <w:szCs w:val="22"/>
        </w:rPr>
      </w:pPr>
      <w:r w:rsidRPr="00C41814">
        <w:rPr>
          <w:rFonts w:asciiTheme="minorHAnsi" w:hAnsiTheme="minorHAnsi" w:cstheme="minorHAnsi"/>
          <w:b/>
          <w:szCs w:val="22"/>
        </w:rPr>
        <w:lastRenderedPageBreak/>
        <w:t>II. METHODS</w:t>
      </w:r>
    </w:p>
    <w:p w14:paraId="505C22C1" w14:textId="77777777" w:rsidR="001C1506" w:rsidRPr="00C41814" w:rsidRDefault="001C1506" w:rsidP="008E5806">
      <w:pPr>
        <w:spacing w:after="200" w:line="360" w:lineRule="auto"/>
        <w:jc w:val="center"/>
        <w:rPr>
          <w:rFonts w:asciiTheme="minorHAnsi" w:hAnsiTheme="minorHAnsi" w:cstheme="minorHAnsi"/>
          <w:i/>
          <w:szCs w:val="22"/>
        </w:rPr>
      </w:pPr>
      <w:r w:rsidRPr="00C41814">
        <w:rPr>
          <w:rFonts w:asciiTheme="minorHAnsi" w:hAnsiTheme="minorHAnsi" w:cstheme="minorHAnsi"/>
          <w:i/>
          <w:szCs w:val="22"/>
        </w:rPr>
        <w:t>A. Methodological approach</w:t>
      </w:r>
    </w:p>
    <w:p w14:paraId="001ADE29" w14:textId="4D0CCB1D" w:rsidR="007111C3" w:rsidRPr="00C41814" w:rsidRDefault="00AC4E71" w:rsidP="00382BFF">
      <w:pPr>
        <w:spacing w:line="360" w:lineRule="auto"/>
        <w:rPr>
          <w:rFonts w:eastAsia="Times New Roman"/>
        </w:rPr>
      </w:pPr>
      <w:r w:rsidRPr="00C41814">
        <w:t xml:space="preserve">The focus of this study was not </w:t>
      </w:r>
      <w:r w:rsidR="00B02286" w:rsidRPr="00C41814">
        <w:t xml:space="preserve">to </w:t>
      </w:r>
      <w:r w:rsidRPr="00C41814">
        <w:t>provid</w:t>
      </w:r>
      <w:r w:rsidR="00B02286" w:rsidRPr="00C41814">
        <w:t xml:space="preserve">e </w:t>
      </w:r>
      <w:r w:rsidRPr="00C41814">
        <w:t xml:space="preserve">a quantifiable assessment of the use of CGs, but on </w:t>
      </w:r>
      <w:r w:rsidRPr="00C41814">
        <w:rPr>
          <w:i/>
          <w:iCs/>
        </w:rPr>
        <w:t>how</w:t>
      </w:r>
      <w:r w:rsidRPr="00C41814">
        <w:t xml:space="preserve"> and </w:t>
      </w:r>
      <w:r w:rsidRPr="00C41814">
        <w:rPr>
          <w:i/>
          <w:iCs/>
        </w:rPr>
        <w:t>why</w:t>
      </w:r>
      <w:r w:rsidRPr="00C41814">
        <w:t xml:space="preserve"> they are used in medical negligence litigation, and </w:t>
      </w:r>
      <w:r w:rsidR="007111C3" w:rsidRPr="00C41814">
        <w:t>accordingly</w:t>
      </w:r>
      <w:r w:rsidRPr="00C41814">
        <w:t xml:space="preserve"> a</w:t>
      </w:r>
      <w:r w:rsidR="001C1506" w:rsidRPr="00C41814">
        <w:rPr>
          <w:rFonts w:asciiTheme="minorHAnsi" w:hAnsiTheme="minorHAnsi" w:cstheme="minorHAnsi"/>
          <w:szCs w:val="22"/>
        </w:rPr>
        <w:t xml:space="preserve"> “mixed</w:t>
      </w:r>
      <w:r w:rsidR="0071797B" w:rsidRPr="00C41814">
        <w:rPr>
          <w:rFonts w:asciiTheme="minorHAnsi" w:hAnsiTheme="minorHAnsi" w:cstheme="minorHAnsi"/>
          <w:szCs w:val="22"/>
        </w:rPr>
        <w:t xml:space="preserve">, multi-strategy” </w:t>
      </w:r>
      <w:r w:rsidR="00B02286" w:rsidRPr="00C41814">
        <w:rPr>
          <w:rFonts w:asciiTheme="minorHAnsi" w:hAnsiTheme="minorHAnsi" w:cstheme="minorHAnsi"/>
          <w:szCs w:val="22"/>
        </w:rPr>
        <w:t xml:space="preserve">approach </w:t>
      </w:r>
      <w:r w:rsidR="001C1506" w:rsidRPr="00C41814">
        <w:rPr>
          <w:rFonts w:asciiTheme="minorHAnsi" w:hAnsiTheme="minorHAnsi" w:cstheme="minorHAnsi"/>
          <w:szCs w:val="22"/>
        </w:rPr>
        <w:t>was used.</w:t>
      </w:r>
      <w:r w:rsidR="006140CA" w:rsidRPr="00C41814">
        <w:rPr>
          <w:rFonts w:asciiTheme="minorHAnsi" w:hAnsiTheme="minorHAnsi" w:cstheme="minorHAnsi"/>
          <w:szCs w:val="22"/>
          <w:vertAlign w:val="superscript"/>
        </w:rPr>
        <w:t xml:space="preserve"> </w:t>
      </w:r>
      <w:r w:rsidR="006140CA" w:rsidRPr="00C41814">
        <w:rPr>
          <w:rFonts w:asciiTheme="minorHAnsi" w:hAnsiTheme="minorHAnsi" w:cstheme="minorHAnsi"/>
          <w:szCs w:val="22"/>
          <w:vertAlign w:val="superscript"/>
        </w:rPr>
        <w:footnoteReference w:id="17"/>
      </w:r>
      <w:r w:rsidR="001C1506" w:rsidRPr="00C41814">
        <w:rPr>
          <w:rFonts w:asciiTheme="minorHAnsi" w:hAnsiTheme="minorHAnsi" w:cstheme="minorHAnsi"/>
          <w:szCs w:val="22"/>
        </w:rPr>
        <w:t xml:space="preserve"> The research design uses different </w:t>
      </w:r>
      <w:r w:rsidRPr="00C41814">
        <w:rPr>
          <w:rFonts w:asciiTheme="minorHAnsi" w:hAnsiTheme="minorHAnsi" w:cstheme="minorHAnsi"/>
          <w:szCs w:val="22"/>
        </w:rPr>
        <w:t>sources</w:t>
      </w:r>
      <w:r w:rsidR="001C1506" w:rsidRPr="00C41814">
        <w:rPr>
          <w:rFonts w:asciiTheme="minorHAnsi" w:hAnsiTheme="minorHAnsi" w:cstheme="minorHAnsi"/>
          <w:szCs w:val="22"/>
        </w:rPr>
        <w:t xml:space="preserve"> to answer multiple </w:t>
      </w:r>
      <w:r w:rsidR="0071797B" w:rsidRPr="00C41814">
        <w:rPr>
          <w:rFonts w:asciiTheme="minorHAnsi" w:hAnsiTheme="minorHAnsi" w:cstheme="minorHAnsi"/>
          <w:szCs w:val="22"/>
        </w:rPr>
        <w:t>questions</w:t>
      </w:r>
      <w:r w:rsidR="001C1506" w:rsidRPr="00C41814">
        <w:rPr>
          <w:rFonts w:asciiTheme="minorHAnsi" w:hAnsiTheme="minorHAnsi" w:cstheme="minorHAnsi"/>
          <w:szCs w:val="22"/>
        </w:rPr>
        <w:t xml:space="preserve"> within a complex environment,</w:t>
      </w:r>
      <w:r w:rsidR="001C1506" w:rsidRPr="00C41814">
        <w:rPr>
          <w:rFonts w:asciiTheme="minorHAnsi" w:hAnsiTheme="minorHAnsi" w:cstheme="minorHAnsi"/>
          <w:szCs w:val="22"/>
          <w:vertAlign w:val="superscript"/>
        </w:rPr>
        <w:footnoteReference w:id="18"/>
      </w:r>
      <w:r w:rsidR="001C1506" w:rsidRPr="00C41814">
        <w:rPr>
          <w:rFonts w:asciiTheme="minorHAnsi" w:hAnsiTheme="minorHAnsi" w:cstheme="minorHAnsi"/>
          <w:szCs w:val="22"/>
        </w:rPr>
        <w:t xml:space="preserve"> and provides a deeper and more critical appreciation than</w:t>
      </w:r>
      <w:r w:rsidR="0071797B" w:rsidRPr="00C41814">
        <w:rPr>
          <w:rFonts w:asciiTheme="minorHAnsi" w:hAnsiTheme="minorHAnsi" w:cstheme="minorHAnsi"/>
          <w:szCs w:val="22"/>
        </w:rPr>
        <w:t xml:space="preserve"> a</w:t>
      </w:r>
      <w:r w:rsidR="001C1506" w:rsidRPr="00C41814">
        <w:rPr>
          <w:rFonts w:asciiTheme="minorHAnsi" w:hAnsiTheme="minorHAnsi" w:cstheme="minorHAnsi"/>
          <w:szCs w:val="22"/>
        </w:rPr>
        <w:t xml:space="preserve"> single</w:t>
      </w:r>
      <w:r w:rsidR="0071797B" w:rsidRPr="00C41814">
        <w:rPr>
          <w:rFonts w:asciiTheme="minorHAnsi" w:hAnsiTheme="minorHAnsi" w:cstheme="minorHAnsi"/>
          <w:szCs w:val="22"/>
        </w:rPr>
        <w:t xml:space="preserve"> strategy.</w:t>
      </w:r>
      <w:r w:rsidR="001C1506" w:rsidRPr="00C41814">
        <w:rPr>
          <w:rFonts w:asciiTheme="minorHAnsi" w:hAnsiTheme="minorHAnsi" w:cstheme="minorHAnsi"/>
          <w:szCs w:val="22"/>
          <w:vertAlign w:val="superscript"/>
        </w:rPr>
        <w:footnoteReference w:id="19"/>
      </w:r>
      <w:r w:rsidR="001C1506" w:rsidRPr="00C41814">
        <w:rPr>
          <w:rFonts w:asciiTheme="minorHAnsi" w:hAnsiTheme="minorHAnsi" w:cstheme="minorHAnsi"/>
          <w:szCs w:val="22"/>
        </w:rPr>
        <w:t xml:space="preserve"> </w:t>
      </w:r>
      <w:r w:rsidR="0071797B" w:rsidRPr="00C41814">
        <w:rPr>
          <w:rFonts w:asciiTheme="minorHAnsi" w:hAnsiTheme="minorHAnsi" w:cstheme="minorHAnsi"/>
          <w:szCs w:val="22"/>
        </w:rPr>
        <w:t>We have used this tec</w:t>
      </w:r>
      <w:r w:rsidR="00B02286" w:rsidRPr="00C41814">
        <w:rPr>
          <w:rFonts w:asciiTheme="minorHAnsi" w:hAnsiTheme="minorHAnsi" w:cstheme="minorHAnsi"/>
          <w:szCs w:val="22"/>
        </w:rPr>
        <w:t>hnique successfully in the past</w:t>
      </w:r>
      <w:r w:rsidR="0071797B" w:rsidRPr="00C41814">
        <w:rPr>
          <w:rFonts w:asciiTheme="minorHAnsi" w:hAnsiTheme="minorHAnsi" w:cstheme="minorHAnsi"/>
          <w:szCs w:val="22"/>
          <w:vertAlign w:val="superscript"/>
        </w:rPr>
        <w:footnoteReference w:id="20"/>
      </w:r>
      <w:r w:rsidR="0071797B" w:rsidRPr="00C41814">
        <w:rPr>
          <w:rFonts w:asciiTheme="minorHAnsi" w:hAnsiTheme="minorHAnsi" w:cstheme="minorHAnsi"/>
          <w:szCs w:val="22"/>
        </w:rPr>
        <w:t xml:space="preserve"> and consider this</w:t>
      </w:r>
      <w:r w:rsidR="006140CA" w:rsidRPr="00C41814">
        <w:rPr>
          <w:rFonts w:asciiTheme="minorHAnsi" w:hAnsiTheme="minorHAnsi" w:cstheme="minorHAnsi"/>
          <w:szCs w:val="22"/>
        </w:rPr>
        <w:t xml:space="preserve"> </w:t>
      </w:r>
      <w:r w:rsidR="001C1506" w:rsidRPr="00C41814">
        <w:rPr>
          <w:rFonts w:asciiTheme="minorHAnsi" w:hAnsiTheme="minorHAnsi" w:cstheme="minorHAnsi"/>
          <w:szCs w:val="22"/>
        </w:rPr>
        <w:t>well-placed to capture the</w:t>
      </w:r>
      <w:r w:rsidRPr="00C41814">
        <w:rPr>
          <w:rFonts w:asciiTheme="minorHAnsi" w:hAnsiTheme="minorHAnsi" w:cstheme="minorHAnsi"/>
          <w:szCs w:val="22"/>
        </w:rPr>
        <w:t xml:space="preserve"> richness of </w:t>
      </w:r>
      <w:r w:rsidR="00B02286" w:rsidRPr="00C41814">
        <w:rPr>
          <w:rFonts w:asciiTheme="minorHAnsi" w:hAnsiTheme="minorHAnsi" w:cstheme="minorHAnsi"/>
          <w:szCs w:val="22"/>
        </w:rPr>
        <w:t>the interaction</w:t>
      </w:r>
      <w:r w:rsidR="001C1506" w:rsidRPr="00C41814">
        <w:rPr>
          <w:rFonts w:asciiTheme="minorHAnsi" w:hAnsiTheme="minorHAnsi" w:cstheme="minorHAnsi"/>
          <w:szCs w:val="22"/>
        </w:rPr>
        <w:t xml:space="preserve"> between CGs </w:t>
      </w:r>
      <w:r w:rsidRPr="00C41814">
        <w:rPr>
          <w:rFonts w:asciiTheme="minorHAnsi" w:hAnsiTheme="minorHAnsi" w:cstheme="minorHAnsi"/>
          <w:szCs w:val="22"/>
        </w:rPr>
        <w:t>and</w:t>
      </w:r>
      <w:r w:rsidR="001C1506" w:rsidRPr="00C41814">
        <w:rPr>
          <w:rFonts w:asciiTheme="minorHAnsi" w:hAnsiTheme="minorHAnsi" w:cstheme="minorHAnsi"/>
          <w:szCs w:val="22"/>
        </w:rPr>
        <w:t xml:space="preserve"> medical negligence litigation</w:t>
      </w:r>
      <w:r w:rsidR="0071797B" w:rsidRPr="00C41814">
        <w:rPr>
          <w:rFonts w:asciiTheme="minorHAnsi" w:hAnsiTheme="minorHAnsi" w:cstheme="minorHAnsi"/>
          <w:szCs w:val="22"/>
        </w:rPr>
        <w:t xml:space="preserve">. </w:t>
      </w:r>
      <w:r w:rsidR="001C1506" w:rsidRPr="00C41814">
        <w:rPr>
          <w:rFonts w:asciiTheme="minorHAnsi" w:hAnsiTheme="minorHAnsi" w:cstheme="minorHAnsi"/>
          <w:szCs w:val="22"/>
        </w:rPr>
        <w:t>Multi-source qualitative and quantitative data</w:t>
      </w:r>
      <w:r w:rsidR="008B51B8" w:rsidRPr="00C41814">
        <w:rPr>
          <w:rFonts w:asciiTheme="minorHAnsi" w:hAnsiTheme="minorHAnsi" w:cstheme="minorHAnsi"/>
          <w:szCs w:val="22"/>
        </w:rPr>
        <w:t xml:space="preserve"> to explore issues under heads </w:t>
      </w:r>
      <w:r w:rsidR="008B51B8" w:rsidRPr="00C41814">
        <w:rPr>
          <w:rFonts w:asciiTheme="minorHAnsi" w:hAnsiTheme="minorHAnsi" w:cstheme="minorHAnsi"/>
          <w:i/>
          <w:iCs/>
          <w:szCs w:val="22"/>
        </w:rPr>
        <w:t xml:space="preserve">a-f </w:t>
      </w:r>
      <w:r w:rsidR="007B5821" w:rsidRPr="00C41814">
        <w:rPr>
          <w:rFonts w:asciiTheme="minorHAnsi" w:hAnsiTheme="minorHAnsi" w:cstheme="minorHAnsi"/>
          <w:szCs w:val="22"/>
        </w:rPr>
        <w:t xml:space="preserve">described above, </w:t>
      </w:r>
      <w:r w:rsidR="001C1506" w:rsidRPr="00C41814">
        <w:rPr>
          <w:rFonts w:asciiTheme="minorHAnsi" w:hAnsiTheme="minorHAnsi" w:cstheme="minorHAnsi"/>
          <w:szCs w:val="22"/>
        </w:rPr>
        <w:t xml:space="preserve"> were gathered from a questionnaire survey</w:t>
      </w:r>
      <w:r w:rsidR="00C31B79" w:rsidRPr="00C41814">
        <w:rPr>
          <w:rFonts w:asciiTheme="minorHAnsi" w:hAnsiTheme="minorHAnsi" w:cstheme="minorHAnsi"/>
          <w:szCs w:val="22"/>
        </w:rPr>
        <w:t xml:space="preserve"> </w:t>
      </w:r>
      <w:r w:rsidR="00C31B79" w:rsidRPr="00C41814">
        <w:rPr>
          <w:rFonts w:asciiTheme="minorHAnsi" w:hAnsiTheme="minorHAnsi" w:cstheme="minorHAnsi"/>
          <w:i/>
          <w:iCs/>
          <w:szCs w:val="22"/>
        </w:rPr>
        <w:t>(</w:t>
      </w:r>
      <w:proofErr w:type="spellStart"/>
      <w:r w:rsidR="00C31B79" w:rsidRPr="00C41814">
        <w:rPr>
          <w:rFonts w:asciiTheme="minorHAnsi" w:hAnsiTheme="minorHAnsi" w:cstheme="minorHAnsi"/>
          <w:i/>
          <w:iCs/>
          <w:szCs w:val="22"/>
        </w:rPr>
        <w:t>a,b,c,d</w:t>
      </w:r>
      <w:proofErr w:type="spellEnd"/>
      <w:r w:rsidR="00C31B79" w:rsidRPr="00C41814">
        <w:rPr>
          <w:rFonts w:asciiTheme="minorHAnsi" w:hAnsiTheme="minorHAnsi" w:cstheme="minorHAnsi"/>
          <w:i/>
          <w:iCs/>
          <w:szCs w:val="22"/>
        </w:rPr>
        <w:t>)</w:t>
      </w:r>
      <w:r w:rsidR="001C1506" w:rsidRPr="00C41814">
        <w:rPr>
          <w:rFonts w:asciiTheme="minorHAnsi" w:hAnsiTheme="minorHAnsi" w:cstheme="minorHAnsi"/>
          <w:szCs w:val="22"/>
        </w:rPr>
        <w:t>, six in-depth interviews</w:t>
      </w:r>
      <w:r w:rsidR="00C31B79" w:rsidRPr="00C41814">
        <w:rPr>
          <w:rFonts w:asciiTheme="minorHAnsi" w:hAnsiTheme="minorHAnsi" w:cstheme="minorHAnsi"/>
          <w:szCs w:val="22"/>
        </w:rPr>
        <w:t xml:space="preserve"> </w:t>
      </w:r>
      <w:r w:rsidR="00C31B79" w:rsidRPr="00C41814">
        <w:rPr>
          <w:rFonts w:asciiTheme="minorHAnsi" w:hAnsiTheme="minorHAnsi" w:cstheme="minorHAnsi"/>
          <w:i/>
          <w:iCs/>
          <w:szCs w:val="22"/>
        </w:rPr>
        <w:t>(</w:t>
      </w:r>
      <w:proofErr w:type="spellStart"/>
      <w:r w:rsidR="007B5821" w:rsidRPr="00C41814">
        <w:rPr>
          <w:rFonts w:asciiTheme="minorHAnsi" w:hAnsiTheme="minorHAnsi" w:cstheme="minorHAnsi"/>
          <w:i/>
          <w:iCs/>
          <w:szCs w:val="22"/>
        </w:rPr>
        <w:t>a,b,c,d</w:t>
      </w:r>
      <w:proofErr w:type="spellEnd"/>
      <w:r w:rsidR="007B5821" w:rsidRPr="00C41814">
        <w:rPr>
          <w:rFonts w:asciiTheme="minorHAnsi" w:hAnsiTheme="minorHAnsi" w:cstheme="minorHAnsi"/>
          <w:i/>
          <w:iCs/>
          <w:szCs w:val="22"/>
        </w:rPr>
        <w:t>)</w:t>
      </w:r>
      <w:r w:rsidR="001C1506" w:rsidRPr="00C41814">
        <w:rPr>
          <w:rFonts w:asciiTheme="minorHAnsi" w:hAnsiTheme="minorHAnsi" w:cstheme="minorHAnsi"/>
          <w:szCs w:val="22"/>
        </w:rPr>
        <w:t>,</w:t>
      </w:r>
      <w:r w:rsidR="00C31B79" w:rsidRPr="00C41814">
        <w:rPr>
          <w:rFonts w:asciiTheme="minorHAnsi" w:hAnsiTheme="minorHAnsi" w:cstheme="minorHAnsi"/>
          <w:szCs w:val="22"/>
        </w:rPr>
        <w:t xml:space="preserve"> </w:t>
      </w:r>
      <w:r w:rsidR="001C1506" w:rsidRPr="00C41814">
        <w:rPr>
          <w:rFonts w:asciiTheme="minorHAnsi" w:hAnsiTheme="minorHAnsi" w:cstheme="minorHAnsi"/>
          <w:szCs w:val="22"/>
        </w:rPr>
        <w:t>a CDG (consen</w:t>
      </w:r>
      <w:r w:rsidR="00F97719" w:rsidRPr="00C41814">
        <w:rPr>
          <w:rFonts w:asciiTheme="minorHAnsi" w:hAnsiTheme="minorHAnsi" w:cstheme="minorHAnsi"/>
          <w:szCs w:val="22"/>
        </w:rPr>
        <w:t>s</w:t>
      </w:r>
      <w:r w:rsidR="001C1506" w:rsidRPr="00C41814">
        <w:rPr>
          <w:rFonts w:asciiTheme="minorHAnsi" w:hAnsiTheme="minorHAnsi" w:cstheme="minorHAnsi"/>
          <w:szCs w:val="22"/>
        </w:rPr>
        <w:t>us discussion group)</w:t>
      </w:r>
      <w:r w:rsidR="007B5821" w:rsidRPr="00C41814">
        <w:rPr>
          <w:rFonts w:asciiTheme="minorHAnsi" w:hAnsiTheme="minorHAnsi" w:cstheme="minorHAnsi"/>
          <w:szCs w:val="22"/>
        </w:rPr>
        <w:t xml:space="preserve"> </w:t>
      </w:r>
      <w:r w:rsidR="007B5821" w:rsidRPr="00C41814">
        <w:rPr>
          <w:rFonts w:asciiTheme="minorHAnsi" w:hAnsiTheme="minorHAnsi" w:cstheme="minorHAnsi"/>
          <w:i/>
          <w:iCs/>
          <w:szCs w:val="22"/>
        </w:rPr>
        <w:t>(f)</w:t>
      </w:r>
      <w:r w:rsidR="00F97719" w:rsidRPr="00C41814">
        <w:rPr>
          <w:rFonts w:asciiTheme="minorHAnsi" w:hAnsiTheme="minorHAnsi" w:cstheme="minorHAnsi"/>
          <w:szCs w:val="22"/>
        </w:rPr>
        <w:t>, a</w:t>
      </w:r>
      <w:r w:rsidR="00836EA6" w:rsidRPr="00C41814">
        <w:rPr>
          <w:rFonts w:asciiTheme="minorHAnsi" w:hAnsiTheme="minorHAnsi" w:cstheme="minorHAnsi"/>
          <w:szCs w:val="22"/>
        </w:rPr>
        <w:t xml:space="preserve"> detailed</w:t>
      </w:r>
      <w:r w:rsidR="00F97719" w:rsidRPr="00C41814">
        <w:rPr>
          <w:rFonts w:asciiTheme="minorHAnsi" w:hAnsiTheme="minorHAnsi" w:cstheme="minorHAnsi"/>
          <w:szCs w:val="22"/>
        </w:rPr>
        <w:t xml:space="preserve"> review of the literature and case law</w:t>
      </w:r>
      <w:r w:rsidR="007B5821" w:rsidRPr="00C41814">
        <w:rPr>
          <w:rFonts w:asciiTheme="minorHAnsi" w:hAnsiTheme="minorHAnsi" w:cstheme="minorHAnsi"/>
          <w:szCs w:val="22"/>
        </w:rPr>
        <w:t xml:space="preserve"> </w:t>
      </w:r>
      <w:r w:rsidR="007B5821" w:rsidRPr="00C41814">
        <w:rPr>
          <w:rFonts w:asciiTheme="minorHAnsi" w:hAnsiTheme="minorHAnsi" w:cstheme="minorHAnsi"/>
          <w:i/>
          <w:iCs/>
          <w:szCs w:val="22"/>
        </w:rPr>
        <w:t>(</w:t>
      </w:r>
      <w:proofErr w:type="spellStart"/>
      <w:r w:rsidR="007B5821" w:rsidRPr="00C41814">
        <w:rPr>
          <w:rFonts w:asciiTheme="minorHAnsi" w:hAnsiTheme="minorHAnsi" w:cstheme="minorHAnsi"/>
          <w:i/>
          <w:iCs/>
          <w:szCs w:val="22"/>
        </w:rPr>
        <w:t>c,d</w:t>
      </w:r>
      <w:proofErr w:type="spellEnd"/>
      <w:r w:rsidR="007B5821" w:rsidRPr="00C41814">
        <w:rPr>
          <w:rFonts w:asciiTheme="minorHAnsi" w:hAnsiTheme="minorHAnsi" w:cstheme="minorHAnsi"/>
          <w:i/>
          <w:iCs/>
          <w:szCs w:val="22"/>
        </w:rPr>
        <w:t>)</w:t>
      </w:r>
      <w:r w:rsidR="001C1506" w:rsidRPr="00C41814">
        <w:rPr>
          <w:rFonts w:asciiTheme="minorHAnsi" w:hAnsiTheme="minorHAnsi" w:cstheme="minorHAnsi"/>
          <w:szCs w:val="22"/>
        </w:rPr>
        <w:t xml:space="preserve"> and metrics</w:t>
      </w:r>
      <w:r w:rsidR="00214CBD" w:rsidRPr="00C41814">
        <w:rPr>
          <w:rFonts w:asciiTheme="minorHAnsi" w:hAnsiTheme="minorHAnsi" w:cstheme="minorHAnsi"/>
          <w:szCs w:val="22"/>
        </w:rPr>
        <w:t xml:space="preserve"> from</w:t>
      </w:r>
      <w:r w:rsidR="001C1506" w:rsidRPr="00C41814">
        <w:rPr>
          <w:rFonts w:asciiTheme="minorHAnsi" w:hAnsiTheme="minorHAnsi" w:cstheme="minorHAnsi"/>
          <w:szCs w:val="22"/>
        </w:rPr>
        <w:t xml:space="preserve"> NHS Resolution</w:t>
      </w:r>
      <w:r w:rsidR="008C280A" w:rsidRPr="00C41814">
        <w:rPr>
          <w:rFonts w:cstheme="minorHAnsi"/>
          <w:sz w:val="24"/>
          <w:szCs w:val="24"/>
          <w:vertAlign w:val="superscript"/>
        </w:rPr>
        <w:footnoteReference w:id="21"/>
      </w:r>
      <w:r w:rsidR="007B5821" w:rsidRPr="00C41814">
        <w:rPr>
          <w:rFonts w:asciiTheme="minorHAnsi" w:hAnsiTheme="minorHAnsi" w:cstheme="minorHAnsi"/>
          <w:szCs w:val="22"/>
        </w:rPr>
        <w:t xml:space="preserve"> </w:t>
      </w:r>
      <w:r w:rsidR="001C1506" w:rsidRPr="00C41814">
        <w:rPr>
          <w:rFonts w:asciiTheme="minorHAnsi" w:hAnsiTheme="minorHAnsi" w:cstheme="minorHAnsi"/>
          <w:szCs w:val="22"/>
        </w:rPr>
        <w:t xml:space="preserve"> </w:t>
      </w:r>
      <w:r w:rsidR="007B5821" w:rsidRPr="00C41814">
        <w:rPr>
          <w:rFonts w:asciiTheme="minorHAnsi" w:hAnsiTheme="minorHAnsi" w:cstheme="minorHAnsi"/>
          <w:i/>
          <w:iCs/>
          <w:szCs w:val="22"/>
        </w:rPr>
        <w:t>(e)</w:t>
      </w:r>
      <w:r w:rsidR="001C1506" w:rsidRPr="00C41814">
        <w:rPr>
          <w:rFonts w:asciiTheme="minorHAnsi" w:hAnsiTheme="minorHAnsi" w:cstheme="minorHAnsi"/>
          <w:szCs w:val="22"/>
        </w:rPr>
        <w:t>.  Triangulation of data strengthened the validity of the study</w:t>
      </w:r>
      <w:r w:rsidR="00A0232B" w:rsidRPr="00C41814">
        <w:rPr>
          <w:rFonts w:asciiTheme="minorHAnsi" w:hAnsiTheme="minorHAnsi" w:cstheme="minorHAnsi"/>
          <w:szCs w:val="22"/>
        </w:rPr>
        <w:t>.</w:t>
      </w:r>
      <w:r w:rsidR="001C1506" w:rsidRPr="00C41814">
        <w:rPr>
          <w:rFonts w:asciiTheme="minorHAnsi" w:hAnsiTheme="minorHAnsi" w:cstheme="minorHAnsi"/>
          <w:szCs w:val="22"/>
          <w:vertAlign w:val="superscript"/>
        </w:rPr>
        <w:footnoteReference w:id="22"/>
      </w:r>
      <w:r w:rsidR="001C1506" w:rsidRPr="00C41814">
        <w:rPr>
          <w:rFonts w:asciiTheme="minorHAnsi" w:hAnsiTheme="minorHAnsi" w:cstheme="minorHAnsi"/>
          <w:szCs w:val="22"/>
        </w:rPr>
        <w:t xml:space="preserve"> </w:t>
      </w:r>
      <w:r w:rsidR="007111C3" w:rsidRPr="00C41814">
        <w:rPr>
          <w:rFonts w:eastAsia="Times New Roman"/>
        </w:rPr>
        <w:t xml:space="preserve">For the reasons above we believe that the evidence we have obtained from this project </w:t>
      </w:r>
      <w:r w:rsidR="00B02286" w:rsidRPr="00C41814">
        <w:rPr>
          <w:rFonts w:eastAsia="Times New Roman"/>
        </w:rPr>
        <w:t>i</w:t>
      </w:r>
      <w:r w:rsidR="007111C3" w:rsidRPr="00C41814">
        <w:rPr>
          <w:rFonts w:eastAsia="Times New Roman"/>
        </w:rPr>
        <w:t xml:space="preserve">s robust and of value </w:t>
      </w:r>
      <w:r w:rsidR="00B02286" w:rsidRPr="00C41814">
        <w:rPr>
          <w:rFonts w:eastAsia="Times New Roman"/>
        </w:rPr>
        <w:t xml:space="preserve">for </w:t>
      </w:r>
      <w:r w:rsidR="007111C3" w:rsidRPr="00C41814">
        <w:rPr>
          <w:rFonts w:eastAsia="Times New Roman"/>
        </w:rPr>
        <w:t>providing useful insights into th</w:t>
      </w:r>
      <w:r w:rsidR="00B02286" w:rsidRPr="00C41814">
        <w:rPr>
          <w:rFonts w:eastAsia="Times New Roman"/>
        </w:rPr>
        <w:t>e</w:t>
      </w:r>
      <w:r w:rsidR="007111C3" w:rsidRPr="00C41814">
        <w:rPr>
          <w:rFonts w:eastAsia="Times New Roman"/>
        </w:rPr>
        <w:t xml:space="preserve"> area</w:t>
      </w:r>
      <w:r w:rsidR="00214CBD" w:rsidRPr="00C41814">
        <w:rPr>
          <w:rFonts w:eastAsia="Times New Roman"/>
        </w:rPr>
        <w:t>s</w:t>
      </w:r>
      <w:r w:rsidR="007111C3" w:rsidRPr="00C41814">
        <w:rPr>
          <w:rFonts w:eastAsia="Times New Roman"/>
        </w:rPr>
        <w:t xml:space="preserve"> of enquiry.</w:t>
      </w:r>
    </w:p>
    <w:p w14:paraId="79AE2F3C" w14:textId="3A9EF89E" w:rsidR="001C1506" w:rsidRPr="00C41814" w:rsidRDefault="001C1506" w:rsidP="00AC4E71">
      <w:pPr>
        <w:spacing w:line="360" w:lineRule="auto"/>
        <w:rPr>
          <w:rFonts w:asciiTheme="minorHAnsi" w:hAnsiTheme="minorHAnsi" w:cstheme="minorHAnsi"/>
          <w:szCs w:val="22"/>
        </w:rPr>
      </w:pPr>
    </w:p>
    <w:p w14:paraId="2A570AEF" w14:textId="193B525D" w:rsidR="001C1506" w:rsidRPr="00C41814" w:rsidRDefault="001C1506" w:rsidP="008E5806">
      <w:pPr>
        <w:spacing w:after="200" w:line="360" w:lineRule="auto"/>
        <w:rPr>
          <w:rFonts w:asciiTheme="minorHAnsi" w:hAnsiTheme="minorHAnsi" w:cstheme="minorHAnsi"/>
          <w:szCs w:val="22"/>
        </w:rPr>
      </w:pPr>
      <w:r w:rsidRPr="00C41814">
        <w:rPr>
          <w:rFonts w:asciiTheme="minorHAnsi" w:hAnsiTheme="minorHAnsi" w:cstheme="minorHAnsi"/>
          <w:szCs w:val="22"/>
        </w:rPr>
        <w:t>Following ethics approval, the study was undertaken in three phases: (</w:t>
      </w:r>
      <w:proofErr w:type="spellStart"/>
      <w:r w:rsidR="00121AA5" w:rsidRPr="00C41814">
        <w:rPr>
          <w:rFonts w:asciiTheme="minorHAnsi" w:hAnsiTheme="minorHAnsi" w:cstheme="minorHAnsi"/>
          <w:szCs w:val="22"/>
        </w:rPr>
        <w:t>i</w:t>
      </w:r>
      <w:proofErr w:type="spellEnd"/>
      <w:r w:rsidRPr="00C41814">
        <w:rPr>
          <w:rFonts w:asciiTheme="minorHAnsi" w:hAnsiTheme="minorHAnsi" w:cstheme="minorHAnsi"/>
          <w:szCs w:val="22"/>
        </w:rPr>
        <w:t xml:space="preserve">) an </w:t>
      </w:r>
      <w:r w:rsidR="00DD2EB3" w:rsidRPr="00C41814">
        <w:rPr>
          <w:rFonts w:asciiTheme="minorHAnsi" w:hAnsiTheme="minorHAnsi" w:cstheme="minorHAnsi"/>
          <w:szCs w:val="22"/>
        </w:rPr>
        <w:t xml:space="preserve">online </w:t>
      </w:r>
      <w:r w:rsidRPr="00C41814">
        <w:rPr>
          <w:rFonts w:asciiTheme="minorHAnsi" w:hAnsiTheme="minorHAnsi" w:cstheme="minorHAnsi"/>
          <w:szCs w:val="22"/>
        </w:rPr>
        <w:t xml:space="preserve">survey of practising lawyers </w:t>
      </w:r>
      <w:r w:rsidR="00214CBD" w:rsidRPr="00C41814">
        <w:rPr>
          <w:rFonts w:asciiTheme="minorHAnsi" w:hAnsiTheme="minorHAnsi" w:cstheme="minorHAnsi"/>
          <w:szCs w:val="22"/>
        </w:rPr>
        <w:t>for</w:t>
      </w:r>
      <w:r w:rsidRPr="00C41814">
        <w:rPr>
          <w:rFonts w:asciiTheme="minorHAnsi" w:hAnsiTheme="minorHAnsi" w:cstheme="minorHAnsi"/>
          <w:szCs w:val="22"/>
        </w:rPr>
        <w:t xml:space="preserve"> self-reported use of CGs in medical negligence litigation</w:t>
      </w:r>
      <w:r w:rsidR="00214CBD" w:rsidRPr="00C41814">
        <w:rPr>
          <w:rFonts w:asciiTheme="minorHAnsi" w:hAnsiTheme="minorHAnsi" w:cstheme="minorHAnsi"/>
          <w:szCs w:val="22"/>
        </w:rPr>
        <w:t>;</w:t>
      </w:r>
      <w:r w:rsidRPr="00C41814">
        <w:rPr>
          <w:rFonts w:asciiTheme="minorHAnsi" w:hAnsiTheme="minorHAnsi" w:cstheme="minorHAnsi"/>
          <w:szCs w:val="22"/>
        </w:rPr>
        <w:t xml:space="preserve"> collection of data from NHS Resolution regarding medical litigation claims between 2007/08 and 2016/17;</w:t>
      </w:r>
      <w:r w:rsidRPr="00C41814">
        <w:rPr>
          <w:rFonts w:asciiTheme="minorHAnsi" w:hAnsiTheme="minorHAnsi" w:cstheme="minorHAnsi"/>
          <w:szCs w:val="22"/>
          <w:vertAlign w:val="superscript"/>
        </w:rPr>
        <w:footnoteReference w:id="23"/>
      </w:r>
      <w:r w:rsidRPr="00C41814">
        <w:rPr>
          <w:rFonts w:asciiTheme="minorHAnsi" w:hAnsiTheme="minorHAnsi" w:cstheme="minorHAnsi"/>
          <w:szCs w:val="22"/>
        </w:rPr>
        <w:t xml:space="preserve"> (</w:t>
      </w:r>
      <w:r w:rsidR="00121AA5" w:rsidRPr="00C41814">
        <w:rPr>
          <w:rFonts w:asciiTheme="minorHAnsi" w:hAnsiTheme="minorHAnsi" w:cstheme="minorHAnsi"/>
          <w:szCs w:val="22"/>
        </w:rPr>
        <w:t>ii</w:t>
      </w:r>
      <w:r w:rsidRPr="00C41814">
        <w:rPr>
          <w:rFonts w:asciiTheme="minorHAnsi" w:hAnsiTheme="minorHAnsi" w:cstheme="minorHAnsi"/>
          <w:szCs w:val="22"/>
        </w:rPr>
        <w:t xml:space="preserve">) in-depth </w:t>
      </w:r>
      <w:r w:rsidR="006F3202" w:rsidRPr="00C41814">
        <w:rPr>
          <w:rFonts w:asciiTheme="minorHAnsi" w:hAnsiTheme="minorHAnsi" w:cstheme="minorHAnsi"/>
          <w:szCs w:val="22"/>
        </w:rPr>
        <w:t xml:space="preserve">Skype or conference- call </w:t>
      </w:r>
      <w:r w:rsidRPr="00C41814">
        <w:rPr>
          <w:rFonts w:asciiTheme="minorHAnsi" w:hAnsiTheme="minorHAnsi" w:cstheme="minorHAnsi"/>
          <w:szCs w:val="22"/>
        </w:rPr>
        <w:t>interviews with senior lawyers peer-recognised for their expertise in medical negligence</w:t>
      </w:r>
      <w:r w:rsidR="00214CBD" w:rsidRPr="00C41814">
        <w:rPr>
          <w:rFonts w:asciiTheme="minorHAnsi" w:hAnsiTheme="minorHAnsi" w:cstheme="minorHAnsi"/>
          <w:szCs w:val="22"/>
        </w:rPr>
        <w:t>,</w:t>
      </w:r>
      <w:r w:rsidR="006F3202" w:rsidRPr="00C41814">
        <w:rPr>
          <w:rFonts w:asciiTheme="minorHAnsi" w:hAnsiTheme="minorHAnsi" w:cstheme="minorHAnsi"/>
          <w:szCs w:val="22"/>
        </w:rPr>
        <w:t xml:space="preserve"> to explore </w:t>
      </w:r>
      <w:r w:rsidRPr="00C41814">
        <w:rPr>
          <w:rFonts w:asciiTheme="minorHAnsi" w:hAnsiTheme="minorHAnsi" w:cstheme="minorHAnsi"/>
          <w:szCs w:val="22"/>
        </w:rPr>
        <w:t xml:space="preserve">how CGs are </w:t>
      </w:r>
      <w:r w:rsidR="009B4B3D" w:rsidRPr="00C41814">
        <w:rPr>
          <w:rFonts w:asciiTheme="minorHAnsi" w:hAnsiTheme="minorHAnsi" w:cstheme="minorHAnsi"/>
          <w:szCs w:val="22"/>
        </w:rPr>
        <w:t xml:space="preserve">used </w:t>
      </w:r>
      <w:r w:rsidRPr="00C41814">
        <w:rPr>
          <w:rFonts w:asciiTheme="minorHAnsi" w:hAnsiTheme="minorHAnsi" w:cstheme="minorHAnsi"/>
          <w:szCs w:val="22"/>
        </w:rPr>
        <w:t>currently in litigation; (</w:t>
      </w:r>
      <w:r w:rsidR="00121AA5" w:rsidRPr="00C41814">
        <w:rPr>
          <w:rFonts w:asciiTheme="minorHAnsi" w:hAnsiTheme="minorHAnsi" w:cstheme="minorHAnsi"/>
          <w:szCs w:val="22"/>
        </w:rPr>
        <w:t>iii</w:t>
      </w:r>
      <w:r w:rsidRPr="00C41814">
        <w:rPr>
          <w:rFonts w:asciiTheme="minorHAnsi" w:hAnsiTheme="minorHAnsi" w:cstheme="minorHAnsi"/>
          <w:szCs w:val="22"/>
        </w:rPr>
        <w:t>) a CDG between clinicians, lawyers and other healthcare professionals to ex</w:t>
      </w:r>
      <w:r w:rsidR="00214CBD" w:rsidRPr="00C41814">
        <w:rPr>
          <w:rFonts w:asciiTheme="minorHAnsi" w:hAnsiTheme="minorHAnsi" w:cstheme="minorHAnsi"/>
          <w:szCs w:val="22"/>
        </w:rPr>
        <w:t>amine</w:t>
      </w:r>
      <w:r w:rsidRPr="00C41814">
        <w:rPr>
          <w:rFonts w:asciiTheme="minorHAnsi" w:hAnsiTheme="minorHAnsi" w:cstheme="minorHAnsi"/>
          <w:szCs w:val="22"/>
        </w:rPr>
        <w:t xml:space="preserve"> perceptions of barriers to evidence-based CGs in practice.</w:t>
      </w:r>
      <w:r w:rsidRPr="00C41814">
        <w:rPr>
          <w:rFonts w:asciiTheme="minorHAnsi" w:hAnsiTheme="minorHAnsi" w:cstheme="minorHAnsi"/>
          <w:szCs w:val="22"/>
          <w:vertAlign w:val="superscript"/>
        </w:rPr>
        <w:footnoteReference w:id="24"/>
      </w:r>
    </w:p>
    <w:p w14:paraId="684B294C" w14:textId="77777777" w:rsidR="001C1506" w:rsidRPr="00C41814" w:rsidRDefault="001C1506" w:rsidP="008E5806">
      <w:pPr>
        <w:spacing w:after="200" w:line="360" w:lineRule="auto"/>
        <w:jc w:val="center"/>
        <w:rPr>
          <w:rFonts w:asciiTheme="minorHAnsi" w:hAnsiTheme="minorHAnsi" w:cstheme="minorHAnsi"/>
          <w:i/>
          <w:szCs w:val="22"/>
        </w:rPr>
      </w:pPr>
      <w:r w:rsidRPr="00C41814">
        <w:rPr>
          <w:rFonts w:asciiTheme="minorHAnsi" w:hAnsiTheme="minorHAnsi" w:cstheme="minorHAnsi"/>
          <w:i/>
          <w:szCs w:val="22"/>
        </w:rPr>
        <w:lastRenderedPageBreak/>
        <w:t>B. Data collection</w:t>
      </w:r>
    </w:p>
    <w:p w14:paraId="267C2479" w14:textId="6C537247" w:rsidR="001C1506" w:rsidRPr="00C41814" w:rsidRDefault="001C1506" w:rsidP="008E5806">
      <w:pPr>
        <w:spacing w:after="200" w:line="360" w:lineRule="auto"/>
        <w:rPr>
          <w:rFonts w:asciiTheme="minorHAnsi" w:hAnsiTheme="minorHAnsi" w:cstheme="minorHAnsi"/>
          <w:szCs w:val="22"/>
        </w:rPr>
      </w:pPr>
      <w:r w:rsidRPr="00C41814">
        <w:rPr>
          <w:rFonts w:asciiTheme="minorHAnsi" w:hAnsiTheme="minorHAnsi" w:cstheme="minorHAnsi"/>
          <w:szCs w:val="22"/>
        </w:rPr>
        <w:t xml:space="preserve">A questionnaire similar to </w:t>
      </w:r>
      <w:r w:rsidR="009B4B3D" w:rsidRPr="00C41814">
        <w:rPr>
          <w:rFonts w:asciiTheme="minorHAnsi" w:hAnsiTheme="minorHAnsi" w:cstheme="minorHAnsi"/>
          <w:szCs w:val="22"/>
        </w:rPr>
        <w:t xml:space="preserve">one </w:t>
      </w:r>
      <w:r w:rsidR="00F12B2F" w:rsidRPr="00C41814">
        <w:rPr>
          <w:rFonts w:asciiTheme="minorHAnsi" w:hAnsiTheme="minorHAnsi" w:cstheme="minorHAnsi"/>
          <w:szCs w:val="22"/>
        </w:rPr>
        <w:t xml:space="preserve">used </w:t>
      </w:r>
      <w:r w:rsidRPr="00C41814">
        <w:rPr>
          <w:rFonts w:asciiTheme="minorHAnsi" w:hAnsiTheme="minorHAnsi" w:cstheme="minorHAnsi"/>
          <w:szCs w:val="22"/>
        </w:rPr>
        <w:t>previously</w:t>
      </w:r>
      <w:r w:rsidRPr="00C41814">
        <w:rPr>
          <w:rFonts w:asciiTheme="minorHAnsi" w:hAnsiTheme="minorHAnsi" w:cstheme="minorHAnsi"/>
          <w:szCs w:val="22"/>
          <w:vertAlign w:val="superscript"/>
        </w:rPr>
        <w:footnoteReference w:id="25"/>
      </w:r>
      <w:r w:rsidRPr="00C41814">
        <w:rPr>
          <w:rFonts w:asciiTheme="minorHAnsi" w:hAnsiTheme="minorHAnsi" w:cstheme="minorHAnsi"/>
          <w:szCs w:val="22"/>
        </w:rPr>
        <w:t xml:space="preserve"> was </w:t>
      </w:r>
      <w:r w:rsidR="00F12B2F" w:rsidRPr="00C41814">
        <w:rPr>
          <w:rFonts w:asciiTheme="minorHAnsi" w:hAnsiTheme="minorHAnsi" w:cstheme="minorHAnsi"/>
          <w:szCs w:val="22"/>
        </w:rPr>
        <w:t xml:space="preserve">circulated </w:t>
      </w:r>
      <w:r w:rsidRPr="00C41814">
        <w:rPr>
          <w:rFonts w:asciiTheme="minorHAnsi" w:hAnsiTheme="minorHAnsi" w:cstheme="minorHAnsi"/>
          <w:szCs w:val="22"/>
        </w:rPr>
        <w:t>to facilitate comparison with previous results,</w:t>
      </w:r>
      <w:r w:rsidRPr="00C41814">
        <w:rPr>
          <w:rFonts w:asciiTheme="minorHAnsi" w:hAnsiTheme="minorHAnsi" w:cstheme="minorHAnsi"/>
          <w:szCs w:val="22"/>
          <w:vertAlign w:val="superscript"/>
        </w:rPr>
        <w:footnoteReference w:id="26"/>
      </w:r>
      <w:r w:rsidRPr="00C41814">
        <w:rPr>
          <w:rFonts w:asciiTheme="minorHAnsi" w:hAnsiTheme="minorHAnsi" w:cstheme="minorHAnsi"/>
          <w:szCs w:val="22"/>
        </w:rPr>
        <w:t xml:space="preserve"> and </w:t>
      </w:r>
      <w:r w:rsidR="009B4B3D" w:rsidRPr="00C41814">
        <w:rPr>
          <w:rFonts w:asciiTheme="minorHAnsi" w:hAnsiTheme="minorHAnsi" w:cstheme="minorHAnsi"/>
          <w:szCs w:val="22"/>
        </w:rPr>
        <w:t xml:space="preserve">to </w:t>
      </w:r>
      <w:r w:rsidRPr="00C41814">
        <w:rPr>
          <w:rFonts w:asciiTheme="minorHAnsi" w:hAnsiTheme="minorHAnsi" w:cstheme="minorHAnsi"/>
          <w:szCs w:val="22"/>
        </w:rPr>
        <w:t>ascertain change over time.</w:t>
      </w:r>
      <w:r w:rsidR="00F12B2F" w:rsidRPr="00C41814">
        <w:rPr>
          <w:rFonts w:asciiTheme="minorHAnsi" w:hAnsiTheme="minorHAnsi" w:cstheme="minorHAnsi"/>
          <w:szCs w:val="22"/>
        </w:rPr>
        <w:t xml:space="preserve">  </w:t>
      </w:r>
      <w:r w:rsidR="0070620E" w:rsidRPr="00C41814">
        <w:rPr>
          <w:rFonts w:asciiTheme="minorHAnsi" w:hAnsiTheme="minorHAnsi" w:cstheme="minorHAnsi"/>
          <w:szCs w:val="22"/>
        </w:rPr>
        <w:t>T</w:t>
      </w:r>
      <w:r w:rsidRPr="00C41814">
        <w:rPr>
          <w:rFonts w:asciiTheme="minorHAnsi" w:hAnsiTheme="minorHAnsi" w:cstheme="minorHAnsi"/>
          <w:szCs w:val="22"/>
        </w:rPr>
        <w:t>here focus</w:t>
      </w:r>
      <w:r w:rsidR="00214CBD" w:rsidRPr="00C41814">
        <w:rPr>
          <w:rFonts w:asciiTheme="minorHAnsi" w:hAnsiTheme="minorHAnsi" w:cstheme="minorHAnsi"/>
          <w:szCs w:val="22"/>
        </w:rPr>
        <w:t xml:space="preserve"> was</w:t>
      </w:r>
      <w:r w:rsidRPr="00C41814">
        <w:rPr>
          <w:rFonts w:asciiTheme="minorHAnsi" w:hAnsiTheme="minorHAnsi" w:cstheme="minorHAnsi"/>
          <w:szCs w:val="22"/>
        </w:rPr>
        <w:t xml:space="preserve"> on </w:t>
      </w:r>
      <w:r w:rsidR="00B02286" w:rsidRPr="00C41814">
        <w:rPr>
          <w:rFonts w:asciiTheme="minorHAnsi" w:hAnsiTheme="minorHAnsi" w:cstheme="minorHAnsi"/>
          <w:szCs w:val="22"/>
        </w:rPr>
        <w:t xml:space="preserve">participants’ </w:t>
      </w:r>
      <w:r w:rsidRPr="00C41814">
        <w:rPr>
          <w:rFonts w:asciiTheme="minorHAnsi" w:hAnsiTheme="minorHAnsi" w:cstheme="minorHAnsi"/>
          <w:szCs w:val="22"/>
        </w:rPr>
        <w:t>actual or observed experience</w:t>
      </w:r>
      <w:r w:rsidR="00B02286" w:rsidRPr="00C41814">
        <w:rPr>
          <w:rFonts w:asciiTheme="minorHAnsi" w:hAnsiTheme="minorHAnsi" w:cstheme="minorHAnsi"/>
          <w:szCs w:val="22"/>
        </w:rPr>
        <w:t>s</w:t>
      </w:r>
      <w:r w:rsidRPr="00C41814">
        <w:rPr>
          <w:rFonts w:asciiTheme="minorHAnsi" w:hAnsiTheme="minorHAnsi" w:cstheme="minorHAnsi"/>
          <w:szCs w:val="22"/>
        </w:rPr>
        <w:t xml:space="preserve"> of </w:t>
      </w:r>
      <w:r w:rsidR="009B4B3D" w:rsidRPr="00C41814">
        <w:rPr>
          <w:rFonts w:asciiTheme="minorHAnsi" w:hAnsiTheme="minorHAnsi" w:cstheme="minorHAnsi"/>
          <w:szCs w:val="22"/>
        </w:rPr>
        <w:t xml:space="preserve">how </w:t>
      </w:r>
      <w:r w:rsidR="0070620E" w:rsidRPr="00C41814">
        <w:rPr>
          <w:rFonts w:asciiTheme="minorHAnsi" w:hAnsiTheme="minorHAnsi" w:cstheme="minorHAnsi"/>
          <w:szCs w:val="22"/>
        </w:rPr>
        <w:t xml:space="preserve">CGs </w:t>
      </w:r>
      <w:r w:rsidR="009B4B3D" w:rsidRPr="00C41814">
        <w:rPr>
          <w:rFonts w:asciiTheme="minorHAnsi" w:hAnsiTheme="minorHAnsi" w:cstheme="minorHAnsi"/>
          <w:szCs w:val="22"/>
        </w:rPr>
        <w:t xml:space="preserve">were used </w:t>
      </w:r>
      <w:r w:rsidRPr="00C41814">
        <w:rPr>
          <w:rFonts w:asciiTheme="minorHAnsi" w:hAnsiTheme="minorHAnsi" w:cstheme="minorHAnsi"/>
          <w:szCs w:val="22"/>
        </w:rPr>
        <w:t xml:space="preserve">at all stages of the litigation process. </w:t>
      </w:r>
      <w:r w:rsidR="0070620E" w:rsidRPr="00C41814">
        <w:rPr>
          <w:rFonts w:asciiTheme="minorHAnsi" w:hAnsiTheme="minorHAnsi" w:cstheme="minorHAnsi"/>
          <w:szCs w:val="22"/>
        </w:rPr>
        <w:t xml:space="preserve"> </w:t>
      </w:r>
      <w:r w:rsidRPr="00C41814">
        <w:rPr>
          <w:rFonts w:asciiTheme="minorHAnsi" w:hAnsiTheme="minorHAnsi" w:cstheme="minorHAnsi"/>
          <w:szCs w:val="22"/>
        </w:rPr>
        <w:t xml:space="preserve">Free-text boxes </w:t>
      </w:r>
      <w:r w:rsidR="0070620E" w:rsidRPr="00C41814">
        <w:rPr>
          <w:rFonts w:asciiTheme="minorHAnsi" w:hAnsiTheme="minorHAnsi" w:cstheme="minorHAnsi"/>
          <w:szCs w:val="22"/>
        </w:rPr>
        <w:t xml:space="preserve">encouraged </w:t>
      </w:r>
      <w:r w:rsidR="00B02286" w:rsidRPr="00C41814">
        <w:rPr>
          <w:rFonts w:asciiTheme="minorHAnsi" w:hAnsiTheme="minorHAnsi" w:cstheme="minorHAnsi"/>
          <w:szCs w:val="22"/>
        </w:rPr>
        <w:t xml:space="preserve">further </w:t>
      </w:r>
      <w:r w:rsidRPr="00C41814">
        <w:rPr>
          <w:rFonts w:asciiTheme="minorHAnsi" w:hAnsiTheme="minorHAnsi" w:cstheme="minorHAnsi"/>
          <w:szCs w:val="22"/>
        </w:rPr>
        <w:t>elaborat</w:t>
      </w:r>
      <w:r w:rsidR="00B02286" w:rsidRPr="00C41814">
        <w:rPr>
          <w:rFonts w:asciiTheme="minorHAnsi" w:hAnsiTheme="minorHAnsi" w:cstheme="minorHAnsi"/>
          <w:szCs w:val="22"/>
        </w:rPr>
        <w:t xml:space="preserve">ion of </w:t>
      </w:r>
      <w:r w:rsidRPr="00C41814">
        <w:rPr>
          <w:rFonts w:asciiTheme="minorHAnsi" w:hAnsiTheme="minorHAnsi" w:cstheme="minorHAnsi"/>
          <w:szCs w:val="22"/>
        </w:rPr>
        <w:t>responses. Following a “pilot”, the questionnaire was refined</w:t>
      </w:r>
      <w:r w:rsidRPr="00C41814">
        <w:rPr>
          <w:rFonts w:asciiTheme="minorHAnsi" w:hAnsiTheme="minorHAnsi" w:cstheme="minorHAnsi"/>
          <w:szCs w:val="22"/>
          <w:vertAlign w:val="superscript"/>
        </w:rPr>
        <w:footnoteReference w:id="27"/>
      </w:r>
      <w:r w:rsidRPr="00C41814">
        <w:rPr>
          <w:rFonts w:asciiTheme="minorHAnsi" w:hAnsiTheme="minorHAnsi" w:cstheme="minorHAnsi"/>
          <w:szCs w:val="22"/>
        </w:rPr>
        <w:t xml:space="preserve"> and </w:t>
      </w:r>
      <w:r w:rsidR="00EE096D" w:rsidRPr="00C41814">
        <w:rPr>
          <w:rFonts w:asciiTheme="minorHAnsi" w:hAnsiTheme="minorHAnsi" w:cstheme="minorHAnsi"/>
          <w:szCs w:val="22"/>
        </w:rPr>
        <w:t xml:space="preserve">conducted </w:t>
      </w:r>
      <w:r w:rsidRPr="00C41814">
        <w:rPr>
          <w:rFonts w:asciiTheme="minorHAnsi" w:hAnsiTheme="minorHAnsi" w:cstheme="minorHAnsi"/>
          <w:szCs w:val="22"/>
        </w:rPr>
        <w:t>using SurveyMonkey which has been validated as a comprehensive and reliable tool.</w:t>
      </w:r>
      <w:r w:rsidRPr="00C41814">
        <w:rPr>
          <w:rFonts w:asciiTheme="minorHAnsi" w:hAnsiTheme="minorHAnsi" w:cstheme="minorHAnsi"/>
          <w:szCs w:val="22"/>
          <w:vertAlign w:val="superscript"/>
        </w:rPr>
        <w:footnoteReference w:id="28"/>
      </w:r>
      <w:r w:rsidRPr="00C41814">
        <w:rPr>
          <w:rFonts w:asciiTheme="minorHAnsi" w:hAnsiTheme="minorHAnsi" w:cstheme="minorHAnsi"/>
          <w:szCs w:val="22"/>
        </w:rPr>
        <w:t xml:space="preserve"> Solicitors and barristers practising mainly in medical negligence in England and Wales were identified using Chambers UK Guide to the Legal Profession</w:t>
      </w:r>
      <w:r w:rsidRPr="00C41814">
        <w:rPr>
          <w:rFonts w:asciiTheme="minorHAnsi" w:hAnsiTheme="minorHAnsi" w:cstheme="minorHAnsi"/>
          <w:szCs w:val="22"/>
          <w:vertAlign w:val="superscript"/>
        </w:rPr>
        <w:footnoteReference w:id="29"/>
      </w:r>
      <w:r w:rsidRPr="00C41814">
        <w:rPr>
          <w:rFonts w:asciiTheme="minorHAnsi" w:hAnsiTheme="minorHAnsi" w:cstheme="minorHAnsi"/>
          <w:szCs w:val="22"/>
        </w:rPr>
        <w:t xml:space="preserve"> and the Legal 500 Directory.</w:t>
      </w:r>
      <w:r w:rsidRPr="00C41814">
        <w:rPr>
          <w:rFonts w:asciiTheme="minorHAnsi" w:hAnsiTheme="minorHAnsi" w:cstheme="minorHAnsi"/>
          <w:szCs w:val="22"/>
          <w:vertAlign w:val="superscript"/>
        </w:rPr>
        <w:footnoteReference w:id="30"/>
      </w:r>
      <w:r w:rsidRPr="00C41814">
        <w:rPr>
          <w:rFonts w:asciiTheme="minorHAnsi" w:hAnsiTheme="minorHAnsi" w:cstheme="minorHAnsi"/>
          <w:szCs w:val="22"/>
        </w:rPr>
        <w:t xml:space="preserve"> A representative sample of practising lawyers with significant experience was obtained </w:t>
      </w:r>
      <w:r w:rsidR="00485AD1" w:rsidRPr="00C41814">
        <w:rPr>
          <w:rFonts w:asciiTheme="minorHAnsi" w:hAnsiTheme="minorHAnsi" w:cstheme="minorHAnsi"/>
          <w:szCs w:val="22"/>
        </w:rPr>
        <w:t xml:space="preserve">from </w:t>
      </w:r>
      <w:r w:rsidRPr="00C41814">
        <w:rPr>
          <w:rFonts w:asciiTheme="minorHAnsi" w:hAnsiTheme="minorHAnsi" w:cstheme="minorHAnsi"/>
          <w:szCs w:val="22"/>
        </w:rPr>
        <w:t xml:space="preserve">law firms’ websites applying a filter of at least three or more new cases of medical negligence per year. A cover letter and questionnaire were emailed to </w:t>
      </w:r>
      <w:r w:rsidR="00054240" w:rsidRPr="00C41814">
        <w:rPr>
          <w:rFonts w:asciiTheme="minorHAnsi" w:hAnsiTheme="minorHAnsi" w:cstheme="minorHAnsi"/>
          <w:szCs w:val="22"/>
        </w:rPr>
        <w:t xml:space="preserve">289 </w:t>
      </w:r>
      <w:r w:rsidRPr="00C41814">
        <w:rPr>
          <w:rFonts w:asciiTheme="minorHAnsi" w:hAnsiTheme="minorHAnsi" w:cstheme="minorHAnsi"/>
          <w:szCs w:val="22"/>
        </w:rPr>
        <w:t>practising lawyers with reminders sent to non-responders</w:t>
      </w:r>
      <w:r w:rsidR="00C912AF" w:rsidRPr="00C41814">
        <w:rPr>
          <w:rFonts w:asciiTheme="minorHAnsi" w:hAnsiTheme="minorHAnsi" w:cstheme="minorHAnsi"/>
          <w:szCs w:val="22"/>
        </w:rPr>
        <w:t xml:space="preserve"> at four and eight-</w:t>
      </w:r>
      <w:r w:rsidRPr="00C41814">
        <w:rPr>
          <w:rFonts w:asciiTheme="minorHAnsi" w:hAnsiTheme="minorHAnsi" w:cstheme="minorHAnsi"/>
          <w:szCs w:val="22"/>
        </w:rPr>
        <w:t>week intervals.</w:t>
      </w:r>
    </w:p>
    <w:p w14:paraId="039003F6" w14:textId="01C21F91" w:rsidR="001C1506" w:rsidRPr="00C41814" w:rsidRDefault="001C1506" w:rsidP="008E5806">
      <w:pPr>
        <w:spacing w:after="200" w:line="360" w:lineRule="auto"/>
        <w:rPr>
          <w:rFonts w:asciiTheme="minorHAnsi" w:hAnsiTheme="minorHAnsi" w:cstheme="minorHAnsi"/>
          <w:szCs w:val="22"/>
        </w:rPr>
      </w:pPr>
      <w:r w:rsidRPr="00C41814">
        <w:rPr>
          <w:rFonts w:asciiTheme="minorHAnsi" w:hAnsiTheme="minorHAnsi" w:cstheme="minorHAnsi"/>
          <w:szCs w:val="22"/>
        </w:rPr>
        <w:t xml:space="preserve">A principal function of NHS Resolution </w:t>
      </w:r>
      <w:r w:rsidR="009B4B3D" w:rsidRPr="00C41814">
        <w:rPr>
          <w:rFonts w:asciiTheme="minorHAnsi" w:hAnsiTheme="minorHAnsi" w:cstheme="minorHAnsi"/>
          <w:szCs w:val="22"/>
        </w:rPr>
        <w:t xml:space="preserve">pertains </w:t>
      </w:r>
      <w:r w:rsidRPr="00C41814">
        <w:rPr>
          <w:rFonts w:asciiTheme="minorHAnsi" w:hAnsiTheme="minorHAnsi" w:cstheme="minorHAnsi"/>
          <w:szCs w:val="22"/>
        </w:rPr>
        <w:t xml:space="preserve">to claims for compensation </w:t>
      </w:r>
      <w:r w:rsidR="00B02286" w:rsidRPr="00C41814">
        <w:rPr>
          <w:rFonts w:asciiTheme="minorHAnsi" w:hAnsiTheme="minorHAnsi" w:cstheme="minorHAnsi"/>
          <w:szCs w:val="22"/>
        </w:rPr>
        <w:t xml:space="preserve">brought </w:t>
      </w:r>
      <w:r w:rsidR="009B4B3D" w:rsidRPr="00C41814">
        <w:rPr>
          <w:rFonts w:asciiTheme="minorHAnsi" w:hAnsiTheme="minorHAnsi" w:cstheme="minorHAnsi"/>
          <w:szCs w:val="22"/>
        </w:rPr>
        <w:t xml:space="preserve">against </w:t>
      </w:r>
      <w:r w:rsidRPr="00C41814">
        <w:rPr>
          <w:rFonts w:asciiTheme="minorHAnsi" w:hAnsiTheme="minorHAnsi" w:cstheme="minorHAnsi"/>
          <w:szCs w:val="22"/>
        </w:rPr>
        <w:t>the NHS in England for negligent medical care.</w:t>
      </w:r>
      <w:r w:rsidRPr="00C41814">
        <w:rPr>
          <w:rFonts w:asciiTheme="minorHAnsi" w:hAnsiTheme="minorHAnsi" w:cstheme="minorHAnsi"/>
          <w:szCs w:val="22"/>
          <w:vertAlign w:val="superscript"/>
        </w:rPr>
        <w:footnoteReference w:id="31"/>
      </w:r>
      <w:r w:rsidRPr="00C41814">
        <w:rPr>
          <w:rFonts w:asciiTheme="minorHAnsi" w:hAnsiTheme="minorHAnsi" w:cstheme="minorHAnsi"/>
          <w:szCs w:val="22"/>
        </w:rPr>
        <w:t xml:space="preserve"> </w:t>
      </w:r>
      <w:r w:rsidR="009B4B3D" w:rsidRPr="00C41814">
        <w:rPr>
          <w:rFonts w:asciiTheme="minorHAnsi" w:hAnsiTheme="minorHAnsi" w:cstheme="minorHAnsi"/>
          <w:szCs w:val="22"/>
        </w:rPr>
        <w:t xml:space="preserve">NHS Resolution provided data on </w:t>
      </w:r>
      <w:r w:rsidRPr="00C41814">
        <w:rPr>
          <w:rFonts w:asciiTheme="minorHAnsi" w:hAnsiTheme="minorHAnsi" w:cstheme="minorHAnsi"/>
          <w:szCs w:val="22"/>
        </w:rPr>
        <w:t xml:space="preserve">the total number of claims settled and </w:t>
      </w:r>
      <w:r w:rsidR="0021512D" w:rsidRPr="00C41814">
        <w:rPr>
          <w:rFonts w:asciiTheme="minorHAnsi" w:hAnsiTheme="minorHAnsi" w:cstheme="minorHAnsi"/>
          <w:szCs w:val="22"/>
        </w:rPr>
        <w:t>numbers of</w:t>
      </w:r>
      <w:r w:rsidRPr="00C41814">
        <w:rPr>
          <w:rFonts w:asciiTheme="minorHAnsi" w:hAnsiTheme="minorHAnsi" w:cstheme="minorHAnsi"/>
          <w:szCs w:val="22"/>
        </w:rPr>
        <w:t>: a) claims settled without proceedings b) claims settled with proceedings c) claims settled with (or without) trial and the level of damages awarded (where relevant).</w:t>
      </w:r>
      <w:r w:rsidRPr="00C41814">
        <w:rPr>
          <w:rFonts w:asciiTheme="minorHAnsi" w:hAnsiTheme="minorHAnsi" w:cstheme="minorHAnsi"/>
          <w:szCs w:val="22"/>
          <w:vertAlign w:val="superscript"/>
        </w:rPr>
        <w:footnoteReference w:id="32"/>
      </w:r>
      <w:r w:rsidRPr="00C41814">
        <w:rPr>
          <w:rFonts w:asciiTheme="minorHAnsi" w:hAnsiTheme="minorHAnsi" w:cstheme="minorHAnsi"/>
          <w:szCs w:val="22"/>
        </w:rPr>
        <w:t xml:space="preserve"> </w:t>
      </w:r>
    </w:p>
    <w:p w14:paraId="46F4AB37" w14:textId="06344024" w:rsidR="001C1506" w:rsidRPr="00C41814" w:rsidRDefault="001C1506" w:rsidP="008E5806">
      <w:pPr>
        <w:spacing w:after="200" w:line="360" w:lineRule="auto"/>
        <w:rPr>
          <w:rFonts w:asciiTheme="minorHAnsi" w:hAnsiTheme="minorHAnsi" w:cstheme="minorHAnsi"/>
          <w:szCs w:val="22"/>
        </w:rPr>
      </w:pPr>
      <w:r w:rsidRPr="00C41814">
        <w:rPr>
          <w:rFonts w:asciiTheme="minorHAnsi" w:hAnsiTheme="minorHAnsi" w:cstheme="minorHAnsi"/>
          <w:szCs w:val="22"/>
        </w:rPr>
        <w:t xml:space="preserve">Invitations to be interviewed were </w:t>
      </w:r>
      <w:r w:rsidR="009B4B3D" w:rsidRPr="00C41814">
        <w:rPr>
          <w:rFonts w:asciiTheme="minorHAnsi" w:hAnsiTheme="minorHAnsi" w:cstheme="minorHAnsi"/>
          <w:szCs w:val="22"/>
        </w:rPr>
        <w:t xml:space="preserve">sent </w:t>
      </w:r>
      <w:r w:rsidRPr="00C41814">
        <w:rPr>
          <w:rFonts w:asciiTheme="minorHAnsi" w:hAnsiTheme="minorHAnsi" w:cstheme="minorHAnsi"/>
          <w:szCs w:val="22"/>
        </w:rPr>
        <w:t>to ten participants identified through the survey on the basis of their expertise, size of medical negligence caseload, and six agreed.</w:t>
      </w:r>
      <w:r w:rsidRPr="00C41814">
        <w:rPr>
          <w:rStyle w:val="FootnoteReference"/>
          <w:rFonts w:asciiTheme="minorHAnsi" w:hAnsiTheme="minorHAnsi" w:cstheme="minorHAnsi"/>
          <w:szCs w:val="22"/>
        </w:rPr>
        <w:footnoteReference w:id="33"/>
      </w:r>
      <w:r w:rsidRPr="00C41814">
        <w:rPr>
          <w:rFonts w:asciiTheme="minorHAnsi" w:hAnsiTheme="minorHAnsi" w:cstheme="minorHAnsi"/>
          <w:szCs w:val="22"/>
        </w:rPr>
        <w:t xml:space="preserve"> In-depth interviews </w:t>
      </w:r>
      <w:r w:rsidR="0021512D" w:rsidRPr="00C41814">
        <w:rPr>
          <w:rFonts w:asciiTheme="minorHAnsi" w:hAnsiTheme="minorHAnsi" w:cstheme="minorHAnsi"/>
          <w:szCs w:val="22"/>
        </w:rPr>
        <w:t xml:space="preserve">lasted </w:t>
      </w:r>
      <w:r w:rsidRPr="00C41814">
        <w:rPr>
          <w:rFonts w:asciiTheme="minorHAnsi" w:hAnsiTheme="minorHAnsi" w:cstheme="minorHAnsi"/>
          <w:szCs w:val="22"/>
        </w:rPr>
        <w:t>between 45 and 90 minutes. The</w:t>
      </w:r>
      <w:r w:rsidR="0021512D" w:rsidRPr="00C41814">
        <w:rPr>
          <w:rFonts w:asciiTheme="minorHAnsi" w:hAnsiTheme="minorHAnsi" w:cstheme="minorHAnsi"/>
          <w:szCs w:val="22"/>
        </w:rPr>
        <w:t xml:space="preserve">se were </w:t>
      </w:r>
      <w:r w:rsidRPr="00C41814">
        <w:rPr>
          <w:rFonts w:asciiTheme="minorHAnsi" w:hAnsiTheme="minorHAnsi" w:cstheme="minorHAnsi"/>
          <w:szCs w:val="22"/>
        </w:rPr>
        <w:t>semi-structured, audio</w:t>
      </w:r>
      <w:r w:rsidR="0021512D" w:rsidRPr="00C41814">
        <w:rPr>
          <w:rFonts w:asciiTheme="minorHAnsi" w:hAnsiTheme="minorHAnsi" w:cstheme="minorHAnsi"/>
          <w:szCs w:val="22"/>
        </w:rPr>
        <w:t>-</w:t>
      </w:r>
      <w:r w:rsidRPr="00C41814">
        <w:rPr>
          <w:rFonts w:asciiTheme="minorHAnsi" w:hAnsiTheme="minorHAnsi" w:cstheme="minorHAnsi"/>
          <w:szCs w:val="22"/>
        </w:rPr>
        <w:t>record</w:t>
      </w:r>
      <w:r w:rsidR="0021512D" w:rsidRPr="00C41814">
        <w:rPr>
          <w:rFonts w:asciiTheme="minorHAnsi" w:hAnsiTheme="minorHAnsi" w:cstheme="minorHAnsi"/>
          <w:szCs w:val="22"/>
        </w:rPr>
        <w:t xml:space="preserve">ed </w:t>
      </w:r>
      <w:r w:rsidRPr="00C41814">
        <w:rPr>
          <w:rFonts w:asciiTheme="minorHAnsi" w:hAnsiTheme="minorHAnsi" w:cstheme="minorHAnsi"/>
          <w:szCs w:val="22"/>
        </w:rPr>
        <w:t xml:space="preserve">and conducted by at least two investigators. </w:t>
      </w:r>
    </w:p>
    <w:p w14:paraId="33593552" w14:textId="2ACECD9A" w:rsidR="001C1506" w:rsidRPr="00C41814" w:rsidRDefault="001C1506" w:rsidP="008E5806">
      <w:pPr>
        <w:spacing w:after="200" w:line="360" w:lineRule="auto"/>
        <w:rPr>
          <w:rFonts w:asciiTheme="minorHAnsi" w:hAnsiTheme="minorHAnsi" w:cstheme="minorBidi"/>
          <w:szCs w:val="22"/>
        </w:rPr>
      </w:pPr>
      <w:r w:rsidRPr="00C41814">
        <w:rPr>
          <w:rFonts w:asciiTheme="minorHAnsi" w:hAnsiTheme="minorHAnsi" w:cstheme="minorBidi"/>
          <w:szCs w:val="22"/>
        </w:rPr>
        <w:t>Se</w:t>
      </w:r>
      <w:r w:rsidR="009B4B3D" w:rsidRPr="00C41814">
        <w:rPr>
          <w:rFonts w:asciiTheme="minorHAnsi" w:hAnsiTheme="minorHAnsi" w:cstheme="minorBidi"/>
          <w:szCs w:val="22"/>
        </w:rPr>
        <w:t xml:space="preserve">nior </w:t>
      </w:r>
      <w:r w:rsidRPr="00C41814">
        <w:rPr>
          <w:rFonts w:asciiTheme="minorHAnsi" w:hAnsiTheme="minorHAnsi" w:cstheme="minorBidi"/>
          <w:szCs w:val="22"/>
        </w:rPr>
        <w:t xml:space="preserve">clinicians across </w:t>
      </w:r>
      <w:r w:rsidR="009B4B3D" w:rsidRPr="00C41814">
        <w:rPr>
          <w:rFonts w:asciiTheme="minorHAnsi" w:hAnsiTheme="minorHAnsi" w:cstheme="minorBidi"/>
          <w:szCs w:val="22"/>
        </w:rPr>
        <w:t xml:space="preserve">several </w:t>
      </w:r>
      <w:r w:rsidRPr="00C41814">
        <w:rPr>
          <w:rFonts w:asciiTheme="minorHAnsi" w:hAnsiTheme="minorHAnsi" w:cstheme="minorBidi"/>
          <w:szCs w:val="22"/>
        </w:rPr>
        <w:t xml:space="preserve">specialisms were canvassed to ascertain their perceptions as to the major hurdles </w:t>
      </w:r>
      <w:r w:rsidR="001B3A2A" w:rsidRPr="00C41814">
        <w:rPr>
          <w:rFonts w:asciiTheme="minorHAnsi" w:hAnsiTheme="minorHAnsi" w:cstheme="minorBidi"/>
          <w:szCs w:val="22"/>
        </w:rPr>
        <w:t>to</w:t>
      </w:r>
      <w:r w:rsidRPr="00C41814">
        <w:rPr>
          <w:rFonts w:asciiTheme="minorHAnsi" w:hAnsiTheme="minorHAnsi" w:cstheme="minorBidi"/>
          <w:szCs w:val="22"/>
        </w:rPr>
        <w:t xml:space="preserve"> CGs in practice.</w:t>
      </w:r>
      <w:r w:rsidRPr="00C41814">
        <w:rPr>
          <w:rFonts w:asciiTheme="minorHAnsi" w:hAnsiTheme="minorHAnsi" w:cstheme="minorBidi"/>
          <w:szCs w:val="22"/>
          <w:vertAlign w:val="superscript"/>
        </w:rPr>
        <w:footnoteReference w:id="34"/>
      </w:r>
      <w:r w:rsidRPr="00C41814">
        <w:rPr>
          <w:rFonts w:asciiTheme="minorHAnsi" w:hAnsiTheme="minorHAnsi" w:cstheme="minorBidi"/>
          <w:szCs w:val="22"/>
        </w:rPr>
        <w:t xml:space="preserve"> The following were most frequently raised: (</w:t>
      </w:r>
      <w:proofErr w:type="spellStart"/>
      <w:r w:rsidRPr="00C41814">
        <w:rPr>
          <w:rFonts w:asciiTheme="minorHAnsi" w:hAnsiTheme="minorHAnsi" w:cstheme="minorBidi"/>
          <w:szCs w:val="22"/>
        </w:rPr>
        <w:t>i</w:t>
      </w:r>
      <w:proofErr w:type="spellEnd"/>
      <w:r w:rsidRPr="00C41814">
        <w:rPr>
          <w:rFonts w:asciiTheme="minorHAnsi" w:hAnsiTheme="minorHAnsi" w:cstheme="minorBidi"/>
          <w:szCs w:val="22"/>
        </w:rPr>
        <w:t xml:space="preserve">) limited resources; (ii) limited support and facilitation by employing organisations; (iii) erosion of clinical autonomy. These </w:t>
      </w:r>
      <w:r w:rsidRPr="00C41814">
        <w:rPr>
          <w:rFonts w:asciiTheme="minorHAnsi" w:hAnsiTheme="minorHAnsi" w:cstheme="minorBidi"/>
          <w:szCs w:val="22"/>
        </w:rPr>
        <w:lastRenderedPageBreak/>
        <w:t xml:space="preserve">areas were explored </w:t>
      </w:r>
      <w:r w:rsidR="001B3A2A" w:rsidRPr="00C41814">
        <w:rPr>
          <w:rFonts w:asciiTheme="minorHAnsi" w:hAnsiTheme="minorHAnsi" w:cstheme="minorBidi"/>
          <w:szCs w:val="22"/>
        </w:rPr>
        <w:t>with</w:t>
      </w:r>
      <w:r w:rsidRPr="00C41814">
        <w:rPr>
          <w:rFonts w:asciiTheme="minorHAnsi" w:hAnsiTheme="minorHAnsi" w:cstheme="minorBidi"/>
          <w:szCs w:val="22"/>
        </w:rPr>
        <w:t xml:space="preserve"> 16 participants (8 doctors, 5 lawyers and 3 other health professionals)</w:t>
      </w:r>
      <w:r w:rsidR="002F75D4" w:rsidRPr="00C41814">
        <w:rPr>
          <w:rFonts w:asciiTheme="minorHAnsi" w:hAnsiTheme="minorHAnsi" w:cstheme="minorBidi"/>
          <w:szCs w:val="22"/>
        </w:rPr>
        <w:t xml:space="preserve"> </w:t>
      </w:r>
      <w:r w:rsidR="001B3A2A" w:rsidRPr="00C41814">
        <w:rPr>
          <w:rFonts w:asciiTheme="minorHAnsi" w:hAnsiTheme="minorHAnsi" w:cstheme="minorBidi"/>
          <w:szCs w:val="22"/>
        </w:rPr>
        <w:t>through</w:t>
      </w:r>
      <w:r w:rsidR="002F75D4" w:rsidRPr="00C41814">
        <w:rPr>
          <w:rFonts w:asciiTheme="minorHAnsi" w:hAnsiTheme="minorHAnsi" w:cstheme="minorBidi"/>
          <w:szCs w:val="22"/>
        </w:rPr>
        <w:t xml:space="preserve"> a </w:t>
      </w:r>
      <w:r w:rsidRPr="00C41814">
        <w:rPr>
          <w:rFonts w:asciiTheme="minorHAnsi" w:hAnsiTheme="minorHAnsi" w:cstheme="minorBidi"/>
          <w:szCs w:val="22"/>
        </w:rPr>
        <w:t>CDG.</w:t>
      </w:r>
      <w:r w:rsidRPr="00C41814">
        <w:rPr>
          <w:rFonts w:asciiTheme="minorHAnsi" w:hAnsiTheme="minorHAnsi" w:cstheme="minorBidi"/>
          <w:szCs w:val="22"/>
          <w:vertAlign w:val="superscript"/>
        </w:rPr>
        <w:t xml:space="preserve"> </w:t>
      </w:r>
      <w:r w:rsidRPr="00C41814">
        <w:rPr>
          <w:rFonts w:asciiTheme="minorHAnsi" w:hAnsiTheme="minorHAnsi" w:cstheme="minorBidi"/>
          <w:szCs w:val="22"/>
          <w:vertAlign w:val="superscript"/>
        </w:rPr>
        <w:footnoteReference w:id="35"/>
      </w:r>
      <w:r w:rsidR="000F50FC" w:rsidRPr="00C41814">
        <w:rPr>
          <w:rFonts w:asciiTheme="minorHAnsi" w:hAnsiTheme="minorHAnsi" w:cstheme="minorBidi"/>
          <w:szCs w:val="22"/>
          <w:vertAlign w:val="superscript"/>
        </w:rPr>
        <w:t xml:space="preserve"> </w:t>
      </w:r>
    </w:p>
    <w:p w14:paraId="67E8DF3C" w14:textId="77777777" w:rsidR="00A472F1" w:rsidRPr="00C41814" w:rsidRDefault="00A472F1" w:rsidP="008E5806">
      <w:pPr>
        <w:spacing w:after="200" w:line="360" w:lineRule="auto"/>
        <w:jc w:val="center"/>
        <w:rPr>
          <w:rFonts w:asciiTheme="minorHAnsi" w:hAnsiTheme="minorHAnsi" w:cstheme="minorBidi"/>
          <w:i/>
          <w:szCs w:val="22"/>
        </w:rPr>
      </w:pPr>
    </w:p>
    <w:p w14:paraId="67875BF1" w14:textId="77777777" w:rsidR="001C1506" w:rsidRPr="00C41814" w:rsidRDefault="001C1506" w:rsidP="008E5806">
      <w:pPr>
        <w:spacing w:after="200" w:line="360" w:lineRule="auto"/>
        <w:jc w:val="center"/>
        <w:rPr>
          <w:rFonts w:asciiTheme="minorHAnsi" w:hAnsiTheme="minorHAnsi" w:cstheme="minorBidi"/>
          <w:i/>
          <w:szCs w:val="22"/>
        </w:rPr>
      </w:pPr>
      <w:r w:rsidRPr="00C41814">
        <w:rPr>
          <w:rFonts w:asciiTheme="minorHAnsi" w:hAnsiTheme="minorHAnsi" w:cstheme="minorBidi"/>
          <w:i/>
          <w:szCs w:val="22"/>
        </w:rPr>
        <w:t>C. Data analysis and results</w:t>
      </w:r>
    </w:p>
    <w:p w14:paraId="4EDF19A6" w14:textId="77777777" w:rsidR="001C1506" w:rsidRPr="00C41814" w:rsidRDefault="001C1506"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t>1. Analysis</w:t>
      </w:r>
    </w:p>
    <w:p w14:paraId="5A1C9A75" w14:textId="15147AC3" w:rsidR="001C1506" w:rsidRPr="00C41814" w:rsidRDefault="001C1506" w:rsidP="008E5806">
      <w:pPr>
        <w:spacing w:after="200" w:line="360" w:lineRule="auto"/>
        <w:rPr>
          <w:rFonts w:asciiTheme="minorHAnsi" w:hAnsiTheme="minorHAnsi" w:cstheme="minorBidi"/>
          <w:szCs w:val="22"/>
        </w:rPr>
      </w:pPr>
      <w:r w:rsidRPr="00C41814">
        <w:rPr>
          <w:rFonts w:asciiTheme="minorHAnsi" w:hAnsiTheme="minorHAnsi" w:cstheme="minorBidi"/>
          <w:szCs w:val="22"/>
        </w:rPr>
        <w:t>Quantitative data were analysed using Microsoft Excel and standard statistical tests</w:t>
      </w:r>
      <w:r w:rsidR="00F95671" w:rsidRPr="00C41814">
        <w:rPr>
          <w:rFonts w:asciiTheme="minorHAnsi" w:hAnsiTheme="minorHAnsi" w:cstheme="minorBidi"/>
          <w:szCs w:val="22"/>
        </w:rPr>
        <w:t>. Chi-Square analysis was used for b</w:t>
      </w:r>
      <w:r w:rsidRPr="00C41814">
        <w:rPr>
          <w:rFonts w:asciiTheme="minorHAnsi" w:hAnsiTheme="minorHAnsi" w:cstheme="minorBidi"/>
          <w:szCs w:val="22"/>
        </w:rPr>
        <w:t>ivariate associations</w:t>
      </w:r>
      <w:r w:rsidR="00F95671" w:rsidRPr="00C41814">
        <w:rPr>
          <w:rFonts w:asciiTheme="minorHAnsi" w:hAnsiTheme="minorHAnsi" w:cstheme="minorBidi"/>
          <w:szCs w:val="22"/>
        </w:rPr>
        <w:t>, and</w:t>
      </w:r>
      <w:r w:rsidRPr="00C41814">
        <w:rPr>
          <w:rFonts w:asciiTheme="minorHAnsi" w:hAnsiTheme="minorHAnsi" w:cstheme="minorBidi"/>
          <w:szCs w:val="22"/>
        </w:rPr>
        <w:t xml:space="preserve"> Wilcoxon-type test to identify trends.</w:t>
      </w:r>
      <w:r w:rsidRPr="00C41814">
        <w:rPr>
          <w:rFonts w:asciiTheme="minorHAnsi" w:hAnsiTheme="minorHAnsi" w:cstheme="minorBidi"/>
          <w:szCs w:val="22"/>
          <w:vertAlign w:val="superscript"/>
        </w:rPr>
        <w:footnoteReference w:id="36"/>
      </w:r>
      <w:r w:rsidRPr="00C41814">
        <w:rPr>
          <w:rFonts w:asciiTheme="minorHAnsi" w:hAnsiTheme="minorHAnsi" w:cstheme="minorBidi"/>
          <w:szCs w:val="22"/>
        </w:rPr>
        <w:t xml:space="preserve"> Qualitative data </w:t>
      </w:r>
      <w:r w:rsidR="009954E0" w:rsidRPr="00C41814">
        <w:rPr>
          <w:rFonts w:asciiTheme="minorHAnsi" w:hAnsiTheme="minorHAnsi" w:cstheme="minorBidi"/>
          <w:szCs w:val="22"/>
        </w:rPr>
        <w:t xml:space="preserve">from unabridged transcripts were </w:t>
      </w:r>
      <w:r w:rsidRPr="00C41814">
        <w:rPr>
          <w:rFonts w:asciiTheme="minorHAnsi" w:hAnsiTheme="minorHAnsi" w:cstheme="minorBidi"/>
          <w:szCs w:val="22"/>
        </w:rPr>
        <w:t xml:space="preserve">analysed independently by two researchers </w:t>
      </w:r>
      <w:r w:rsidR="009954E0" w:rsidRPr="00C41814">
        <w:rPr>
          <w:rFonts w:asciiTheme="minorHAnsi" w:hAnsiTheme="minorHAnsi" w:cstheme="minorBidi"/>
          <w:szCs w:val="22"/>
        </w:rPr>
        <w:t>as the most rigorous approach</w:t>
      </w:r>
      <w:r w:rsidR="009954E0" w:rsidRPr="00C41814">
        <w:rPr>
          <w:rFonts w:asciiTheme="minorHAnsi" w:hAnsiTheme="minorHAnsi" w:cstheme="minorBidi"/>
          <w:szCs w:val="22"/>
          <w:vertAlign w:val="superscript"/>
        </w:rPr>
        <w:footnoteReference w:id="37"/>
      </w:r>
      <w:r w:rsidR="009954E0" w:rsidRPr="00C41814">
        <w:rPr>
          <w:rFonts w:asciiTheme="minorHAnsi" w:hAnsiTheme="minorHAnsi" w:cstheme="minorBidi"/>
          <w:szCs w:val="22"/>
        </w:rPr>
        <w:t xml:space="preserve"> </w:t>
      </w:r>
      <w:r w:rsidRPr="00C41814">
        <w:rPr>
          <w:rFonts w:asciiTheme="minorHAnsi" w:hAnsiTheme="minorHAnsi" w:cstheme="minorBidi"/>
          <w:szCs w:val="22"/>
        </w:rPr>
        <w:t>to limit potential bias</w:t>
      </w:r>
      <w:r w:rsidR="009954E0"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38"/>
      </w:r>
      <w:r w:rsidRPr="00C41814">
        <w:rPr>
          <w:rFonts w:asciiTheme="minorHAnsi" w:hAnsiTheme="minorHAnsi" w:cstheme="minorBidi"/>
          <w:szCs w:val="22"/>
        </w:rPr>
        <w:t xml:space="preserve"> Words and phrases were assigned to conceptual categories by frequency to develop themes systematically, with regular cross-over checking to assure consistency of process and calibration between investigators.</w:t>
      </w:r>
    </w:p>
    <w:p w14:paraId="165E6AAD" w14:textId="77777777" w:rsidR="001C1506" w:rsidRPr="00C41814" w:rsidRDefault="001C1506" w:rsidP="008E5806">
      <w:pPr>
        <w:spacing w:after="200" w:line="360" w:lineRule="auto"/>
        <w:rPr>
          <w:rFonts w:asciiTheme="minorHAnsi" w:hAnsiTheme="minorHAnsi" w:cstheme="minorBidi"/>
          <w:i/>
          <w:szCs w:val="22"/>
          <w:highlight w:val="cyan"/>
        </w:rPr>
      </w:pPr>
    </w:p>
    <w:p w14:paraId="3F2F1F1A" w14:textId="77777777" w:rsidR="001C1506" w:rsidRPr="00C41814" w:rsidRDefault="001C1506" w:rsidP="008E5806">
      <w:pPr>
        <w:spacing w:after="200" w:line="360" w:lineRule="auto"/>
        <w:rPr>
          <w:rFonts w:asciiTheme="minorHAnsi" w:hAnsiTheme="minorHAnsi" w:cstheme="minorBidi"/>
          <w:szCs w:val="22"/>
        </w:rPr>
      </w:pPr>
      <w:r w:rsidRPr="00C41814">
        <w:rPr>
          <w:rFonts w:asciiTheme="minorHAnsi" w:hAnsiTheme="minorHAnsi" w:cstheme="minorBidi"/>
          <w:i/>
          <w:szCs w:val="22"/>
        </w:rPr>
        <w:t>2. Results</w:t>
      </w:r>
    </w:p>
    <w:p w14:paraId="0DC90163" w14:textId="24944C15" w:rsidR="001C1506" w:rsidRPr="00C41814" w:rsidRDefault="001C1506"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Quantitative results and claims metrics are shown as headline figures. Qualitative results showed the following emergent themes: deployment of CGs in litigation; CGs and the legal standard for breach of duty; impact of CGs on judicial decisions; CGs in settlement of claims; and, potential barriers to CGs at the medical and legal interface. Direct quotations derived from in-depth interviews (IDI) or survey free-text comments (SFT) are used to illustrate the views expressed and </w:t>
      </w:r>
      <w:r w:rsidR="00816430" w:rsidRPr="00C41814">
        <w:rPr>
          <w:rFonts w:asciiTheme="minorHAnsi" w:hAnsiTheme="minorHAnsi" w:cstheme="minorBidi"/>
          <w:szCs w:val="22"/>
        </w:rPr>
        <w:t xml:space="preserve">the emergent themes </w:t>
      </w:r>
      <w:r w:rsidRPr="00C41814">
        <w:rPr>
          <w:rFonts w:asciiTheme="minorHAnsi" w:hAnsiTheme="minorHAnsi" w:cstheme="minorBidi"/>
          <w:szCs w:val="22"/>
        </w:rPr>
        <w:t xml:space="preserve">within each domain. </w:t>
      </w:r>
    </w:p>
    <w:p w14:paraId="2E257D19" w14:textId="77777777" w:rsidR="001C1506" w:rsidRPr="00C41814" w:rsidRDefault="001C1506" w:rsidP="008E5806">
      <w:pPr>
        <w:spacing w:after="200" w:line="360" w:lineRule="auto"/>
        <w:jc w:val="center"/>
        <w:rPr>
          <w:rFonts w:asciiTheme="minorHAnsi" w:hAnsiTheme="minorHAnsi" w:cstheme="minorBidi"/>
          <w:b/>
          <w:szCs w:val="22"/>
        </w:rPr>
      </w:pPr>
    </w:p>
    <w:p w14:paraId="2E2A7AD2" w14:textId="2D0F4E04" w:rsidR="00A877C1" w:rsidRPr="00C41814" w:rsidRDefault="00CF6BB7" w:rsidP="008E5806">
      <w:pPr>
        <w:spacing w:after="200" w:line="360" w:lineRule="auto"/>
        <w:jc w:val="center"/>
        <w:rPr>
          <w:rFonts w:asciiTheme="minorHAnsi" w:hAnsiTheme="minorHAnsi" w:cstheme="minorBidi"/>
          <w:b/>
          <w:szCs w:val="22"/>
          <w:u w:val="single"/>
        </w:rPr>
      </w:pPr>
      <w:r w:rsidRPr="00C41814">
        <w:rPr>
          <w:rFonts w:asciiTheme="minorHAnsi" w:hAnsiTheme="minorHAnsi" w:cstheme="minorBidi"/>
          <w:b/>
          <w:szCs w:val="22"/>
        </w:rPr>
        <w:t>III. DISCUSSION</w:t>
      </w:r>
    </w:p>
    <w:p w14:paraId="2EB69F8F" w14:textId="0BB9DA40" w:rsidR="00A877C1" w:rsidRPr="00C41814" w:rsidRDefault="00A50CF6" w:rsidP="008E5806">
      <w:pPr>
        <w:spacing w:after="200" w:line="360" w:lineRule="auto"/>
        <w:jc w:val="center"/>
        <w:rPr>
          <w:rFonts w:asciiTheme="minorHAnsi" w:hAnsiTheme="minorHAnsi" w:cstheme="minorBidi"/>
          <w:i/>
          <w:szCs w:val="22"/>
        </w:rPr>
      </w:pPr>
      <w:r w:rsidRPr="00C41814">
        <w:rPr>
          <w:rFonts w:asciiTheme="minorHAnsi" w:hAnsiTheme="minorHAnsi" w:cstheme="minorBidi"/>
          <w:i/>
          <w:szCs w:val="22"/>
        </w:rPr>
        <w:t>A</w:t>
      </w:r>
      <w:r w:rsidR="006E444E" w:rsidRPr="00C41814">
        <w:rPr>
          <w:rFonts w:asciiTheme="minorHAnsi" w:hAnsiTheme="minorHAnsi" w:cstheme="minorBidi"/>
          <w:i/>
          <w:szCs w:val="22"/>
        </w:rPr>
        <w:t>.</w:t>
      </w:r>
      <w:r w:rsidR="00A877C1" w:rsidRPr="00C41814">
        <w:rPr>
          <w:rFonts w:asciiTheme="minorHAnsi" w:hAnsiTheme="minorHAnsi" w:cstheme="minorBidi"/>
          <w:i/>
          <w:szCs w:val="22"/>
        </w:rPr>
        <w:t xml:space="preserve"> Headline Figures</w:t>
      </w:r>
    </w:p>
    <w:p w14:paraId="2F13FF8D" w14:textId="027BF75B" w:rsidR="00A877C1" w:rsidRPr="00C41814" w:rsidRDefault="004F0CD5"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t xml:space="preserve">1. </w:t>
      </w:r>
      <w:r w:rsidR="00A877C1" w:rsidRPr="00C41814">
        <w:rPr>
          <w:rFonts w:asciiTheme="minorHAnsi" w:hAnsiTheme="minorHAnsi" w:cstheme="minorBidi"/>
          <w:i/>
          <w:szCs w:val="22"/>
        </w:rPr>
        <w:t>Survey data</w:t>
      </w:r>
    </w:p>
    <w:p w14:paraId="2D3F8C74" w14:textId="77777777"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i/>
          <w:szCs w:val="22"/>
        </w:rPr>
        <w:lastRenderedPageBreak/>
        <w:t>Figure 1</w:t>
      </w:r>
      <w:r w:rsidRPr="00C41814">
        <w:rPr>
          <w:rFonts w:asciiTheme="minorHAnsi" w:hAnsiTheme="minorHAnsi" w:cstheme="minorBidi"/>
          <w:szCs w:val="22"/>
        </w:rPr>
        <w:t xml:space="preserve">: Respondent demographics </w:t>
      </w:r>
    </w:p>
    <w:p w14:paraId="57C64321" w14:textId="7896B1E7"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szCs w:val="22"/>
        </w:rPr>
        <w:t>In the present survey</w:t>
      </w:r>
      <w:r w:rsidR="007D5513" w:rsidRPr="00C41814">
        <w:rPr>
          <w:rStyle w:val="FootnoteReference"/>
          <w:rFonts w:asciiTheme="minorHAnsi" w:hAnsiTheme="minorHAnsi" w:cstheme="minorBidi"/>
          <w:szCs w:val="22"/>
        </w:rPr>
        <w:footnoteReference w:id="39"/>
      </w:r>
      <w:r w:rsidRPr="00C41814">
        <w:rPr>
          <w:rFonts w:asciiTheme="minorHAnsi" w:hAnsiTheme="minorHAnsi" w:cstheme="minorBidi"/>
          <w:szCs w:val="22"/>
        </w:rPr>
        <w:t xml:space="preserve"> (compared with </w:t>
      </w:r>
      <w:r w:rsidR="001D7CEC" w:rsidRPr="00C41814">
        <w:rPr>
          <w:rFonts w:asciiTheme="minorHAnsi" w:hAnsiTheme="minorHAnsi" w:cstheme="minorBidi"/>
          <w:szCs w:val="22"/>
        </w:rPr>
        <w:t xml:space="preserve">our </w:t>
      </w:r>
      <w:r w:rsidRPr="00C41814">
        <w:rPr>
          <w:rFonts w:asciiTheme="minorHAnsi" w:hAnsiTheme="minorHAnsi" w:cstheme="minorBidi"/>
          <w:szCs w:val="22"/>
        </w:rPr>
        <w:t xml:space="preserve">previous </w:t>
      </w:r>
      <w:r w:rsidR="001D7CEC" w:rsidRPr="00C41814">
        <w:rPr>
          <w:rFonts w:asciiTheme="minorHAnsi" w:hAnsiTheme="minorHAnsi" w:cstheme="minorBidi"/>
          <w:szCs w:val="22"/>
        </w:rPr>
        <w:t>study</w:t>
      </w:r>
      <w:r w:rsidRPr="00C41814">
        <w:rPr>
          <w:rFonts w:asciiTheme="minorHAnsi" w:hAnsiTheme="minorHAnsi" w:cstheme="minorBidi"/>
          <w:szCs w:val="22"/>
        </w:rPr>
        <w:t xml:space="preserve">) a statistically significant higher proportion of barristers participated (65.5% v 35.5%, </w:t>
      </w:r>
      <w:r w:rsidRPr="00C41814">
        <w:rPr>
          <w:rFonts w:asciiTheme="minorHAnsi" w:hAnsiTheme="minorHAnsi" w:cstheme="minorBidi"/>
          <w:i/>
          <w:szCs w:val="22"/>
        </w:rPr>
        <w:t>p&lt;0.05</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0"/>
      </w:r>
      <w:r w:rsidRPr="00C41814">
        <w:rPr>
          <w:rFonts w:asciiTheme="minorHAnsi" w:hAnsiTheme="minorHAnsi" w:cstheme="minorBidi"/>
          <w:szCs w:val="22"/>
        </w:rPr>
        <w:t xml:space="preserve"> There was also a statistically significant higher proportion of respondents who reported that </w:t>
      </w:r>
      <w:r w:rsidR="004370E2" w:rsidRPr="00C41814">
        <w:rPr>
          <w:rFonts w:asciiTheme="minorHAnsi" w:hAnsiTheme="minorHAnsi" w:cstheme="minorBidi"/>
          <w:szCs w:val="22"/>
        </w:rPr>
        <w:t xml:space="preserve">medical </w:t>
      </w:r>
      <w:r w:rsidRPr="00C41814">
        <w:rPr>
          <w:rFonts w:asciiTheme="minorHAnsi" w:hAnsiTheme="minorHAnsi" w:cstheme="minorBidi"/>
          <w:szCs w:val="22"/>
        </w:rPr>
        <w:t xml:space="preserve">negligence </w:t>
      </w:r>
      <w:r w:rsidR="00B61BCC" w:rsidRPr="00C41814">
        <w:rPr>
          <w:rFonts w:asciiTheme="minorHAnsi" w:hAnsiTheme="minorHAnsi" w:cstheme="minorBidi"/>
          <w:szCs w:val="22"/>
        </w:rPr>
        <w:t xml:space="preserve">accounted for </w:t>
      </w:r>
      <w:r w:rsidRPr="00C41814">
        <w:rPr>
          <w:rFonts w:asciiTheme="minorHAnsi" w:hAnsiTheme="minorHAnsi" w:cstheme="minorBidi"/>
          <w:szCs w:val="22"/>
        </w:rPr>
        <w:t xml:space="preserve">more than 90% of their caseload (43.8% v 2.2%, </w:t>
      </w:r>
      <w:r w:rsidRPr="00C41814">
        <w:rPr>
          <w:rFonts w:asciiTheme="minorHAnsi" w:hAnsiTheme="minorHAnsi" w:cstheme="minorBidi"/>
          <w:i/>
          <w:szCs w:val="22"/>
        </w:rPr>
        <w:t>p&lt;0.01</w:t>
      </w:r>
      <w:r w:rsidRPr="00C41814">
        <w:rPr>
          <w:rFonts w:asciiTheme="minorHAnsi" w:hAnsiTheme="minorHAnsi" w:cstheme="minorBidi"/>
          <w:szCs w:val="22"/>
        </w:rPr>
        <w:t xml:space="preserve">).  There was no statistically significant difference (between the surveys) in the proportions of solicitors, those in practice for over 10 years, or in respect of their place of work (London or the Counties). </w:t>
      </w:r>
    </w:p>
    <w:p w14:paraId="5E3CD5C9" w14:textId="77777777"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i/>
          <w:szCs w:val="22"/>
        </w:rPr>
        <w:t>Figure 2</w:t>
      </w:r>
      <w:r w:rsidRPr="00C41814">
        <w:rPr>
          <w:rFonts w:asciiTheme="minorHAnsi" w:hAnsiTheme="minorHAnsi" w:cstheme="minorBidi"/>
          <w:szCs w:val="22"/>
        </w:rPr>
        <w:t xml:space="preserve">: Use of clinical guidelines </w:t>
      </w:r>
    </w:p>
    <w:p w14:paraId="305873A9" w14:textId="6D229F57" w:rsidR="00A877C1" w:rsidRPr="00C41814" w:rsidRDefault="00241CA6"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The following significantly increasing trends were identified: </w:t>
      </w:r>
      <w:r w:rsidR="00A877C1" w:rsidRPr="00C41814">
        <w:rPr>
          <w:rFonts w:asciiTheme="minorHAnsi" w:hAnsiTheme="minorHAnsi" w:cstheme="minorBidi"/>
          <w:szCs w:val="22"/>
        </w:rPr>
        <w:t>CGs used in expert witness reports, 84.4% v 24.5% (</w:t>
      </w:r>
      <w:r w:rsidR="00A877C1" w:rsidRPr="00C41814">
        <w:rPr>
          <w:rFonts w:asciiTheme="minorHAnsi" w:hAnsiTheme="minorHAnsi" w:cstheme="minorBidi"/>
          <w:i/>
          <w:szCs w:val="22"/>
        </w:rPr>
        <w:t>p&lt;0.05</w:t>
      </w:r>
      <w:r w:rsidR="00A877C1" w:rsidRPr="00C41814">
        <w:rPr>
          <w:rFonts w:asciiTheme="minorHAnsi" w:hAnsiTheme="minorHAnsi" w:cstheme="minorBidi"/>
          <w:szCs w:val="22"/>
        </w:rPr>
        <w:t>); CGs used by claimants, 46.6% v 11.9% (</w:t>
      </w:r>
      <w:r w:rsidR="00A877C1" w:rsidRPr="00C41814">
        <w:rPr>
          <w:rFonts w:asciiTheme="minorHAnsi" w:hAnsiTheme="minorHAnsi" w:cstheme="minorBidi"/>
          <w:i/>
          <w:szCs w:val="22"/>
        </w:rPr>
        <w:t>p&lt;0.05</w:t>
      </w:r>
      <w:r w:rsidR="00A877C1" w:rsidRPr="00C41814">
        <w:rPr>
          <w:rFonts w:asciiTheme="minorHAnsi" w:hAnsiTheme="minorHAnsi" w:cstheme="minorBidi"/>
          <w:szCs w:val="22"/>
        </w:rPr>
        <w:t>); CGs used by defendants 26.6% v 11.2% (</w:t>
      </w:r>
      <w:r w:rsidR="00A877C1" w:rsidRPr="00C41814">
        <w:rPr>
          <w:rFonts w:asciiTheme="minorHAnsi" w:hAnsiTheme="minorHAnsi" w:cstheme="minorBidi"/>
          <w:i/>
          <w:szCs w:val="22"/>
        </w:rPr>
        <w:t>p&lt;0.05</w:t>
      </w:r>
      <w:r w:rsidR="00A877C1" w:rsidRPr="00C41814">
        <w:rPr>
          <w:rFonts w:asciiTheme="minorHAnsi" w:hAnsiTheme="minorHAnsi" w:cstheme="minorBidi"/>
          <w:szCs w:val="22"/>
        </w:rPr>
        <w:t xml:space="preserve">); use of </w:t>
      </w:r>
      <w:r w:rsidR="00816430" w:rsidRPr="00C41814">
        <w:rPr>
          <w:rFonts w:asciiTheme="minorHAnsi" w:hAnsiTheme="minorHAnsi" w:cstheme="minorBidi"/>
          <w:szCs w:val="22"/>
        </w:rPr>
        <w:t xml:space="preserve">CGs from </w:t>
      </w:r>
      <w:r w:rsidR="00A877C1" w:rsidRPr="00C41814">
        <w:rPr>
          <w:rFonts w:asciiTheme="minorHAnsi" w:hAnsiTheme="minorHAnsi" w:cstheme="minorBidi"/>
          <w:szCs w:val="22"/>
        </w:rPr>
        <w:t>NICE 84.1% v 7.4% (</w:t>
      </w:r>
      <w:r w:rsidR="00A877C1" w:rsidRPr="00C41814">
        <w:rPr>
          <w:rFonts w:asciiTheme="minorHAnsi" w:hAnsiTheme="minorHAnsi" w:cstheme="minorBidi"/>
          <w:i/>
          <w:szCs w:val="22"/>
        </w:rPr>
        <w:t>p&lt;0.01</w:t>
      </w:r>
      <w:r w:rsidR="00A877C1" w:rsidRPr="00C41814">
        <w:rPr>
          <w:rFonts w:asciiTheme="minorHAnsi" w:hAnsiTheme="minorHAnsi" w:cstheme="minorBidi"/>
          <w:szCs w:val="22"/>
        </w:rPr>
        <w:t>); use of CGs from the Royal Colleges 65.9% v to 15% (</w:t>
      </w:r>
      <w:r w:rsidR="00A877C1" w:rsidRPr="00C41814">
        <w:rPr>
          <w:rFonts w:asciiTheme="minorHAnsi" w:hAnsiTheme="minorHAnsi" w:cstheme="minorBidi"/>
          <w:i/>
          <w:szCs w:val="22"/>
        </w:rPr>
        <w:t>p&lt;0.01</w:t>
      </w:r>
      <w:r w:rsidR="00A877C1" w:rsidRPr="00C41814">
        <w:rPr>
          <w:rFonts w:asciiTheme="minorHAnsi" w:hAnsiTheme="minorHAnsi" w:cstheme="minorBidi"/>
          <w:szCs w:val="22"/>
        </w:rPr>
        <w:t xml:space="preserve">). </w:t>
      </w:r>
    </w:p>
    <w:p w14:paraId="2E18E038" w14:textId="68CCFD00" w:rsidR="00A877C1" w:rsidRPr="00C41814" w:rsidRDefault="004F0CD5"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t xml:space="preserve">2. </w:t>
      </w:r>
      <w:r w:rsidR="00A877C1" w:rsidRPr="00C41814">
        <w:rPr>
          <w:rFonts w:asciiTheme="minorHAnsi" w:hAnsiTheme="minorHAnsi" w:cstheme="minorBidi"/>
          <w:i/>
          <w:szCs w:val="22"/>
        </w:rPr>
        <w:t>Claims</w:t>
      </w:r>
    </w:p>
    <w:p w14:paraId="0B5E7DD1" w14:textId="368C324C" w:rsidR="00A877C1" w:rsidRPr="00C41814" w:rsidRDefault="00A877C1" w:rsidP="008E5806">
      <w:pPr>
        <w:spacing w:after="200" w:line="360" w:lineRule="auto"/>
        <w:rPr>
          <w:rFonts w:asciiTheme="minorHAnsi" w:hAnsiTheme="minorHAnsi" w:cstheme="minorHAnsi"/>
          <w:i/>
          <w:szCs w:val="22"/>
        </w:rPr>
      </w:pPr>
      <w:r w:rsidRPr="00C41814">
        <w:rPr>
          <w:rFonts w:asciiTheme="minorHAnsi" w:hAnsiTheme="minorHAnsi" w:cstheme="minorHAnsi"/>
          <w:i/>
          <w:szCs w:val="22"/>
        </w:rPr>
        <w:t xml:space="preserve">Table 1: </w:t>
      </w:r>
      <w:r w:rsidRPr="00C41814">
        <w:rPr>
          <w:rFonts w:asciiTheme="minorHAnsi" w:hAnsiTheme="minorHAnsi" w:cstheme="minorHAnsi"/>
          <w:szCs w:val="22"/>
        </w:rPr>
        <w:t>Analysis of the numbers of claims and compensation paid (figures provided by NHS Resolution)</w:t>
      </w:r>
      <w:r w:rsidR="00FD7D85" w:rsidRPr="00C41814">
        <w:rPr>
          <w:rFonts w:asciiTheme="minorHAnsi" w:hAnsiTheme="minorHAnsi" w:cstheme="minorHAnsi"/>
          <w:szCs w:val="22"/>
        </w:rPr>
        <w:t>.</w:t>
      </w:r>
    </w:p>
    <w:p w14:paraId="7725C202" w14:textId="77777777" w:rsidR="00A877C1" w:rsidRPr="00C41814" w:rsidRDefault="00A877C1" w:rsidP="008E5806">
      <w:pPr>
        <w:spacing w:after="200" w:line="360" w:lineRule="auto"/>
        <w:rPr>
          <w:rFonts w:asciiTheme="minorHAnsi" w:hAnsiTheme="minorHAnsi" w:cstheme="minorHAnsi"/>
          <w:szCs w:val="22"/>
        </w:rPr>
      </w:pPr>
      <w:r w:rsidRPr="00C41814">
        <w:rPr>
          <w:rFonts w:asciiTheme="minorHAnsi" w:hAnsiTheme="minorHAnsi" w:cstheme="minorHAnsi"/>
          <w:i/>
          <w:szCs w:val="22"/>
        </w:rPr>
        <w:t>Insert Table 1 here</w:t>
      </w:r>
    </w:p>
    <w:p w14:paraId="102CECAB" w14:textId="2DB8D3C6" w:rsidR="00A877C1" w:rsidRPr="00C41814" w:rsidRDefault="00A877C1" w:rsidP="008E5806">
      <w:pPr>
        <w:spacing w:after="200" w:line="360" w:lineRule="auto"/>
        <w:rPr>
          <w:rFonts w:asciiTheme="minorHAnsi" w:hAnsiTheme="minorHAnsi" w:cstheme="minorBidi"/>
          <w:b/>
          <w:szCs w:val="22"/>
        </w:rPr>
      </w:pPr>
      <w:r w:rsidRPr="00C41814">
        <w:rPr>
          <w:rFonts w:asciiTheme="minorHAnsi" w:hAnsiTheme="minorHAnsi" w:cstheme="minorHAnsi"/>
          <w:szCs w:val="22"/>
        </w:rPr>
        <w:t>NHS Resolution</w:t>
      </w:r>
      <w:r w:rsidR="00420B84" w:rsidRPr="00C41814">
        <w:rPr>
          <w:rFonts w:asciiTheme="minorHAnsi" w:hAnsiTheme="minorHAnsi" w:cstheme="minorHAnsi"/>
          <w:szCs w:val="22"/>
        </w:rPr>
        <w:t xml:space="preserve"> data</w:t>
      </w:r>
      <w:r w:rsidRPr="00C41814">
        <w:rPr>
          <w:rFonts w:asciiTheme="minorHAnsi" w:hAnsiTheme="minorHAnsi" w:cstheme="minorHAnsi"/>
          <w:szCs w:val="22"/>
        </w:rPr>
        <w:t xml:space="preserve"> reveals several noteworthy trends.  Between 2007/08 and 2016/17 the total number of claims against the NHS almost doubled, indicating a </w:t>
      </w:r>
      <w:r w:rsidRPr="00C41814">
        <w:rPr>
          <w:rFonts w:asciiTheme="minorHAnsi" w:hAnsiTheme="minorHAnsi" w:cstheme="minorBidi"/>
          <w:szCs w:val="22"/>
        </w:rPr>
        <w:t>significant rise.</w:t>
      </w:r>
      <w:r w:rsidRPr="00C41814">
        <w:rPr>
          <w:rFonts w:asciiTheme="minorHAnsi" w:hAnsiTheme="minorHAnsi" w:cstheme="minorHAnsi"/>
          <w:szCs w:val="22"/>
        </w:rPr>
        <w:t xml:space="preserve"> Of these, approximately forty-percent of claims (at each time point) were either withdrawn or settled without award of damages. For cases settled out of court, or following some form of alternative dispute resolution, damages rose from £45.4 million (2007/08) to £97.5 million (2016/17).  There was a significant trend for increased payment of damages (immediate payment </w:t>
      </w:r>
      <w:r w:rsidRPr="00C41814">
        <w:rPr>
          <w:rFonts w:asciiTheme="minorHAnsi" w:hAnsiTheme="minorHAnsi" w:cstheme="minorHAnsi"/>
          <w:i/>
          <w:szCs w:val="22"/>
        </w:rPr>
        <w:t xml:space="preserve">plus </w:t>
      </w:r>
      <w:r w:rsidRPr="00C41814">
        <w:rPr>
          <w:rFonts w:asciiTheme="minorHAnsi" w:hAnsiTheme="minorHAnsi" w:cstheme="minorHAnsi"/>
          <w:szCs w:val="22"/>
        </w:rPr>
        <w:t>periodical payments together with future estimates) for cases settled with court proceedings and/or following trial. This rose from £554.8 million to £1.34 billion over the same period.</w:t>
      </w:r>
    </w:p>
    <w:p w14:paraId="180047FC" w14:textId="52C8357B" w:rsidR="00A877C1" w:rsidRPr="00C41814" w:rsidRDefault="00A50CF6" w:rsidP="008E5806">
      <w:pPr>
        <w:spacing w:after="200" w:line="360" w:lineRule="auto"/>
        <w:jc w:val="center"/>
        <w:rPr>
          <w:rFonts w:asciiTheme="minorHAnsi" w:hAnsiTheme="minorHAnsi" w:cstheme="minorBidi"/>
          <w:i/>
          <w:szCs w:val="22"/>
        </w:rPr>
      </w:pPr>
      <w:r w:rsidRPr="00C41814">
        <w:rPr>
          <w:rFonts w:asciiTheme="minorHAnsi" w:hAnsiTheme="minorHAnsi" w:cstheme="minorBidi"/>
          <w:i/>
          <w:szCs w:val="22"/>
        </w:rPr>
        <w:t>B</w:t>
      </w:r>
      <w:r w:rsidR="00A877C1" w:rsidRPr="00C41814">
        <w:rPr>
          <w:rFonts w:asciiTheme="minorHAnsi" w:hAnsiTheme="minorHAnsi" w:cstheme="minorBidi"/>
          <w:i/>
          <w:szCs w:val="22"/>
        </w:rPr>
        <w:t xml:space="preserve">. Deployment of clinical guidelines in </w:t>
      </w:r>
      <w:r w:rsidR="004370E2" w:rsidRPr="00C41814">
        <w:rPr>
          <w:rFonts w:asciiTheme="minorHAnsi" w:hAnsiTheme="minorHAnsi" w:cstheme="minorBidi"/>
          <w:i/>
          <w:szCs w:val="22"/>
        </w:rPr>
        <w:t xml:space="preserve">medical </w:t>
      </w:r>
      <w:r w:rsidR="00A877C1" w:rsidRPr="00C41814">
        <w:rPr>
          <w:rFonts w:asciiTheme="minorHAnsi" w:hAnsiTheme="minorHAnsi" w:cstheme="minorBidi"/>
          <w:i/>
          <w:szCs w:val="22"/>
        </w:rPr>
        <w:t>negligence litigation</w:t>
      </w:r>
    </w:p>
    <w:p w14:paraId="5DD6435F" w14:textId="043F086D"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szCs w:val="22"/>
        </w:rPr>
        <w:lastRenderedPageBreak/>
        <w:t>Clinical guidelines are developed on the high-level scientific evidence</w:t>
      </w:r>
      <w:r w:rsidR="00F950E1" w:rsidRPr="00C41814">
        <w:rPr>
          <w:rFonts w:asciiTheme="minorHAnsi" w:hAnsiTheme="minorHAnsi" w:cstheme="minorBidi"/>
          <w:szCs w:val="22"/>
        </w:rPr>
        <w:t xml:space="preserve">, and are </w:t>
      </w:r>
      <w:r w:rsidR="00B66577" w:rsidRPr="00C41814">
        <w:rPr>
          <w:rFonts w:asciiTheme="minorHAnsi" w:hAnsiTheme="minorHAnsi" w:cstheme="minorBidi"/>
          <w:szCs w:val="22"/>
          <w:lang w:val="en"/>
        </w:rPr>
        <w:t xml:space="preserve">used by </w:t>
      </w:r>
      <w:r w:rsidRPr="00C41814">
        <w:rPr>
          <w:rFonts w:asciiTheme="minorHAnsi" w:hAnsiTheme="minorHAnsi" w:cstheme="minorBidi"/>
          <w:szCs w:val="22"/>
          <w:lang w:val="en"/>
        </w:rPr>
        <w:t>clinicians, policy makers and funders to make effective</w:t>
      </w:r>
      <w:r w:rsidR="00420B84" w:rsidRPr="00C41814">
        <w:rPr>
          <w:rFonts w:asciiTheme="minorHAnsi" w:hAnsiTheme="minorHAnsi" w:cstheme="minorBidi"/>
          <w:szCs w:val="22"/>
          <w:lang w:val="en"/>
        </w:rPr>
        <w:t>,</w:t>
      </w:r>
      <w:r w:rsidR="00F950E1" w:rsidRPr="00C41814">
        <w:rPr>
          <w:rFonts w:asciiTheme="minorHAnsi" w:hAnsiTheme="minorHAnsi" w:cstheme="minorBidi"/>
          <w:szCs w:val="22"/>
          <w:lang w:val="en"/>
        </w:rPr>
        <w:t xml:space="preserve"> cost-efficient</w:t>
      </w:r>
      <w:r w:rsidRPr="00C41814">
        <w:rPr>
          <w:rFonts w:asciiTheme="minorHAnsi" w:hAnsiTheme="minorHAnsi" w:cstheme="minorBidi"/>
          <w:szCs w:val="22"/>
          <w:lang w:val="en"/>
        </w:rPr>
        <w:t xml:space="preserve"> decisions </w:t>
      </w:r>
      <w:r w:rsidR="00F950E1" w:rsidRPr="00C41814">
        <w:rPr>
          <w:rFonts w:asciiTheme="minorHAnsi" w:hAnsiTheme="minorHAnsi" w:cstheme="minorBidi"/>
          <w:szCs w:val="22"/>
          <w:lang w:val="en"/>
        </w:rPr>
        <w:t>t</w:t>
      </w:r>
      <w:r w:rsidR="00420B84" w:rsidRPr="00C41814">
        <w:rPr>
          <w:rFonts w:asciiTheme="minorHAnsi" w:hAnsiTheme="minorHAnsi" w:cstheme="minorBidi"/>
          <w:szCs w:val="22"/>
          <w:lang w:val="en"/>
        </w:rPr>
        <w:t>hat</w:t>
      </w:r>
      <w:r w:rsidR="00F950E1" w:rsidRPr="00C41814">
        <w:rPr>
          <w:rFonts w:asciiTheme="minorHAnsi" w:hAnsiTheme="minorHAnsi" w:cstheme="minorBidi"/>
          <w:szCs w:val="22"/>
          <w:lang w:val="en"/>
        </w:rPr>
        <w:t xml:space="preserve"> promote </w:t>
      </w:r>
      <w:r w:rsidRPr="00C41814">
        <w:rPr>
          <w:rFonts w:asciiTheme="minorHAnsi" w:hAnsiTheme="minorHAnsi" w:cstheme="minorBidi"/>
          <w:szCs w:val="22"/>
        </w:rPr>
        <w:t>optimal outcomes for patient</w:t>
      </w:r>
      <w:r w:rsidR="00420B84" w:rsidRPr="00C41814">
        <w:rPr>
          <w:rFonts w:asciiTheme="minorHAnsi" w:hAnsiTheme="minorHAnsi" w:cstheme="minorBidi"/>
          <w:szCs w:val="22"/>
        </w:rPr>
        <w:t>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1"/>
      </w:r>
      <w:r w:rsidRPr="00C41814">
        <w:rPr>
          <w:rFonts w:asciiTheme="minorHAnsi" w:hAnsiTheme="minorHAnsi" w:cstheme="minorBidi"/>
          <w:szCs w:val="22"/>
        </w:rPr>
        <w:t xml:space="preserve"> </w:t>
      </w:r>
      <w:r w:rsidR="00420B84" w:rsidRPr="00C41814">
        <w:rPr>
          <w:rFonts w:asciiTheme="minorHAnsi" w:hAnsiTheme="minorHAnsi" w:cstheme="minorBidi"/>
          <w:szCs w:val="22"/>
        </w:rPr>
        <w:t>I</w:t>
      </w:r>
      <w:r w:rsidRPr="00C41814">
        <w:rPr>
          <w:rFonts w:asciiTheme="minorHAnsi" w:hAnsiTheme="minorHAnsi" w:cstheme="minorBidi"/>
          <w:szCs w:val="22"/>
        </w:rPr>
        <w:t xml:space="preserve">t </w:t>
      </w:r>
      <w:r w:rsidR="00387EF5" w:rsidRPr="00C41814">
        <w:rPr>
          <w:rFonts w:asciiTheme="minorHAnsi" w:hAnsiTheme="minorHAnsi" w:cstheme="minorBidi"/>
          <w:szCs w:val="22"/>
        </w:rPr>
        <w:t xml:space="preserve">is </w:t>
      </w:r>
      <w:r w:rsidRPr="00C41814">
        <w:rPr>
          <w:rFonts w:asciiTheme="minorHAnsi" w:hAnsiTheme="minorHAnsi" w:cstheme="minorBidi"/>
          <w:szCs w:val="22"/>
        </w:rPr>
        <w:t>not unreasonable</w:t>
      </w:r>
      <w:r w:rsidR="00420B84" w:rsidRPr="00C41814">
        <w:rPr>
          <w:rFonts w:asciiTheme="minorHAnsi" w:hAnsiTheme="minorHAnsi" w:cstheme="minorBidi"/>
          <w:szCs w:val="22"/>
        </w:rPr>
        <w:t xml:space="preserve"> therefore</w:t>
      </w:r>
      <w:r w:rsidRPr="00C41814">
        <w:rPr>
          <w:rFonts w:asciiTheme="minorHAnsi" w:hAnsiTheme="minorHAnsi" w:cstheme="minorBidi"/>
          <w:szCs w:val="22"/>
        </w:rPr>
        <w:t xml:space="preserve"> to expect that CGs will be followed and that failure to do so, without just cause, might have negative </w:t>
      </w:r>
      <w:r w:rsidR="00E3432A" w:rsidRPr="00C41814">
        <w:rPr>
          <w:rFonts w:asciiTheme="minorHAnsi" w:hAnsiTheme="minorHAnsi" w:cstheme="minorBidi"/>
          <w:szCs w:val="22"/>
        </w:rPr>
        <w:t>repercussions</w:t>
      </w:r>
      <w:r w:rsidRPr="00C41814">
        <w:rPr>
          <w:rFonts w:asciiTheme="minorHAnsi" w:hAnsiTheme="minorHAnsi" w:cstheme="minorBidi"/>
          <w:szCs w:val="22"/>
        </w:rPr>
        <w:t xml:space="preserve">. </w:t>
      </w:r>
      <w:r w:rsidR="004925D7" w:rsidRPr="00C41814">
        <w:rPr>
          <w:rFonts w:asciiTheme="minorHAnsi" w:hAnsiTheme="minorHAnsi" w:cstheme="minorBidi"/>
          <w:szCs w:val="22"/>
        </w:rPr>
        <w:t xml:space="preserve"> </w:t>
      </w:r>
      <w:r w:rsidRPr="00C41814">
        <w:rPr>
          <w:rFonts w:asciiTheme="minorHAnsi" w:hAnsiTheme="minorHAnsi" w:cstheme="minorBidi"/>
          <w:szCs w:val="22"/>
        </w:rPr>
        <w:t>Over the last few decades evidence-based guidance has proliferated significant</w:t>
      </w:r>
      <w:r w:rsidR="00420B84" w:rsidRPr="00C41814">
        <w:rPr>
          <w:rFonts w:asciiTheme="minorHAnsi" w:hAnsiTheme="minorHAnsi" w:cstheme="minorBidi"/>
          <w:szCs w:val="22"/>
        </w:rPr>
        <w:t>ly</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2"/>
      </w:r>
      <w:r w:rsidRPr="00C41814">
        <w:rPr>
          <w:rFonts w:asciiTheme="minorHAnsi" w:hAnsiTheme="minorHAnsi" w:cstheme="minorBidi"/>
          <w:szCs w:val="22"/>
        </w:rPr>
        <w:t xml:space="preserve"> </w:t>
      </w:r>
      <w:r w:rsidR="00420B84" w:rsidRPr="00C41814">
        <w:rPr>
          <w:rFonts w:asciiTheme="minorHAnsi" w:hAnsiTheme="minorHAnsi" w:cstheme="minorBidi"/>
          <w:szCs w:val="22"/>
        </w:rPr>
        <w:t>Hence</w:t>
      </w:r>
      <w:r w:rsidRPr="00C41814">
        <w:rPr>
          <w:rFonts w:asciiTheme="minorHAnsi" w:hAnsiTheme="minorHAnsi" w:cstheme="minorBidi"/>
          <w:szCs w:val="22"/>
        </w:rPr>
        <w:t xml:space="preserve"> CGs </w:t>
      </w:r>
      <w:r w:rsidR="00B66577" w:rsidRPr="00C41814">
        <w:rPr>
          <w:rFonts w:asciiTheme="minorHAnsi" w:hAnsiTheme="minorHAnsi" w:cstheme="minorBidi"/>
          <w:szCs w:val="22"/>
        </w:rPr>
        <w:t xml:space="preserve">from an authoritative </w:t>
      </w:r>
      <w:r w:rsidRPr="00C41814">
        <w:rPr>
          <w:rFonts w:asciiTheme="minorHAnsi" w:hAnsiTheme="minorHAnsi" w:cstheme="minorBidi"/>
          <w:szCs w:val="22"/>
        </w:rPr>
        <w:t xml:space="preserve">provenance </w:t>
      </w:r>
      <w:r w:rsidR="00B66577" w:rsidRPr="00C41814">
        <w:rPr>
          <w:rFonts w:asciiTheme="minorHAnsi" w:hAnsiTheme="minorHAnsi" w:cstheme="minorBidi"/>
          <w:szCs w:val="22"/>
        </w:rPr>
        <w:t xml:space="preserve">can be expected </w:t>
      </w:r>
      <w:r w:rsidRPr="00C41814">
        <w:rPr>
          <w:rFonts w:asciiTheme="minorHAnsi" w:hAnsiTheme="minorHAnsi" w:cstheme="minorBidi"/>
          <w:szCs w:val="22"/>
        </w:rPr>
        <w:t xml:space="preserve">to reflect </w:t>
      </w:r>
      <w:r w:rsidR="00420B84" w:rsidRPr="00C41814">
        <w:rPr>
          <w:rFonts w:asciiTheme="minorHAnsi" w:hAnsiTheme="minorHAnsi" w:cstheme="minorBidi"/>
          <w:szCs w:val="22"/>
        </w:rPr>
        <w:t>the</w:t>
      </w:r>
      <w:r w:rsidRPr="00C41814">
        <w:rPr>
          <w:rFonts w:asciiTheme="minorHAnsi" w:hAnsiTheme="minorHAnsi" w:cstheme="minorBidi"/>
          <w:szCs w:val="22"/>
        </w:rPr>
        <w:t xml:space="preserve"> concept of reasonable and responsible medical care.</w:t>
      </w:r>
      <w:r w:rsidRPr="00C41814">
        <w:rPr>
          <w:rFonts w:asciiTheme="minorHAnsi" w:hAnsiTheme="minorHAnsi" w:cs="Arial"/>
          <w:szCs w:val="22"/>
          <w:vertAlign w:val="superscript"/>
        </w:rPr>
        <w:footnoteReference w:id="43"/>
      </w:r>
      <w:r w:rsidRPr="00C41814">
        <w:rPr>
          <w:rFonts w:asciiTheme="minorHAnsi" w:hAnsiTheme="minorHAnsi" w:cstheme="minorBidi"/>
          <w:szCs w:val="22"/>
        </w:rPr>
        <w:t xml:space="preserve"> This approach towards CGs being used as a matter of evidence was recognised by </w:t>
      </w:r>
      <w:r w:rsidR="00DE4555" w:rsidRPr="00C41814">
        <w:rPr>
          <w:rFonts w:asciiTheme="minorHAnsi" w:hAnsiTheme="minorHAnsi" w:cstheme="minorBidi"/>
          <w:szCs w:val="22"/>
        </w:rPr>
        <w:t xml:space="preserve">one </w:t>
      </w:r>
      <w:r w:rsidRPr="00C41814">
        <w:rPr>
          <w:rFonts w:asciiTheme="minorHAnsi" w:hAnsiTheme="minorHAnsi" w:cstheme="minorBidi"/>
          <w:szCs w:val="22"/>
        </w:rPr>
        <w:t>participant: “</w:t>
      </w:r>
      <w:r w:rsidRPr="00C41814">
        <w:rPr>
          <w:rFonts w:asciiTheme="minorHAnsi" w:hAnsiTheme="minorHAnsi" w:cstheme="minorBidi"/>
          <w:i/>
          <w:szCs w:val="22"/>
        </w:rPr>
        <w:t>When I started practice, lots of experts in meetings would say ‘well, they are only guidelines’ and that was the mantra … but in the light of research and all the modelling that is done to improve healthcare and health generally, that argument does not hold much water now or in the future.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4"/>
      </w:r>
      <w:r w:rsidRPr="00C41814">
        <w:rPr>
          <w:rFonts w:asciiTheme="minorHAnsi" w:hAnsiTheme="minorHAnsi" w:cstheme="minorBidi"/>
          <w:szCs w:val="22"/>
        </w:rPr>
        <w:t xml:space="preserve"> </w:t>
      </w:r>
    </w:p>
    <w:p w14:paraId="7FE36F85" w14:textId="5EFDCF32"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szCs w:val="22"/>
        </w:rPr>
        <w:t>A unique dimension of th</w:t>
      </w:r>
      <w:r w:rsidR="00420B84" w:rsidRPr="00C41814">
        <w:rPr>
          <w:rFonts w:asciiTheme="minorHAnsi" w:hAnsiTheme="minorHAnsi" w:cstheme="minorBidi"/>
          <w:szCs w:val="22"/>
        </w:rPr>
        <w:t>is study i</w:t>
      </w:r>
      <w:r w:rsidR="00FC324C" w:rsidRPr="00C41814">
        <w:rPr>
          <w:rFonts w:asciiTheme="minorHAnsi" w:hAnsiTheme="minorHAnsi" w:cstheme="minorBidi"/>
          <w:szCs w:val="22"/>
        </w:rPr>
        <w:t>s</w:t>
      </w:r>
      <w:r w:rsidR="00420B84" w:rsidRPr="00C41814">
        <w:rPr>
          <w:rFonts w:asciiTheme="minorHAnsi" w:hAnsiTheme="minorHAnsi" w:cstheme="minorBidi"/>
          <w:szCs w:val="22"/>
        </w:rPr>
        <w:t xml:space="preserve"> a</w:t>
      </w:r>
      <w:r w:rsidRPr="00C41814">
        <w:rPr>
          <w:rFonts w:asciiTheme="minorHAnsi" w:hAnsiTheme="minorHAnsi" w:cstheme="minorBidi"/>
          <w:szCs w:val="22"/>
        </w:rPr>
        <w:t xml:space="preserve"> compar</w:t>
      </w:r>
      <w:r w:rsidR="00FC324C" w:rsidRPr="00C41814">
        <w:rPr>
          <w:rFonts w:asciiTheme="minorHAnsi" w:hAnsiTheme="minorHAnsi" w:cstheme="minorBidi"/>
          <w:szCs w:val="22"/>
        </w:rPr>
        <w:t>ison of</w:t>
      </w:r>
      <w:r w:rsidRPr="00C41814">
        <w:rPr>
          <w:rFonts w:asciiTheme="minorHAnsi" w:hAnsiTheme="minorHAnsi" w:cstheme="minorBidi"/>
          <w:szCs w:val="22"/>
        </w:rPr>
        <w:t xml:space="preserve"> </w:t>
      </w:r>
      <w:r w:rsidR="00FC324C" w:rsidRPr="00C41814">
        <w:rPr>
          <w:rFonts w:asciiTheme="minorHAnsi" w:hAnsiTheme="minorHAnsi" w:cstheme="minorBidi"/>
          <w:szCs w:val="22"/>
        </w:rPr>
        <w:t>current</w:t>
      </w:r>
      <w:r w:rsidRPr="00C41814">
        <w:rPr>
          <w:rFonts w:asciiTheme="minorHAnsi" w:hAnsiTheme="minorHAnsi" w:cstheme="minorBidi"/>
          <w:szCs w:val="22"/>
        </w:rPr>
        <w:t xml:space="preserve"> data with that obtained previously.  The findings </w:t>
      </w:r>
      <w:r w:rsidR="00B66577" w:rsidRPr="00C41814">
        <w:rPr>
          <w:rFonts w:asciiTheme="minorHAnsi" w:hAnsiTheme="minorHAnsi" w:cstheme="minorBidi"/>
          <w:szCs w:val="22"/>
        </w:rPr>
        <w:t xml:space="preserve">strongly reveal </w:t>
      </w:r>
      <w:r w:rsidRPr="00C41814">
        <w:rPr>
          <w:rFonts w:asciiTheme="minorHAnsi" w:hAnsiTheme="minorHAnsi" w:cstheme="minorBidi"/>
          <w:szCs w:val="22"/>
        </w:rPr>
        <w:t>that use of CGs, by defendants as well as claimants, has increased significantly</w:t>
      </w:r>
      <w:r w:rsidR="00FC324C" w:rsidRPr="00C41814">
        <w:rPr>
          <w:rFonts w:asciiTheme="minorHAnsi" w:hAnsiTheme="minorHAnsi" w:cstheme="minorBidi"/>
          <w:szCs w:val="22"/>
        </w:rPr>
        <w:t>,</w:t>
      </w:r>
      <w:r w:rsidRPr="00C41814">
        <w:rPr>
          <w:rFonts w:asciiTheme="minorHAnsi" w:hAnsiTheme="minorHAnsi" w:cstheme="minorBidi"/>
          <w:szCs w:val="22"/>
        </w:rPr>
        <w:t xml:space="preserve"> </w:t>
      </w:r>
      <w:r w:rsidR="00387EF5" w:rsidRPr="00C41814">
        <w:rPr>
          <w:rFonts w:asciiTheme="minorHAnsi" w:hAnsiTheme="minorHAnsi" w:cstheme="minorBidi"/>
          <w:szCs w:val="22"/>
        </w:rPr>
        <w:t xml:space="preserve">principally </w:t>
      </w:r>
      <w:r w:rsidRPr="00C41814">
        <w:rPr>
          <w:rFonts w:asciiTheme="minorHAnsi" w:hAnsiTheme="minorHAnsi" w:cstheme="minorBidi"/>
          <w:szCs w:val="22"/>
        </w:rPr>
        <w:t>guidelines from NICE and the Royal Colleges</w:t>
      </w:r>
      <w:r w:rsidR="00A00D70" w:rsidRPr="00C41814">
        <w:rPr>
          <w:rFonts w:asciiTheme="minorHAnsi" w:hAnsiTheme="minorHAnsi" w:cstheme="minorBidi"/>
          <w:szCs w:val="22"/>
        </w:rPr>
        <w:t xml:space="preserve"> </w:t>
      </w:r>
      <w:r w:rsidR="00FC324C" w:rsidRPr="00C41814">
        <w:rPr>
          <w:rFonts w:asciiTheme="minorHAnsi" w:hAnsiTheme="minorHAnsi" w:cstheme="minorBidi"/>
          <w:szCs w:val="22"/>
        </w:rPr>
        <w:t>relating to</w:t>
      </w:r>
      <w:r w:rsidRPr="00C41814">
        <w:rPr>
          <w:rFonts w:asciiTheme="minorHAnsi" w:hAnsiTheme="minorHAnsi" w:cstheme="minorBidi"/>
          <w:szCs w:val="22"/>
        </w:rPr>
        <w:t xml:space="preserve"> </w:t>
      </w:r>
      <w:r w:rsidRPr="00C41814">
        <w:rPr>
          <w:rFonts w:asciiTheme="minorHAnsi" w:hAnsiTheme="minorHAnsi" w:cstheme="minorHAnsi"/>
          <w:szCs w:val="22"/>
        </w:rPr>
        <w:t xml:space="preserve">obstetrics and cancer referral.  </w:t>
      </w:r>
      <w:r w:rsidR="001A1FAF" w:rsidRPr="00C41814">
        <w:rPr>
          <w:rFonts w:asciiTheme="minorHAnsi" w:hAnsiTheme="minorHAnsi" w:cstheme="minorHAnsi"/>
          <w:szCs w:val="22"/>
        </w:rPr>
        <w:t xml:space="preserve">Significantly more </w:t>
      </w:r>
      <w:r w:rsidRPr="00C41814">
        <w:rPr>
          <w:rFonts w:asciiTheme="minorHAnsi" w:hAnsiTheme="minorHAnsi" w:cstheme="minorBidi"/>
          <w:szCs w:val="22"/>
        </w:rPr>
        <w:t xml:space="preserve">respondents </w:t>
      </w:r>
      <w:r w:rsidR="001A1FAF" w:rsidRPr="00C41814">
        <w:rPr>
          <w:rFonts w:asciiTheme="minorHAnsi" w:hAnsiTheme="minorHAnsi" w:cstheme="minorBidi"/>
          <w:szCs w:val="22"/>
        </w:rPr>
        <w:t xml:space="preserve">used </w:t>
      </w:r>
      <w:r w:rsidRPr="00C41814">
        <w:rPr>
          <w:rFonts w:asciiTheme="minorHAnsi" w:hAnsiTheme="minorHAnsi" w:cstheme="minorBidi"/>
          <w:szCs w:val="22"/>
        </w:rPr>
        <w:t>CGs “often, or very often” during all stages of proceedings than previously</w:t>
      </w:r>
      <w:r w:rsidR="0057057C" w:rsidRPr="00C41814">
        <w:rPr>
          <w:rFonts w:asciiTheme="minorHAnsi" w:hAnsiTheme="minorHAnsi" w:cstheme="minorBidi"/>
          <w:szCs w:val="22"/>
        </w:rPr>
        <w:t xml:space="preserve">: </w:t>
      </w:r>
      <w:r w:rsidRPr="00C41814">
        <w:rPr>
          <w:rFonts w:asciiTheme="minorHAnsi" w:hAnsiTheme="minorHAnsi" w:cstheme="minorBidi"/>
          <w:szCs w:val="22"/>
        </w:rPr>
        <w:t>“</w:t>
      </w:r>
      <w:r w:rsidRPr="00C41814">
        <w:rPr>
          <w:rFonts w:asciiTheme="minorHAnsi" w:hAnsiTheme="minorHAnsi" w:cstheme="minorBidi"/>
          <w:i/>
          <w:szCs w:val="22"/>
        </w:rPr>
        <w:t>We used to refer to teaching textbooks and published articles. Now it is far more common to refer to relevant NICE guidelines and other published guidelines, as well as online sources. This is increasing.</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5"/>
      </w:r>
    </w:p>
    <w:p w14:paraId="7D247DD9" w14:textId="49548584" w:rsidR="00116364" w:rsidRPr="00C41814" w:rsidRDefault="00116364" w:rsidP="008E5806">
      <w:pPr>
        <w:spacing w:after="200" w:line="360" w:lineRule="auto"/>
        <w:rPr>
          <w:rFonts w:asciiTheme="minorHAnsi" w:hAnsiTheme="minorHAnsi" w:cstheme="minorBidi"/>
          <w:szCs w:val="22"/>
        </w:rPr>
      </w:pPr>
      <w:r w:rsidRPr="00C41814">
        <w:rPr>
          <w:rFonts w:asciiTheme="minorHAnsi" w:hAnsiTheme="minorHAnsi" w:cstheme="minorBidi"/>
          <w:szCs w:val="22"/>
        </w:rPr>
        <w:t>D</w:t>
      </w:r>
      <w:r w:rsidRPr="00C41814">
        <w:rPr>
          <w:rFonts w:asciiTheme="minorHAnsi" w:hAnsiTheme="minorHAnsi" w:cstheme="minorHAnsi"/>
          <w:szCs w:val="22"/>
        </w:rPr>
        <w:t xml:space="preserve">rivers </w:t>
      </w:r>
      <w:r w:rsidR="00443E18" w:rsidRPr="00C41814">
        <w:rPr>
          <w:rFonts w:asciiTheme="minorHAnsi" w:hAnsiTheme="minorHAnsi" w:cstheme="minorHAnsi"/>
          <w:szCs w:val="22"/>
        </w:rPr>
        <w:t xml:space="preserve">include </w:t>
      </w:r>
      <w:r w:rsidRPr="00C41814">
        <w:rPr>
          <w:rFonts w:asciiTheme="minorHAnsi" w:hAnsiTheme="minorHAnsi" w:cstheme="minorHAnsi"/>
          <w:szCs w:val="22"/>
        </w:rPr>
        <w:t xml:space="preserve">quality improvement initiatives and modelling pathways designed to optimise healthcare delivery: </w:t>
      </w:r>
      <w:r w:rsidRPr="00C41814">
        <w:rPr>
          <w:rFonts w:asciiTheme="minorHAnsi" w:hAnsiTheme="minorHAnsi" w:cstheme="minorBidi"/>
          <w:szCs w:val="22"/>
        </w:rPr>
        <w:t>“</w:t>
      </w:r>
      <w:r w:rsidRPr="00C41814">
        <w:rPr>
          <w:rFonts w:asciiTheme="minorHAnsi" w:hAnsiTheme="minorHAnsi" w:cstheme="minorBidi"/>
          <w:i/>
          <w:szCs w:val="22"/>
        </w:rPr>
        <w:t>The use of guidelines will increase in the future because I can see the change has been the drive to improve governance, and the most acce</w:t>
      </w:r>
      <w:r w:rsidRPr="00C41814">
        <w:rPr>
          <w:i/>
        </w:rPr>
        <w:t>ssible tool used is guidelines.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6"/>
      </w:r>
      <w:r w:rsidRPr="00C41814">
        <w:rPr>
          <w:rFonts w:asciiTheme="minorHAnsi" w:hAnsiTheme="minorHAnsi" w:cstheme="minorBidi"/>
          <w:szCs w:val="22"/>
        </w:rPr>
        <w:t xml:space="preserve"> </w:t>
      </w:r>
      <w:r w:rsidR="00443E18" w:rsidRPr="00C41814">
        <w:rPr>
          <w:rFonts w:asciiTheme="minorHAnsi" w:hAnsiTheme="minorHAnsi" w:cstheme="minorBidi"/>
          <w:szCs w:val="22"/>
        </w:rPr>
        <w:t xml:space="preserve">To enhance </w:t>
      </w:r>
      <w:r w:rsidRPr="00C41814">
        <w:rPr>
          <w:rFonts w:asciiTheme="minorHAnsi" w:hAnsiTheme="minorHAnsi" w:cstheme="minorBidi"/>
          <w:szCs w:val="22"/>
        </w:rPr>
        <w:t>quality assurance and governance the intrinsic robustness of CGs and the quality of the evidence-base was centrally important since: “</w:t>
      </w:r>
      <w:r w:rsidRPr="00C41814">
        <w:rPr>
          <w:rFonts w:asciiTheme="minorHAnsi" w:hAnsiTheme="minorHAnsi" w:cstheme="minorBidi"/>
          <w:i/>
          <w:szCs w:val="22"/>
        </w:rPr>
        <w:t>There are orders of quality and relevance. Guidelines from national organisations will be very powerful pieces of evidence.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47"/>
      </w:r>
      <w:r w:rsidRPr="00C41814">
        <w:rPr>
          <w:rFonts w:asciiTheme="minorHAnsi" w:hAnsiTheme="minorHAnsi" w:cstheme="minorBidi"/>
          <w:szCs w:val="22"/>
        </w:rPr>
        <w:t xml:space="preserve"> The marked preference for protocols underpinned by recognised indicators of quality applied across the board from guidelines of national provenance to those produced at regional and local level</w:t>
      </w:r>
      <w:r w:rsidR="00443E18" w:rsidRPr="00C41814">
        <w:rPr>
          <w:rFonts w:asciiTheme="minorHAnsi" w:hAnsiTheme="minorHAnsi" w:cstheme="minorBidi"/>
          <w:szCs w:val="22"/>
        </w:rPr>
        <w:t>s</w:t>
      </w:r>
      <w:r w:rsidRPr="00C41814">
        <w:rPr>
          <w:rFonts w:asciiTheme="minorHAnsi" w:hAnsiTheme="minorHAnsi" w:cstheme="minorBidi"/>
          <w:szCs w:val="22"/>
        </w:rPr>
        <w:t>.</w:t>
      </w:r>
      <w:r w:rsidRPr="00C41814">
        <w:t xml:space="preserve"> </w:t>
      </w:r>
      <w:r w:rsidRPr="00C41814">
        <w:rPr>
          <w:rFonts w:asciiTheme="minorHAnsi" w:hAnsiTheme="minorHAnsi" w:cstheme="minorBidi"/>
          <w:szCs w:val="22"/>
        </w:rPr>
        <w:t xml:space="preserve">Several participants suggested that the increased quality of the scientific and medical evidence-base that underpinned CGs, together with more refined production and enhanced accountability, meant that their future use </w:t>
      </w:r>
      <w:r w:rsidRPr="00C41814">
        <w:t>would be greater and</w:t>
      </w:r>
      <w:r w:rsidRPr="00C41814">
        <w:rPr>
          <w:rFonts w:asciiTheme="minorHAnsi" w:hAnsiTheme="minorHAnsi" w:cstheme="minorBidi"/>
          <w:szCs w:val="22"/>
        </w:rPr>
        <w:t xml:space="preserve"> </w:t>
      </w:r>
      <w:r w:rsidR="00443E18" w:rsidRPr="00C41814">
        <w:rPr>
          <w:rFonts w:asciiTheme="minorHAnsi" w:hAnsiTheme="minorHAnsi" w:cstheme="minorBidi"/>
          <w:szCs w:val="22"/>
        </w:rPr>
        <w:t xml:space="preserve">would </w:t>
      </w:r>
      <w:r w:rsidRPr="00C41814">
        <w:rPr>
          <w:rFonts w:asciiTheme="minorHAnsi" w:hAnsiTheme="minorHAnsi" w:cstheme="minorBidi"/>
          <w:szCs w:val="22"/>
        </w:rPr>
        <w:t xml:space="preserve">therefore </w:t>
      </w:r>
      <w:r w:rsidR="00443E18" w:rsidRPr="00C41814">
        <w:rPr>
          <w:rFonts w:asciiTheme="minorHAnsi" w:hAnsiTheme="minorHAnsi" w:cstheme="minorBidi"/>
          <w:szCs w:val="22"/>
        </w:rPr>
        <w:t xml:space="preserve">be </w:t>
      </w:r>
      <w:r w:rsidRPr="00C41814">
        <w:rPr>
          <w:rFonts w:asciiTheme="minorHAnsi" w:hAnsiTheme="minorHAnsi" w:cstheme="minorBidi"/>
          <w:szCs w:val="22"/>
        </w:rPr>
        <w:t xml:space="preserve">more challenging for defendants to advance </w:t>
      </w:r>
      <w:r w:rsidR="00443E18" w:rsidRPr="00C41814">
        <w:rPr>
          <w:rFonts w:asciiTheme="minorHAnsi" w:hAnsiTheme="minorHAnsi" w:cstheme="minorBidi"/>
          <w:szCs w:val="22"/>
        </w:rPr>
        <w:t xml:space="preserve">convincing </w:t>
      </w:r>
      <w:r w:rsidRPr="00C41814">
        <w:rPr>
          <w:rFonts w:asciiTheme="minorHAnsi" w:hAnsiTheme="minorHAnsi" w:cstheme="minorBidi"/>
          <w:szCs w:val="22"/>
        </w:rPr>
        <w:t xml:space="preserve">arguments as to why they chose not to follow </w:t>
      </w:r>
      <w:r w:rsidR="00443E18" w:rsidRPr="00C41814">
        <w:rPr>
          <w:rFonts w:asciiTheme="minorHAnsi" w:hAnsiTheme="minorHAnsi" w:cstheme="minorBidi"/>
          <w:szCs w:val="22"/>
        </w:rPr>
        <w:t xml:space="preserve">CGs </w:t>
      </w:r>
      <w:r w:rsidRPr="00C41814">
        <w:rPr>
          <w:rFonts w:asciiTheme="minorHAnsi" w:hAnsiTheme="minorHAnsi" w:cstheme="minorBidi"/>
          <w:szCs w:val="22"/>
        </w:rPr>
        <w:t xml:space="preserve">in circumstances where their use </w:t>
      </w:r>
      <w:r w:rsidR="00443E18" w:rsidRPr="00C41814">
        <w:rPr>
          <w:rFonts w:asciiTheme="minorHAnsi" w:hAnsiTheme="minorHAnsi" w:cstheme="minorBidi"/>
          <w:szCs w:val="22"/>
        </w:rPr>
        <w:t xml:space="preserve">appeared </w:t>
      </w:r>
      <w:r w:rsidRPr="00C41814">
        <w:rPr>
          <w:rFonts w:asciiTheme="minorHAnsi" w:hAnsiTheme="minorHAnsi" w:cstheme="minorBidi"/>
          <w:szCs w:val="22"/>
        </w:rPr>
        <w:t xml:space="preserve">to be warranted. According </w:t>
      </w:r>
      <w:r w:rsidRPr="00C41814">
        <w:rPr>
          <w:rFonts w:asciiTheme="minorHAnsi" w:hAnsiTheme="minorHAnsi" w:cstheme="minorBidi"/>
          <w:szCs w:val="22"/>
        </w:rPr>
        <w:lastRenderedPageBreak/>
        <w:t>to a leading Queen’s Counsel specialising in Clinical Negligence, national CGs at the time of the index event in a negligence claim are likely to provide a useful barometer of the standard of care expected.</w:t>
      </w:r>
      <w:r w:rsidRPr="00C41814">
        <w:rPr>
          <w:rFonts w:asciiTheme="minorHAnsi" w:hAnsiTheme="minorHAnsi" w:cstheme="minorBidi"/>
          <w:szCs w:val="22"/>
          <w:vertAlign w:val="superscript"/>
        </w:rPr>
        <w:footnoteReference w:id="48"/>
      </w:r>
      <w:r w:rsidRPr="00C41814">
        <w:rPr>
          <w:rFonts w:asciiTheme="minorHAnsi" w:hAnsiTheme="minorHAnsi" w:cstheme="minorBidi"/>
          <w:szCs w:val="22"/>
        </w:rPr>
        <w:t xml:space="preserve"> Since most NHS Trusts will have devised or adopted protocols or policies for many aspects of the management and treatment of patients it is imperative that expert witnesses </w:t>
      </w:r>
      <w:r w:rsidR="00443E18" w:rsidRPr="00C41814">
        <w:rPr>
          <w:rFonts w:asciiTheme="minorHAnsi" w:hAnsiTheme="minorHAnsi" w:cstheme="minorBidi"/>
          <w:szCs w:val="22"/>
        </w:rPr>
        <w:t xml:space="preserve">remain </w:t>
      </w:r>
      <w:r w:rsidRPr="00C41814">
        <w:rPr>
          <w:rFonts w:asciiTheme="minorHAnsi" w:hAnsiTheme="minorHAnsi" w:cstheme="minorBidi"/>
          <w:szCs w:val="22"/>
        </w:rPr>
        <w:t xml:space="preserve">abreast of all relevant national </w:t>
      </w:r>
      <w:r w:rsidR="00443E18" w:rsidRPr="00C41814">
        <w:rPr>
          <w:rFonts w:asciiTheme="minorHAnsi" w:hAnsiTheme="minorHAnsi" w:cstheme="minorBidi"/>
          <w:szCs w:val="22"/>
        </w:rPr>
        <w:t xml:space="preserve">and local </w:t>
      </w:r>
      <w:r w:rsidRPr="00C41814">
        <w:rPr>
          <w:rFonts w:asciiTheme="minorHAnsi" w:hAnsiTheme="minorHAnsi" w:cstheme="minorBidi"/>
          <w:szCs w:val="22"/>
        </w:rPr>
        <w:t>guidance</w:t>
      </w:r>
      <w:r w:rsidR="00443E18" w:rsidRPr="00C41814">
        <w:rPr>
          <w:rFonts w:asciiTheme="minorHAnsi" w:hAnsiTheme="minorHAnsi" w:cstheme="minorBidi"/>
          <w:szCs w:val="22"/>
        </w:rPr>
        <w:t xml:space="preserve"> </w:t>
      </w:r>
      <w:r w:rsidRPr="00C41814">
        <w:t>and be prepared</w:t>
      </w:r>
      <w:r w:rsidRPr="00C41814">
        <w:rPr>
          <w:rFonts w:asciiTheme="minorHAnsi" w:hAnsiTheme="minorHAnsi" w:cstheme="minorBidi"/>
          <w:szCs w:val="22"/>
        </w:rPr>
        <w:t xml:space="preserve"> to take the</w:t>
      </w:r>
      <w:r w:rsidRPr="00C41814">
        <w:t>se</w:t>
      </w:r>
      <w:r w:rsidRPr="00C41814">
        <w:rPr>
          <w:rFonts w:asciiTheme="minorHAnsi" w:hAnsiTheme="minorHAnsi" w:cstheme="minorBidi"/>
          <w:szCs w:val="22"/>
        </w:rPr>
        <w:t xml:space="preserve"> into account.</w:t>
      </w:r>
      <w:r w:rsidRPr="00C41814">
        <w:rPr>
          <w:rFonts w:asciiTheme="minorHAnsi" w:hAnsiTheme="minorHAnsi" w:cstheme="minorBidi"/>
          <w:szCs w:val="22"/>
          <w:vertAlign w:val="superscript"/>
        </w:rPr>
        <w:footnoteReference w:id="49"/>
      </w:r>
      <w:r w:rsidRPr="00C41814">
        <w:rPr>
          <w:rFonts w:asciiTheme="minorHAnsi" w:hAnsiTheme="minorHAnsi" w:cstheme="minorBidi"/>
          <w:szCs w:val="22"/>
        </w:rPr>
        <w:t xml:space="preserve">  </w:t>
      </w:r>
    </w:p>
    <w:p w14:paraId="00BE9AEC" w14:textId="3DB1E88D" w:rsidR="00A877C1" w:rsidRPr="00C41814" w:rsidRDefault="00A877C1"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The resonance of findings from both quantitative and qualitative sources supports </w:t>
      </w:r>
      <w:r w:rsidRPr="00C41814">
        <w:rPr>
          <w:rFonts w:asciiTheme="minorHAnsi" w:hAnsiTheme="minorHAnsi" w:cstheme="minorHAnsi"/>
          <w:szCs w:val="22"/>
        </w:rPr>
        <w:t>the con</w:t>
      </w:r>
      <w:r w:rsidR="00051594" w:rsidRPr="00C41814">
        <w:rPr>
          <w:rFonts w:asciiTheme="minorHAnsi" w:hAnsiTheme="minorHAnsi" w:cstheme="minorHAnsi"/>
          <w:szCs w:val="22"/>
        </w:rPr>
        <w:t xml:space="preserve">tention </w:t>
      </w:r>
      <w:r w:rsidRPr="00C41814">
        <w:rPr>
          <w:rFonts w:asciiTheme="minorHAnsi" w:hAnsiTheme="minorHAnsi" w:cstheme="minorHAnsi"/>
          <w:szCs w:val="22"/>
        </w:rPr>
        <w:t>that use of CGs in litigation has increased and is expected to</w:t>
      </w:r>
      <w:r w:rsidR="00FC324C" w:rsidRPr="00C41814">
        <w:rPr>
          <w:rFonts w:asciiTheme="minorHAnsi" w:hAnsiTheme="minorHAnsi" w:cstheme="minorHAnsi"/>
          <w:szCs w:val="22"/>
        </w:rPr>
        <w:t xml:space="preserve"> grow</w:t>
      </w:r>
      <w:r w:rsidRPr="00C41814">
        <w:rPr>
          <w:rFonts w:asciiTheme="minorHAnsi" w:hAnsiTheme="minorHAnsi" w:cstheme="minorHAnsi"/>
          <w:szCs w:val="22"/>
        </w:rPr>
        <w:t xml:space="preserve">.  Nevertheless, total reliance on CGs </w:t>
      </w:r>
      <w:r w:rsidR="00051594" w:rsidRPr="00C41814">
        <w:rPr>
          <w:rFonts w:asciiTheme="minorHAnsi" w:hAnsiTheme="minorHAnsi" w:cstheme="minorHAnsi"/>
          <w:szCs w:val="22"/>
        </w:rPr>
        <w:t xml:space="preserve">could </w:t>
      </w:r>
      <w:r w:rsidRPr="00C41814">
        <w:rPr>
          <w:rFonts w:asciiTheme="minorHAnsi" w:hAnsiTheme="minorHAnsi" w:cstheme="minorHAnsi"/>
          <w:szCs w:val="22"/>
        </w:rPr>
        <w:t xml:space="preserve">have its own drawbacks in that: </w:t>
      </w:r>
      <w:r w:rsidRPr="00C41814">
        <w:rPr>
          <w:rFonts w:asciiTheme="minorHAnsi" w:hAnsiTheme="minorHAnsi" w:cstheme="minorBidi"/>
          <w:szCs w:val="22"/>
        </w:rPr>
        <w:t>“</w:t>
      </w:r>
      <w:r w:rsidRPr="00C41814">
        <w:rPr>
          <w:rFonts w:asciiTheme="minorHAnsi" w:hAnsiTheme="minorHAnsi" w:cstheme="minorBidi"/>
          <w:i/>
          <w:szCs w:val="22"/>
        </w:rPr>
        <w:t>Slavish reliance on guidelines can lead to [clinicians] losing the ability to think for themselves and failure to personalise treatment, which would not be in the best interests of patients.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50"/>
      </w:r>
      <w:r w:rsidRPr="00C41814">
        <w:rPr>
          <w:rFonts w:asciiTheme="minorHAnsi" w:hAnsiTheme="minorHAnsi" w:cstheme="minorBidi"/>
          <w:szCs w:val="22"/>
        </w:rPr>
        <w:t xml:space="preserve"> </w:t>
      </w:r>
      <w:r w:rsidRPr="00C41814">
        <w:rPr>
          <w:rFonts w:asciiTheme="minorHAnsi" w:hAnsiTheme="minorHAnsi" w:cs="Arial"/>
          <w:szCs w:val="22"/>
        </w:rPr>
        <w:t xml:space="preserve">Although routine, uncritical deployment of evidence-based guidance may be accompanied by more consistent practice this might be achieved only at the expense of curtailing delivery of </w:t>
      </w:r>
      <w:r w:rsidR="00051594" w:rsidRPr="00C41814">
        <w:rPr>
          <w:rFonts w:asciiTheme="minorHAnsi" w:hAnsiTheme="minorHAnsi" w:cs="Arial"/>
          <w:szCs w:val="22"/>
        </w:rPr>
        <w:t xml:space="preserve">individualised </w:t>
      </w:r>
      <w:r w:rsidRPr="00C41814">
        <w:rPr>
          <w:rFonts w:asciiTheme="minorHAnsi" w:hAnsiTheme="minorHAnsi" w:cs="Arial"/>
          <w:szCs w:val="22"/>
        </w:rPr>
        <w:t xml:space="preserve">care that aligns with the needs of particular patients. </w:t>
      </w:r>
      <w:r w:rsidR="00FC324C" w:rsidRPr="00C41814">
        <w:rPr>
          <w:rFonts w:asciiTheme="minorHAnsi" w:hAnsiTheme="minorHAnsi" w:cs="Arial"/>
          <w:szCs w:val="22"/>
        </w:rPr>
        <w:t xml:space="preserve">This could diminish </w:t>
      </w:r>
      <w:r w:rsidR="00FC324C" w:rsidRPr="00C41814">
        <w:rPr>
          <w:rFonts w:asciiTheme="minorHAnsi" w:hAnsiTheme="minorHAnsi" w:cstheme="minorBidi"/>
          <w:szCs w:val="22"/>
        </w:rPr>
        <w:t xml:space="preserve">the presumption that non-compliance would </w:t>
      </w:r>
      <w:r w:rsidR="00FC324C" w:rsidRPr="00C41814">
        <w:rPr>
          <w:rFonts w:asciiTheme="minorHAnsi" w:hAnsiTheme="minorHAnsi" w:cstheme="minorBidi"/>
          <w:i/>
          <w:szCs w:val="22"/>
        </w:rPr>
        <w:t>prima facie</w:t>
      </w:r>
      <w:r w:rsidR="00FC324C" w:rsidRPr="00C41814">
        <w:rPr>
          <w:rFonts w:asciiTheme="minorHAnsi" w:hAnsiTheme="minorHAnsi" w:cstheme="minorBidi"/>
          <w:szCs w:val="22"/>
        </w:rPr>
        <w:t xml:space="preserve"> represent evidence of breach of the standard of care</w:t>
      </w:r>
      <w:r w:rsidR="001A1B17" w:rsidRPr="00C41814">
        <w:rPr>
          <w:rFonts w:asciiTheme="minorHAnsi" w:hAnsiTheme="minorHAnsi" w:cstheme="minorBidi"/>
          <w:szCs w:val="22"/>
        </w:rPr>
        <w:t xml:space="preserve"> </w:t>
      </w:r>
      <w:r w:rsidR="00FC324C" w:rsidRPr="00C41814">
        <w:rPr>
          <w:rFonts w:asciiTheme="minorHAnsi" w:hAnsiTheme="minorHAnsi" w:cstheme="minorBidi"/>
          <w:szCs w:val="22"/>
        </w:rPr>
        <w:t xml:space="preserve">and argue </w:t>
      </w:r>
      <w:r w:rsidR="001A1B17" w:rsidRPr="00C41814">
        <w:rPr>
          <w:rFonts w:asciiTheme="minorHAnsi" w:hAnsiTheme="minorHAnsi" w:cstheme="minorBidi"/>
          <w:szCs w:val="22"/>
        </w:rPr>
        <w:t>in favour of a more enquiring position for the court undertaken in each case.</w:t>
      </w:r>
    </w:p>
    <w:p w14:paraId="70368675" w14:textId="77777777" w:rsidR="00C800DE" w:rsidRPr="00C41814" w:rsidRDefault="00C800DE" w:rsidP="008E5806">
      <w:pPr>
        <w:spacing w:after="200" w:line="360" w:lineRule="auto"/>
        <w:rPr>
          <w:rFonts w:asciiTheme="minorHAnsi" w:hAnsiTheme="minorHAnsi" w:cstheme="minorBidi"/>
          <w:b/>
          <w:szCs w:val="22"/>
        </w:rPr>
      </w:pPr>
    </w:p>
    <w:p w14:paraId="31EFA446" w14:textId="3A2CEF70" w:rsidR="00A95C27" w:rsidRPr="00C41814" w:rsidRDefault="00A50CF6" w:rsidP="008E5806">
      <w:pPr>
        <w:spacing w:after="200" w:line="360" w:lineRule="auto"/>
        <w:jc w:val="center"/>
        <w:rPr>
          <w:rFonts w:asciiTheme="minorHAnsi" w:hAnsiTheme="minorHAnsi" w:cstheme="minorBidi"/>
          <w:i/>
          <w:szCs w:val="22"/>
        </w:rPr>
      </w:pPr>
      <w:r w:rsidRPr="00C41814">
        <w:rPr>
          <w:rFonts w:asciiTheme="minorHAnsi" w:hAnsiTheme="minorHAnsi" w:cstheme="minorBidi"/>
          <w:i/>
          <w:szCs w:val="22"/>
        </w:rPr>
        <w:t>C</w:t>
      </w:r>
      <w:r w:rsidR="00A95C27" w:rsidRPr="00C41814">
        <w:rPr>
          <w:rFonts w:asciiTheme="minorHAnsi" w:hAnsiTheme="minorHAnsi" w:cstheme="minorBidi"/>
          <w:i/>
          <w:szCs w:val="22"/>
        </w:rPr>
        <w:t xml:space="preserve">. Clinical guidelines used by the court </w:t>
      </w:r>
    </w:p>
    <w:p w14:paraId="517DEFB0" w14:textId="6D5A4477" w:rsidR="00A95C27" w:rsidRPr="00C41814" w:rsidRDefault="004F0CD5"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t xml:space="preserve">1. </w:t>
      </w:r>
      <w:r w:rsidR="00A95C27" w:rsidRPr="00C41814">
        <w:rPr>
          <w:rFonts w:asciiTheme="minorHAnsi" w:hAnsiTheme="minorHAnsi" w:cstheme="minorBidi"/>
          <w:i/>
          <w:szCs w:val="22"/>
        </w:rPr>
        <w:t>Determinative?</w:t>
      </w:r>
    </w:p>
    <w:p w14:paraId="6761201B" w14:textId="152E0B69" w:rsidR="00A95C27" w:rsidRPr="00C41814" w:rsidRDefault="001A1B17" w:rsidP="008E5806">
      <w:pPr>
        <w:spacing w:after="200" w:line="360" w:lineRule="auto"/>
        <w:rPr>
          <w:rFonts w:asciiTheme="minorHAnsi" w:hAnsiTheme="minorHAnsi" w:cstheme="minorBidi"/>
          <w:szCs w:val="22"/>
        </w:rPr>
      </w:pPr>
      <w:r w:rsidRPr="00C41814">
        <w:rPr>
          <w:rFonts w:asciiTheme="minorHAnsi" w:hAnsiTheme="minorHAnsi" w:cstheme="minorBidi"/>
          <w:szCs w:val="22"/>
        </w:rPr>
        <w:t>N</w:t>
      </w:r>
      <w:r w:rsidR="00A95C27" w:rsidRPr="00C41814">
        <w:rPr>
          <w:rFonts w:asciiTheme="minorHAnsi" w:hAnsiTheme="minorHAnsi" w:cstheme="minorBidi"/>
          <w:szCs w:val="22"/>
        </w:rPr>
        <w:t>otable difference</w:t>
      </w:r>
      <w:r w:rsidR="00523466" w:rsidRPr="00C41814">
        <w:rPr>
          <w:rFonts w:asciiTheme="minorHAnsi" w:hAnsiTheme="minorHAnsi" w:cstheme="minorBidi"/>
          <w:szCs w:val="22"/>
        </w:rPr>
        <w:t>s</w:t>
      </w:r>
      <w:r w:rsidR="00A95C27" w:rsidRPr="00C41814">
        <w:rPr>
          <w:rFonts w:asciiTheme="minorHAnsi" w:hAnsiTheme="minorHAnsi" w:cstheme="minorBidi"/>
          <w:szCs w:val="22"/>
        </w:rPr>
        <w:t xml:space="preserve"> of opinion </w:t>
      </w:r>
      <w:r w:rsidR="00051594" w:rsidRPr="00C41814">
        <w:rPr>
          <w:rFonts w:asciiTheme="minorHAnsi" w:hAnsiTheme="minorHAnsi" w:cstheme="minorBidi"/>
          <w:szCs w:val="22"/>
        </w:rPr>
        <w:t xml:space="preserve">existed </w:t>
      </w:r>
      <w:r w:rsidR="00A95C27" w:rsidRPr="00C41814">
        <w:rPr>
          <w:rFonts w:asciiTheme="minorHAnsi" w:hAnsiTheme="minorHAnsi" w:cstheme="minorBidi"/>
          <w:szCs w:val="22"/>
        </w:rPr>
        <w:t>among interview participants who felt that CGs were determinative of the standard of care and others who disagreed.  Some bold assertions were made: “</w:t>
      </w:r>
      <w:r w:rsidR="00A95C27" w:rsidRPr="00C41814">
        <w:rPr>
          <w:rFonts w:asciiTheme="minorHAnsi" w:hAnsiTheme="minorHAnsi" w:cstheme="minorBidi"/>
          <w:i/>
          <w:szCs w:val="22"/>
        </w:rPr>
        <w:t>Deviation from guidelines is relied on as evidence as negligence</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51"/>
      </w:r>
      <w:r w:rsidR="00A95C27" w:rsidRPr="00C41814">
        <w:rPr>
          <w:rFonts w:asciiTheme="minorHAnsi" w:hAnsiTheme="minorHAnsi" w:cstheme="minorBidi"/>
          <w:szCs w:val="22"/>
        </w:rPr>
        <w:t xml:space="preserve"> and “</w:t>
      </w:r>
      <w:r w:rsidR="00A95C27" w:rsidRPr="00C41814">
        <w:rPr>
          <w:rFonts w:asciiTheme="minorHAnsi" w:hAnsiTheme="minorHAnsi" w:cstheme="minorBidi"/>
          <w:i/>
          <w:szCs w:val="22"/>
        </w:rPr>
        <w:t>[c]</w:t>
      </w:r>
      <w:proofErr w:type="spellStart"/>
      <w:r w:rsidR="00A95C27" w:rsidRPr="00C41814">
        <w:rPr>
          <w:rFonts w:asciiTheme="minorHAnsi" w:hAnsiTheme="minorHAnsi" w:cstheme="minorBidi"/>
          <w:i/>
          <w:szCs w:val="22"/>
        </w:rPr>
        <w:t>linical</w:t>
      </w:r>
      <w:proofErr w:type="spellEnd"/>
      <w:r w:rsidR="00A95C27" w:rsidRPr="00C41814">
        <w:rPr>
          <w:rFonts w:asciiTheme="minorHAnsi" w:hAnsiTheme="minorHAnsi" w:cstheme="minorBidi"/>
          <w:i/>
          <w:szCs w:val="22"/>
        </w:rPr>
        <w:t xml:space="preserve"> guidelines are essential in determining whether or not a clinician has met the expected standard.</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52"/>
      </w:r>
      <w:r w:rsidR="00A95C27" w:rsidRPr="00C41814">
        <w:rPr>
          <w:rFonts w:asciiTheme="minorHAnsi" w:hAnsiTheme="minorHAnsi" w:cstheme="minorBidi"/>
          <w:szCs w:val="22"/>
        </w:rPr>
        <w:t xml:space="preserve"> </w:t>
      </w:r>
    </w:p>
    <w:p w14:paraId="14199E9A" w14:textId="77F6F764"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The extent to which CGs were likely to be viewed as determinative was thought to be influenced significantly by </w:t>
      </w:r>
      <w:r w:rsidR="00051594" w:rsidRPr="00C41814">
        <w:rPr>
          <w:rFonts w:asciiTheme="minorHAnsi" w:hAnsiTheme="minorHAnsi" w:cstheme="minorBidi"/>
          <w:szCs w:val="22"/>
        </w:rPr>
        <w:t xml:space="preserve">pedigree and </w:t>
      </w:r>
      <w:r w:rsidRPr="00C41814">
        <w:rPr>
          <w:rFonts w:asciiTheme="minorHAnsi" w:hAnsiTheme="minorHAnsi" w:cstheme="minorBidi"/>
          <w:szCs w:val="22"/>
        </w:rPr>
        <w:t>provenance</w:t>
      </w:r>
      <w:r w:rsidR="00051594" w:rsidRPr="00C41814">
        <w:rPr>
          <w:rFonts w:asciiTheme="minorHAnsi" w:hAnsiTheme="minorHAnsi" w:cstheme="minorBidi"/>
          <w:szCs w:val="22"/>
        </w:rPr>
        <w:t xml:space="preserve">: </w:t>
      </w:r>
      <w:r w:rsidRPr="00C41814">
        <w:rPr>
          <w:rFonts w:asciiTheme="minorHAnsi" w:hAnsiTheme="minorHAnsi" w:cstheme="minorBidi"/>
          <w:szCs w:val="22"/>
        </w:rPr>
        <w:t>“</w:t>
      </w:r>
      <w:r w:rsidRPr="00C41814">
        <w:rPr>
          <w:rFonts w:asciiTheme="minorHAnsi" w:hAnsiTheme="minorHAnsi" w:cstheme="minorBidi"/>
          <w:i/>
          <w:szCs w:val="22"/>
        </w:rPr>
        <w:t>Generally speaking, if guidelines are from bodies such as NICE, the GMC or the Colleges, then judges are going to take notice of them.</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53"/>
      </w:r>
      <w:r w:rsidRPr="00C41814">
        <w:rPr>
          <w:rFonts w:asciiTheme="minorHAnsi" w:hAnsiTheme="minorHAnsi" w:cstheme="minorBidi"/>
          <w:szCs w:val="22"/>
        </w:rPr>
        <w:t xml:space="preserve"> </w:t>
      </w:r>
      <w:r w:rsidRPr="00C41814">
        <w:rPr>
          <w:rFonts w:asciiTheme="minorHAnsi" w:hAnsiTheme="minorHAnsi" w:cstheme="minorBidi"/>
          <w:i/>
          <w:szCs w:val="22"/>
        </w:rPr>
        <w:t>“[The courts] … place a high reliance repeatedly on NICE or [Royal College] guidelines and occasionally on local guidelines … although with the latter it is usually to say that local guidelines may not always align with national guidance.”</w:t>
      </w:r>
      <w:r w:rsidRPr="00C41814">
        <w:rPr>
          <w:rFonts w:asciiTheme="minorHAnsi" w:hAnsiTheme="minorHAnsi" w:cstheme="minorBidi"/>
          <w:i/>
          <w:szCs w:val="22"/>
          <w:vertAlign w:val="superscript"/>
        </w:rPr>
        <w:footnoteReference w:id="54"/>
      </w:r>
      <w:r w:rsidRPr="00C41814">
        <w:rPr>
          <w:rFonts w:asciiTheme="minorHAnsi" w:hAnsiTheme="minorHAnsi" w:cstheme="minorBidi"/>
          <w:i/>
          <w:szCs w:val="22"/>
        </w:rPr>
        <w:t xml:space="preserve"> </w:t>
      </w:r>
      <w:r w:rsidRPr="00C41814">
        <w:rPr>
          <w:rFonts w:asciiTheme="minorHAnsi" w:hAnsiTheme="minorHAnsi" w:cstheme="minorBidi"/>
          <w:szCs w:val="22"/>
        </w:rPr>
        <w:t xml:space="preserve">Whether relevant and high-ranking CGs had been followed, or not, was considered to be </w:t>
      </w:r>
      <w:r w:rsidRPr="00C41814">
        <w:rPr>
          <w:rFonts w:asciiTheme="minorHAnsi" w:hAnsiTheme="minorHAnsi" w:cstheme="minorBidi"/>
          <w:szCs w:val="22"/>
        </w:rPr>
        <w:lastRenderedPageBreak/>
        <w:t>a major factor of influence as to whether a case was likely to settle at an early stage: “</w:t>
      </w:r>
      <w:r w:rsidRPr="00C41814">
        <w:rPr>
          <w:rFonts w:asciiTheme="minorHAnsi" w:hAnsiTheme="minorHAnsi" w:cstheme="minorBidi"/>
          <w:i/>
          <w:szCs w:val="22"/>
        </w:rPr>
        <w:t>Most cases, probably 95%, don’t go to trial but when they do there is often a NICE guideline lurking somewhere in the background.</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55"/>
      </w:r>
      <w:r w:rsidRPr="00C41814">
        <w:rPr>
          <w:rFonts w:asciiTheme="minorHAnsi" w:hAnsiTheme="minorHAnsi" w:cstheme="minorBidi"/>
          <w:szCs w:val="22"/>
        </w:rPr>
        <w:t xml:space="preserve"> More generally, “</w:t>
      </w:r>
      <w:r w:rsidRPr="00C41814">
        <w:rPr>
          <w:rFonts w:asciiTheme="minorHAnsi" w:hAnsiTheme="minorHAnsi" w:cstheme="minorBidi"/>
          <w:i/>
          <w:szCs w:val="22"/>
        </w:rPr>
        <w:t>In practice, guidelines are often taken as determinative and if there has been a clear failure to follow a guideline, that case will usually settle.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56"/>
      </w:r>
      <w:r w:rsidRPr="00C41814">
        <w:rPr>
          <w:rFonts w:asciiTheme="minorHAnsi" w:hAnsiTheme="minorHAnsi" w:cstheme="minorBidi"/>
          <w:szCs w:val="22"/>
        </w:rPr>
        <w:t xml:space="preserve"> </w:t>
      </w:r>
    </w:p>
    <w:p w14:paraId="35E637E9" w14:textId="12333F7F"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Participant</w:t>
      </w:r>
      <w:r w:rsidR="00F84794" w:rsidRPr="00C41814">
        <w:rPr>
          <w:rFonts w:asciiTheme="minorHAnsi" w:hAnsiTheme="minorHAnsi" w:cstheme="minorBidi"/>
          <w:szCs w:val="22"/>
        </w:rPr>
        <w:t xml:space="preserve">s </w:t>
      </w:r>
      <w:r w:rsidRPr="00C41814">
        <w:rPr>
          <w:rFonts w:asciiTheme="minorHAnsi" w:hAnsiTheme="minorHAnsi" w:cstheme="minorBidi"/>
          <w:szCs w:val="22"/>
        </w:rPr>
        <w:t>who considered that guidelines should not be determinative of the standard of care based this on their opinion that guidelines represented only one reasonable body of opinion</w:t>
      </w:r>
      <w:r w:rsidRPr="00C41814">
        <w:rPr>
          <w:rFonts w:asciiTheme="minorHAnsi" w:hAnsiTheme="minorHAnsi" w:cstheme="minorBidi"/>
          <w:i/>
          <w:szCs w:val="22"/>
        </w:rPr>
        <w:t>.</w:t>
      </w:r>
      <w:r w:rsidRPr="00C41814">
        <w:rPr>
          <w:rFonts w:asciiTheme="minorHAnsi" w:hAnsiTheme="minorHAnsi" w:cstheme="minorBidi"/>
          <w:szCs w:val="22"/>
        </w:rPr>
        <w:t xml:space="preserve"> From this perspective there might well be several other reasonable opinions that would need to be considered especially if there was evidence that those alternatives were also being followed by </w:t>
      </w:r>
      <w:r w:rsidR="007760D1" w:rsidRPr="00C41814">
        <w:rPr>
          <w:rFonts w:asciiTheme="minorHAnsi" w:hAnsiTheme="minorHAnsi" w:cstheme="minorBidi"/>
          <w:szCs w:val="22"/>
        </w:rPr>
        <w:t xml:space="preserve">responsible and </w:t>
      </w:r>
      <w:r w:rsidRPr="00C41814">
        <w:rPr>
          <w:rFonts w:asciiTheme="minorHAnsi" w:hAnsiTheme="minorHAnsi" w:cstheme="minorBidi"/>
          <w:szCs w:val="22"/>
        </w:rPr>
        <w:t>competent doctors: “</w:t>
      </w:r>
      <w:r w:rsidRPr="00C41814">
        <w:rPr>
          <w:rFonts w:asciiTheme="minorHAnsi" w:hAnsiTheme="minorHAnsi" w:cstheme="minorBidi"/>
          <w:i/>
          <w:szCs w:val="22"/>
        </w:rPr>
        <w:t>I have seen (NICE) guidelines being used as a proxy for the standard of care when it is not always appropriate.”</w:t>
      </w:r>
      <w:r w:rsidRPr="00C41814">
        <w:rPr>
          <w:rFonts w:asciiTheme="minorHAnsi" w:hAnsiTheme="minorHAnsi" w:cstheme="minorBidi"/>
          <w:i/>
          <w:szCs w:val="22"/>
          <w:vertAlign w:val="superscript"/>
        </w:rPr>
        <w:footnoteReference w:id="57"/>
      </w:r>
      <w:r w:rsidRPr="00C41814">
        <w:rPr>
          <w:rFonts w:asciiTheme="minorHAnsi" w:hAnsiTheme="minorHAnsi" w:cstheme="minorBidi"/>
          <w:szCs w:val="22"/>
        </w:rPr>
        <w:t xml:space="preserve"> In order to counter such arguments effectively expert witnesses had to be: “</w:t>
      </w:r>
      <w:r w:rsidRPr="00C41814">
        <w:rPr>
          <w:rFonts w:asciiTheme="minorHAnsi" w:hAnsiTheme="minorHAnsi" w:cstheme="minorBidi"/>
          <w:i/>
          <w:szCs w:val="22"/>
        </w:rPr>
        <w:t>fully on top of the literature and be ready to deploy it.</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58"/>
      </w:r>
      <w:r w:rsidRPr="00C41814">
        <w:rPr>
          <w:rFonts w:asciiTheme="minorHAnsi" w:hAnsiTheme="minorHAnsi" w:cstheme="minorBidi"/>
          <w:szCs w:val="22"/>
        </w:rPr>
        <w:t xml:space="preserve"> </w:t>
      </w:r>
    </w:p>
    <w:p w14:paraId="60FB9F87" w14:textId="556732E7" w:rsidR="00A95C27" w:rsidRPr="00C41814" w:rsidRDefault="00A95C27" w:rsidP="008E5806">
      <w:pPr>
        <w:spacing w:after="200" w:line="360" w:lineRule="auto"/>
        <w:rPr>
          <w:rFonts w:asciiTheme="minorHAnsi" w:hAnsiTheme="minorHAnsi" w:cstheme="minorHAnsi"/>
          <w:szCs w:val="22"/>
        </w:rPr>
      </w:pPr>
      <w:r w:rsidRPr="00C41814">
        <w:rPr>
          <w:rFonts w:asciiTheme="minorHAnsi" w:hAnsiTheme="minorHAnsi" w:cstheme="minorBidi"/>
          <w:szCs w:val="22"/>
        </w:rPr>
        <w:t xml:space="preserve">The courts have not, to date, gone so far as to say that CGs are expressly determinative of the legal standard for breach of duty of care. </w:t>
      </w:r>
      <w:bookmarkStart w:id="0" w:name="_Hlk22135605"/>
      <w:r w:rsidRPr="00C41814">
        <w:rPr>
          <w:rFonts w:asciiTheme="minorHAnsi" w:hAnsiTheme="minorHAnsi" w:cstheme="minorBidi"/>
          <w:szCs w:val="22"/>
        </w:rPr>
        <w:t>Guidelines may be used as “sword</w:t>
      </w:r>
      <w:r w:rsidR="00C334FE" w:rsidRPr="00C41814">
        <w:rPr>
          <w:rFonts w:asciiTheme="minorHAnsi" w:hAnsiTheme="minorHAnsi" w:cstheme="minorBidi"/>
          <w:szCs w:val="22"/>
        </w:rPr>
        <w:t>s</w:t>
      </w:r>
      <w:r w:rsidRPr="00C41814">
        <w:rPr>
          <w:rFonts w:asciiTheme="minorHAnsi" w:hAnsiTheme="minorHAnsi" w:cstheme="minorBidi"/>
          <w:szCs w:val="22"/>
        </w:rPr>
        <w:t>” by claimant</w:t>
      </w:r>
      <w:r w:rsidR="00C334FE" w:rsidRPr="00C41814">
        <w:rPr>
          <w:rFonts w:asciiTheme="minorHAnsi" w:hAnsiTheme="minorHAnsi" w:cstheme="minorBidi"/>
          <w:szCs w:val="22"/>
        </w:rPr>
        <w:t>s</w:t>
      </w:r>
      <w:r w:rsidRPr="00C41814">
        <w:rPr>
          <w:rFonts w:asciiTheme="minorHAnsi" w:hAnsiTheme="minorHAnsi" w:cstheme="minorBidi"/>
          <w:szCs w:val="22"/>
        </w:rPr>
        <w:t xml:space="preserve"> or as “shield</w:t>
      </w:r>
      <w:r w:rsidR="00C334FE" w:rsidRPr="00C41814">
        <w:rPr>
          <w:rFonts w:asciiTheme="minorHAnsi" w:hAnsiTheme="minorHAnsi" w:cstheme="minorBidi"/>
          <w:szCs w:val="22"/>
        </w:rPr>
        <w:t>s</w:t>
      </w:r>
      <w:r w:rsidRPr="00C41814">
        <w:rPr>
          <w:rFonts w:asciiTheme="minorHAnsi" w:hAnsiTheme="minorHAnsi" w:cstheme="minorBidi"/>
          <w:szCs w:val="22"/>
        </w:rPr>
        <w:t>” by defendant</w:t>
      </w:r>
      <w:r w:rsidR="00C334FE" w:rsidRPr="00C41814">
        <w:rPr>
          <w:rFonts w:asciiTheme="minorHAnsi" w:hAnsiTheme="minorHAnsi" w:cstheme="minorBidi"/>
          <w:szCs w:val="22"/>
        </w:rPr>
        <w:t>s</w:t>
      </w:r>
      <w:r w:rsidRPr="00C41814">
        <w:rPr>
          <w:rFonts w:asciiTheme="minorHAnsi" w:hAnsiTheme="minorHAnsi" w:cstheme="minorBidi"/>
          <w:szCs w:val="22"/>
        </w:rPr>
        <w:t xml:space="preserve">. In </w:t>
      </w:r>
      <w:proofErr w:type="spellStart"/>
      <w:r w:rsidRPr="00C41814">
        <w:rPr>
          <w:rFonts w:asciiTheme="minorHAnsi" w:hAnsiTheme="minorHAnsi" w:cstheme="minorHAnsi"/>
          <w:i/>
          <w:szCs w:val="22"/>
        </w:rPr>
        <w:t>Arkless</w:t>
      </w:r>
      <w:proofErr w:type="spellEnd"/>
      <w:r w:rsidRPr="00C41814">
        <w:rPr>
          <w:rFonts w:asciiTheme="minorHAnsi" w:hAnsiTheme="minorHAnsi" w:cstheme="minorHAnsi"/>
          <w:i/>
          <w:szCs w:val="22"/>
        </w:rPr>
        <w:t>,</w:t>
      </w:r>
      <w:r w:rsidRPr="00C41814">
        <w:rPr>
          <w:rFonts w:asciiTheme="minorHAnsi" w:hAnsiTheme="minorHAnsi" w:cstheme="minorHAnsi"/>
          <w:szCs w:val="22"/>
          <w:vertAlign w:val="superscript"/>
        </w:rPr>
        <w:footnoteReference w:id="59"/>
      </w:r>
      <w:r w:rsidRPr="00C41814">
        <w:rPr>
          <w:rFonts w:asciiTheme="minorHAnsi" w:hAnsiTheme="minorHAnsi" w:cstheme="minorHAnsi"/>
          <w:szCs w:val="22"/>
          <w:shd w:val="clear" w:color="auto" w:fill="FFFFFF"/>
        </w:rPr>
        <w:t> </w:t>
      </w:r>
      <w:bookmarkEnd w:id="0"/>
      <w:r w:rsidRPr="00C41814">
        <w:rPr>
          <w:rFonts w:asciiTheme="minorHAnsi" w:hAnsiTheme="minorHAnsi" w:cstheme="minorHAnsi"/>
          <w:szCs w:val="22"/>
          <w:shd w:val="clear" w:color="auto" w:fill="FFFFFF"/>
        </w:rPr>
        <w:t>for example, t</w:t>
      </w:r>
      <w:r w:rsidRPr="00C41814">
        <w:rPr>
          <w:rFonts w:asciiTheme="minorHAnsi" w:hAnsiTheme="minorHAnsi" w:cstheme="minorHAnsi"/>
          <w:szCs w:val="22"/>
        </w:rPr>
        <w:t xml:space="preserve">he claimant had been </w:t>
      </w:r>
      <w:r w:rsidR="00C334FE" w:rsidRPr="00C41814">
        <w:rPr>
          <w:rFonts w:asciiTheme="minorHAnsi" w:hAnsiTheme="minorHAnsi" w:cstheme="minorHAnsi"/>
          <w:szCs w:val="22"/>
        </w:rPr>
        <w:t xml:space="preserve">examined by Dr Atkins </w:t>
      </w:r>
      <w:r w:rsidR="009E6A0F" w:rsidRPr="00C41814">
        <w:rPr>
          <w:rFonts w:asciiTheme="minorHAnsi" w:hAnsiTheme="minorHAnsi" w:cstheme="minorHAnsi"/>
          <w:szCs w:val="22"/>
        </w:rPr>
        <w:t xml:space="preserve">following her injury caused by </w:t>
      </w:r>
      <w:r w:rsidRPr="00C41814">
        <w:rPr>
          <w:rFonts w:asciiTheme="minorHAnsi" w:hAnsiTheme="minorHAnsi" w:cstheme="minorHAnsi"/>
          <w:szCs w:val="22"/>
        </w:rPr>
        <w:t>hyper-extension of her wrist.</w:t>
      </w:r>
      <w:r w:rsidRPr="00C41814">
        <w:rPr>
          <w:rFonts w:asciiTheme="minorHAnsi" w:hAnsiTheme="minorHAnsi" w:cstheme="minorHAnsi"/>
          <w:szCs w:val="22"/>
          <w:vertAlign w:val="superscript"/>
        </w:rPr>
        <w:footnoteReference w:id="60"/>
      </w:r>
      <w:r w:rsidRPr="00C41814">
        <w:rPr>
          <w:rFonts w:asciiTheme="minorHAnsi" w:hAnsiTheme="minorHAnsi" w:cstheme="minorHAnsi"/>
          <w:szCs w:val="22"/>
        </w:rPr>
        <w:t xml:space="preserve"> </w:t>
      </w:r>
      <w:r w:rsidR="009E6A0F" w:rsidRPr="00C41814">
        <w:rPr>
          <w:rFonts w:asciiTheme="minorHAnsi" w:hAnsiTheme="minorHAnsi" w:cstheme="minorHAnsi"/>
          <w:szCs w:val="22"/>
        </w:rPr>
        <w:t xml:space="preserve">Dr Atkins </w:t>
      </w:r>
      <w:r w:rsidRPr="00C41814">
        <w:rPr>
          <w:rFonts w:asciiTheme="minorHAnsi" w:hAnsiTheme="minorHAnsi" w:cstheme="minorHAnsi"/>
          <w:szCs w:val="22"/>
        </w:rPr>
        <w:t xml:space="preserve">was unable to state definitively </w:t>
      </w:r>
      <w:r w:rsidR="009E6A0F" w:rsidRPr="00C41814">
        <w:rPr>
          <w:rFonts w:asciiTheme="minorHAnsi" w:hAnsiTheme="minorHAnsi" w:cstheme="minorHAnsi"/>
          <w:szCs w:val="22"/>
        </w:rPr>
        <w:t xml:space="preserve">how he had </w:t>
      </w:r>
      <w:r w:rsidRPr="00C41814">
        <w:rPr>
          <w:rFonts w:asciiTheme="minorHAnsi" w:hAnsiTheme="minorHAnsi" w:cstheme="minorHAnsi"/>
          <w:szCs w:val="22"/>
        </w:rPr>
        <w:t xml:space="preserve">examined the claimant. He described how he habitually examined a wrist for injury to the scaphoid bone, and </w:t>
      </w:r>
      <w:r w:rsidR="00C9149C" w:rsidRPr="00C41814">
        <w:rPr>
          <w:rFonts w:asciiTheme="minorHAnsi" w:hAnsiTheme="minorHAnsi" w:cstheme="minorHAnsi"/>
          <w:szCs w:val="22"/>
        </w:rPr>
        <w:t>t</w:t>
      </w:r>
      <w:r w:rsidRPr="00C41814">
        <w:rPr>
          <w:rFonts w:asciiTheme="minorHAnsi" w:hAnsiTheme="minorHAnsi" w:cstheme="minorHAnsi"/>
          <w:szCs w:val="22"/>
        </w:rPr>
        <w:t>he procedure he usually adopted.</w:t>
      </w:r>
      <w:r w:rsidRPr="00C41814">
        <w:rPr>
          <w:rFonts w:asciiTheme="minorHAnsi" w:eastAsia="Times New Roman" w:hAnsiTheme="minorHAnsi" w:cs="Times New Roman"/>
          <w:szCs w:val="22"/>
          <w:vertAlign w:val="superscript"/>
          <w:lang w:eastAsia="en-GB"/>
        </w:rPr>
        <w:footnoteReference w:id="61"/>
      </w:r>
      <w:r w:rsidRPr="00C41814">
        <w:rPr>
          <w:rFonts w:asciiTheme="minorHAnsi" w:hAnsiTheme="minorHAnsi" w:cstheme="minorHAnsi"/>
          <w:szCs w:val="22"/>
        </w:rPr>
        <w:t xml:space="preserve"> The court suggested that assistance as to what constituted reasonable medical practice could be obtained from “Guidelines for the Management of Scaphoid fractures in the Emergency Department” published by the College of Emergency Medicine in 2013. Although the guidance post-dated the index injury it was accepted as authoritative by both experts in relation to clinical practice at th</w:t>
      </w:r>
      <w:r w:rsidR="00694A40" w:rsidRPr="00C41814">
        <w:rPr>
          <w:rFonts w:asciiTheme="minorHAnsi" w:hAnsiTheme="minorHAnsi" w:cstheme="minorHAnsi"/>
          <w:szCs w:val="22"/>
        </w:rPr>
        <w:t>e time of the index event</w:t>
      </w:r>
      <w:r w:rsidRPr="00C41814">
        <w:rPr>
          <w:rFonts w:asciiTheme="minorHAnsi" w:hAnsiTheme="minorHAnsi" w:cstheme="minorHAnsi"/>
          <w:szCs w:val="22"/>
        </w:rPr>
        <w:t xml:space="preserve">.  The judge </w:t>
      </w:r>
      <w:r w:rsidR="009E6A0F" w:rsidRPr="00C41814">
        <w:rPr>
          <w:rFonts w:asciiTheme="minorHAnsi" w:hAnsiTheme="minorHAnsi" w:cstheme="minorHAnsi"/>
          <w:szCs w:val="22"/>
        </w:rPr>
        <w:t>found that based on the CGs, medical literature and expert testimony, three specific tests ought to have been undertaken.</w:t>
      </w:r>
      <w:r w:rsidRPr="00C41814">
        <w:rPr>
          <w:rFonts w:asciiTheme="minorHAnsi" w:hAnsiTheme="minorHAnsi" w:cstheme="minorBidi"/>
          <w:szCs w:val="22"/>
          <w:vertAlign w:val="superscript"/>
        </w:rPr>
        <w:footnoteReference w:id="62"/>
      </w:r>
      <w:r w:rsidR="009E6A0F" w:rsidRPr="00C41814">
        <w:rPr>
          <w:rFonts w:asciiTheme="minorHAnsi" w:hAnsiTheme="minorHAnsi" w:cstheme="minorHAnsi"/>
          <w:szCs w:val="22"/>
        </w:rPr>
        <w:t xml:space="preserve"> </w:t>
      </w:r>
      <w:r w:rsidRPr="00C41814">
        <w:rPr>
          <w:rFonts w:asciiTheme="minorHAnsi" w:hAnsiTheme="minorHAnsi" w:cstheme="minorHAnsi"/>
          <w:szCs w:val="22"/>
        </w:rPr>
        <w:t xml:space="preserve">In failing to administer the </w:t>
      </w:r>
      <w:r w:rsidR="009E6A0F" w:rsidRPr="00C41814">
        <w:rPr>
          <w:rFonts w:asciiTheme="minorHAnsi" w:hAnsiTheme="minorHAnsi" w:cstheme="minorHAnsi"/>
          <w:szCs w:val="22"/>
        </w:rPr>
        <w:t xml:space="preserve">tests </w:t>
      </w:r>
      <w:r w:rsidRPr="00C41814">
        <w:rPr>
          <w:rFonts w:asciiTheme="minorHAnsi" w:hAnsiTheme="minorHAnsi" w:cstheme="minorHAnsi"/>
          <w:szCs w:val="22"/>
        </w:rPr>
        <w:t xml:space="preserve">required by the guidelines the defendant had </w:t>
      </w:r>
      <w:r w:rsidR="00D103AF" w:rsidRPr="00C41814">
        <w:rPr>
          <w:rFonts w:asciiTheme="minorHAnsi" w:hAnsiTheme="minorHAnsi" w:cstheme="minorHAnsi"/>
          <w:szCs w:val="22"/>
        </w:rPr>
        <w:t xml:space="preserve">not met </w:t>
      </w:r>
      <w:r w:rsidR="009E6A0F" w:rsidRPr="00C41814">
        <w:rPr>
          <w:rFonts w:asciiTheme="minorHAnsi" w:hAnsiTheme="minorHAnsi" w:cstheme="minorHAnsi"/>
          <w:szCs w:val="22"/>
        </w:rPr>
        <w:t xml:space="preserve">the standard of care </w:t>
      </w:r>
      <w:r w:rsidR="00D103AF" w:rsidRPr="00C41814">
        <w:rPr>
          <w:rFonts w:asciiTheme="minorHAnsi" w:hAnsiTheme="minorHAnsi" w:cstheme="minorHAnsi"/>
          <w:szCs w:val="22"/>
        </w:rPr>
        <w:t>required</w:t>
      </w:r>
      <w:r w:rsidR="009E6A0F" w:rsidRPr="00C41814">
        <w:rPr>
          <w:rFonts w:asciiTheme="minorHAnsi" w:hAnsiTheme="minorHAnsi" w:cstheme="minorHAnsi"/>
          <w:szCs w:val="22"/>
        </w:rPr>
        <w:t>.</w:t>
      </w:r>
      <w:r w:rsidRPr="00C41814">
        <w:rPr>
          <w:rFonts w:asciiTheme="minorHAnsi" w:hAnsiTheme="minorHAnsi" w:cstheme="minorHAnsi"/>
          <w:szCs w:val="22"/>
        </w:rPr>
        <w:t xml:space="preserve"> </w:t>
      </w:r>
    </w:p>
    <w:p w14:paraId="3023E8E4" w14:textId="7C1A1414" w:rsidR="00A95C27" w:rsidRPr="00C41814" w:rsidRDefault="00A95C27" w:rsidP="008E5806">
      <w:pPr>
        <w:spacing w:after="200" w:line="360" w:lineRule="auto"/>
        <w:rPr>
          <w:rFonts w:asciiTheme="minorHAnsi" w:hAnsiTheme="minorHAnsi" w:cstheme="minorHAnsi"/>
          <w:szCs w:val="22"/>
        </w:rPr>
      </w:pPr>
      <w:r w:rsidRPr="00C41814">
        <w:rPr>
          <w:rFonts w:asciiTheme="minorHAnsi" w:hAnsiTheme="minorHAnsi" w:cstheme="minorHAnsi"/>
          <w:szCs w:val="22"/>
        </w:rPr>
        <w:t xml:space="preserve">Evidence of CGs being used as determinative </w:t>
      </w:r>
      <w:r w:rsidR="003A5DE9" w:rsidRPr="00C41814">
        <w:rPr>
          <w:rFonts w:asciiTheme="minorHAnsi" w:hAnsiTheme="minorHAnsi" w:cstheme="minorHAnsi"/>
          <w:szCs w:val="22"/>
        </w:rPr>
        <w:t xml:space="preserve">of the standard of care </w:t>
      </w:r>
      <w:r w:rsidRPr="00C41814">
        <w:rPr>
          <w:rFonts w:asciiTheme="minorHAnsi" w:hAnsiTheme="minorHAnsi" w:cstheme="minorHAnsi"/>
          <w:szCs w:val="22"/>
        </w:rPr>
        <w:t xml:space="preserve">can be seen across first instance and appellate decisions. In </w:t>
      </w:r>
      <w:r w:rsidRPr="00C41814">
        <w:rPr>
          <w:rFonts w:asciiTheme="minorHAnsi" w:hAnsiTheme="minorHAnsi" w:cstheme="minorHAnsi"/>
          <w:i/>
          <w:iCs/>
          <w:szCs w:val="22"/>
        </w:rPr>
        <w:t>Adshead</w:t>
      </w:r>
      <w:r w:rsidR="003A5DE9" w:rsidRPr="00C41814">
        <w:rPr>
          <w:rFonts w:asciiTheme="minorHAnsi" w:hAnsiTheme="minorHAnsi" w:cstheme="minorHAnsi"/>
          <w:i/>
          <w:iCs/>
          <w:szCs w:val="22"/>
        </w:rPr>
        <w:t>,</w:t>
      </w:r>
      <w:r w:rsidRPr="00C41814">
        <w:rPr>
          <w:rFonts w:asciiTheme="minorHAnsi" w:hAnsiTheme="minorHAnsi" w:cstheme="minorHAnsi"/>
          <w:szCs w:val="22"/>
          <w:vertAlign w:val="superscript"/>
        </w:rPr>
        <w:footnoteReference w:id="63"/>
      </w:r>
      <w:r w:rsidRPr="00C41814">
        <w:rPr>
          <w:rFonts w:asciiTheme="minorHAnsi" w:hAnsiTheme="minorHAnsi" w:cstheme="minorHAnsi"/>
          <w:szCs w:val="22"/>
        </w:rPr>
        <w:t xml:space="preserve"> a GP was </w:t>
      </w:r>
      <w:r w:rsidR="003A5DE9" w:rsidRPr="00C41814">
        <w:rPr>
          <w:rFonts w:asciiTheme="minorHAnsi" w:hAnsiTheme="minorHAnsi" w:cstheme="minorHAnsi"/>
          <w:szCs w:val="22"/>
        </w:rPr>
        <w:t xml:space="preserve">found </w:t>
      </w:r>
      <w:r w:rsidRPr="00C41814">
        <w:rPr>
          <w:rFonts w:asciiTheme="minorHAnsi" w:hAnsiTheme="minorHAnsi" w:cstheme="minorHAnsi"/>
          <w:szCs w:val="22"/>
        </w:rPr>
        <w:t xml:space="preserve">to be negligent after failing to follow unambiguous recommendations in Department of Health guidance to refer urgently where potentially </w:t>
      </w:r>
      <w:r w:rsidRPr="00C41814">
        <w:rPr>
          <w:rFonts w:asciiTheme="minorHAnsi" w:hAnsiTheme="minorHAnsi" w:cstheme="minorHAnsi"/>
          <w:szCs w:val="22"/>
        </w:rPr>
        <w:lastRenderedPageBreak/>
        <w:t xml:space="preserve">life-threatening symptoms were present. </w:t>
      </w:r>
      <w:r w:rsidR="00FC3BF7" w:rsidRPr="00C41814">
        <w:rPr>
          <w:rFonts w:asciiTheme="minorHAnsi" w:hAnsiTheme="minorHAnsi" w:cstheme="minorHAnsi"/>
          <w:szCs w:val="22"/>
        </w:rPr>
        <w:t xml:space="preserve"> The </w:t>
      </w:r>
      <w:r w:rsidRPr="00C41814">
        <w:rPr>
          <w:rFonts w:asciiTheme="minorHAnsi" w:hAnsiTheme="minorHAnsi" w:cstheme="minorHAnsi"/>
          <w:szCs w:val="22"/>
        </w:rPr>
        <w:t xml:space="preserve">widower </w:t>
      </w:r>
      <w:r w:rsidR="00FC3BF7" w:rsidRPr="00C41814">
        <w:rPr>
          <w:rFonts w:asciiTheme="minorHAnsi" w:hAnsiTheme="minorHAnsi" w:cstheme="minorHAnsi"/>
          <w:szCs w:val="22"/>
        </w:rPr>
        <w:t xml:space="preserve">sued the </w:t>
      </w:r>
      <w:r w:rsidRPr="00C41814">
        <w:rPr>
          <w:rFonts w:asciiTheme="minorHAnsi" w:hAnsiTheme="minorHAnsi" w:cstheme="minorHAnsi"/>
          <w:szCs w:val="22"/>
        </w:rPr>
        <w:t xml:space="preserve">GP for failing to refer his wife to a breast cancer specialist when she presented with a palpable lump and tenderness.  In rejecting the suggestion that a body of medical opinion existed that would have supported the defendant’s action, Gray J </w:t>
      </w:r>
      <w:r w:rsidR="00EB644D" w:rsidRPr="00C41814">
        <w:rPr>
          <w:rFonts w:asciiTheme="minorHAnsi" w:hAnsiTheme="minorHAnsi" w:cstheme="minorHAnsi"/>
          <w:szCs w:val="22"/>
        </w:rPr>
        <w:t xml:space="preserve">referred </w:t>
      </w:r>
      <w:r w:rsidRPr="00C41814">
        <w:rPr>
          <w:rFonts w:asciiTheme="minorHAnsi" w:hAnsiTheme="minorHAnsi" w:cstheme="minorHAnsi"/>
          <w:szCs w:val="22"/>
        </w:rPr>
        <w:t xml:space="preserve">to the </w:t>
      </w:r>
      <w:r w:rsidR="00FC3BF7" w:rsidRPr="00C41814">
        <w:rPr>
          <w:rFonts w:asciiTheme="minorHAnsi" w:hAnsiTheme="minorHAnsi" w:cstheme="minorHAnsi"/>
          <w:szCs w:val="22"/>
        </w:rPr>
        <w:t>“T</w:t>
      </w:r>
      <w:r w:rsidRPr="00C41814">
        <w:rPr>
          <w:rFonts w:asciiTheme="minorHAnsi" w:hAnsiTheme="minorHAnsi" w:cstheme="minorHAnsi"/>
          <w:szCs w:val="22"/>
        </w:rPr>
        <w:t>wo-</w:t>
      </w:r>
      <w:r w:rsidR="00FC3BF7" w:rsidRPr="00C41814">
        <w:rPr>
          <w:rFonts w:asciiTheme="minorHAnsi" w:hAnsiTheme="minorHAnsi" w:cstheme="minorHAnsi"/>
          <w:szCs w:val="22"/>
        </w:rPr>
        <w:t>W</w:t>
      </w:r>
      <w:r w:rsidRPr="00C41814">
        <w:rPr>
          <w:rFonts w:asciiTheme="minorHAnsi" w:hAnsiTheme="minorHAnsi" w:cstheme="minorHAnsi"/>
          <w:szCs w:val="22"/>
        </w:rPr>
        <w:t xml:space="preserve">eek </w:t>
      </w:r>
      <w:r w:rsidR="00FC3BF7" w:rsidRPr="00C41814">
        <w:rPr>
          <w:rFonts w:asciiTheme="minorHAnsi" w:hAnsiTheme="minorHAnsi" w:cstheme="minorHAnsi"/>
          <w:szCs w:val="22"/>
        </w:rPr>
        <w:t xml:space="preserve">Wait” </w:t>
      </w:r>
      <w:r w:rsidRPr="00C41814">
        <w:rPr>
          <w:rFonts w:asciiTheme="minorHAnsi" w:hAnsiTheme="minorHAnsi" w:cstheme="minorHAnsi"/>
          <w:szCs w:val="22"/>
        </w:rPr>
        <w:t>referral to hospital for suspected malignancy (</w:t>
      </w:r>
      <w:r w:rsidR="00CB7F80" w:rsidRPr="00C41814">
        <w:rPr>
          <w:rFonts w:asciiTheme="minorHAnsi" w:hAnsiTheme="minorHAnsi" w:cstheme="minorHAnsi"/>
          <w:szCs w:val="22"/>
        </w:rPr>
        <w:t>in accordance with D</w:t>
      </w:r>
      <w:r w:rsidRPr="00C41814">
        <w:rPr>
          <w:rFonts w:asciiTheme="minorHAnsi" w:hAnsiTheme="minorHAnsi" w:cstheme="minorHAnsi"/>
          <w:szCs w:val="22"/>
        </w:rPr>
        <w:t xml:space="preserve">epartment of Health </w:t>
      </w:r>
      <w:r w:rsidR="00CB7F80" w:rsidRPr="00C41814">
        <w:rPr>
          <w:rFonts w:asciiTheme="minorHAnsi" w:hAnsiTheme="minorHAnsi" w:cstheme="minorHAnsi"/>
          <w:szCs w:val="22"/>
        </w:rPr>
        <w:t xml:space="preserve">guidance in </w:t>
      </w:r>
      <w:r w:rsidRPr="00C41814">
        <w:rPr>
          <w:rFonts w:asciiTheme="minorHAnsi" w:hAnsiTheme="minorHAnsi" w:cstheme="minorHAnsi"/>
          <w:szCs w:val="22"/>
        </w:rPr>
        <w:t>force at the material time) and stated:</w:t>
      </w:r>
    </w:p>
    <w:p w14:paraId="6CAA4D6A" w14:textId="5CE50F38" w:rsidR="00A95C27" w:rsidRPr="00C41814" w:rsidRDefault="00A95C27" w:rsidP="008E5806">
      <w:pPr>
        <w:spacing w:after="200" w:line="360" w:lineRule="auto"/>
        <w:ind w:left="720" w:right="521"/>
        <w:rPr>
          <w:rFonts w:asciiTheme="minorHAnsi" w:hAnsiTheme="minorHAnsi" w:cstheme="minorHAnsi"/>
          <w:szCs w:val="22"/>
        </w:rPr>
      </w:pPr>
      <w:r w:rsidRPr="00C41814">
        <w:rPr>
          <w:rFonts w:asciiTheme="minorHAnsi" w:hAnsiTheme="minorHAnsi" w:cstheme="minorHAnsi"/>
          <w:szCs w:val="22"/>
        </w:rPr>
        <w:t xml:space="preserve">This is not a case where there is room for application of the </w:t>
      </w:r>
      <w:r w:rsidRPr="00C41814">
        <w:rPr>
          <w:rFonts w:asciiTheme="minorHAnsi" w:hAnsiTheme="minorHAnsi" w:cstheme="minorHAnsi"/>
          <w:i/>
          <w:szCs w:val="22"/>
        </w:rPr>
        <w:t>Bolam</w:t>
      </w:r>
      <w:r w:rsidRPr="00C41814">
        <w:rPr>
          <w:rFonts w:asciiTheme="minorHAnsi" w:hAnsiTheme="minorHAnsi" w:cstheme="minorHAnsi"/>
          <w:szCs w:val="22"/>
        </w:rPr>
        <w:t xml:space="preserve"> principle…….In the case of a patient who presents with a potentially life-threatening symptom, I do not accept that a responsible general practitioner would delay referring her, even for a short period, in circumstances where the recommendation made unambiguously in the guidelines is to refer immediately</w:t>
      </w:r>
      <w:r w:rsidR="00CB7F80" w:rsidRPr="00C41814">
        <w:rPr>
          <w:rFonts w:asciiTheme="minorHAnsi" w:hAnsiTheme="minorHAnsi" w:cstheme="minorHAnsi"/>
          <w:szCs w:val="22"/>
        </w:rPr>
        <w:t>.</w:t>
      </w:r>
      <w:r w:rsidRPr="00C41814">
        <w:rPr>
          <w:rFonts w:asciiTheme="minorHAnsi" w:hAnsiTheme="minorHAnsi" w:cstheme="minorHAnsi"/>
          <w:szCs w:val="22"/>
          <w:vertAlign w:val="superscript"/>
        </w:rPr>
        <w:footnoteReference w:id="64"/>
      </w:r>
    </w:p>
    <w:p w14:paraId="2A309E6E" w14:textId="66B00999" w:rsidR="00B7507C" w:rsidRPr="00C41814" w:rsidRDefault="00A95C27" w:rsidP="008E5806">
      <w:pPr>
        <w:spacing w:after="200" w:line="360" w:lineRule="auto"/>
        <w:rPr>
          <w:rFonts w:asciiTheme="minorHAnsi" w:eastAsiaTheme="minorEastAsia" w:hAnsiTheme="minorHAnsi" w:cs="Arial"/>
          <w:szCs w:val="22"/>
          <w:lang w:eastAsia="en-GB"/>
        </w:rPr>
      </w:pPr>
      <w:r w:rsidRPr="00C41814">
        <w:rPr>
          <w:rFonts w:asciiTheme="minorHAnsi" w:hAnsiTheme="minorHAnsi" w:cstheme="minorHAnsi"/>
          <w:szCs w:val="22"/>
        </w:rPr>
        <w:t xml:space="preserve">By comparison, compliance with Royal College guidance was used to exonerate the defendants in </w:t>
      </w:r>
      <w:r w:rsidRPr="00C41814">
        <w:rPr>
          <w:rFonts w:asciiTheme="minorHAnsi" w:eastAsiaTheme="minorEastAsia" w:hAnsiTheme="minorHAnsi" w:cs="Arial"/>
          <w:i/>
          <w:szCs w:val="22"/>
          <w:lang w:eastAsia="en-GB"/>
        </w:rPr>
        <w:t>Wells</w:t>
      </w:r>
      <w:r w:rsidRPr="00C41814">
        <w:rPr>
          <w:rFonts w:asciiTheme="minorHAnsi" w:eastAsiaTheme="minorEastAsia" w:hAnsiTheme="minorHAnsi" w:cs="Arial"/>
          <w:i/>
          <w:szCs w:val="22"/>
          <w:vertAlign w:val="superscript"/>
          <w:lang w:eastAsia="en-GB"/>
        </w:rPr>
        <w:footnoteReference w:id="65"/>
      </w:r>
      <w:r w:rsidRPr="00C41814">
        <w:rPr>
          <w:rFonts w:asciiTheme="minorHAnsi" w:eastAsiaTheme="minorEastAsia" w:hAnsiTheme="minorHAnsi" w:cs="Arial"/>
          <w:szCs w:val="22"/>
          <w:lang w:eastAsia="en-GB"/>
        </w:rPr>
        <w:t xml:space="preserve"> where parents brought an action following their baby’s death due to meconium aspiration.  </w:t>
      </w:r>
      <w:r w:rsidR="003C05D1" w:rsidRPr="00C41814">
        <w:rPr>
          <w:rFonts w:asciiTheme="minorHAnsi" w:eastAsiaTheme="minorEastAsia" w:hAnsiTheme="minorHAnsi" w:cs="Arial"/>
          <w:szCs w:val="22"/>
          <w:lang w:eastAsia="en-GB"/>
        </w:rPr>
        <w:t xml:space="preserve">At trial </w:t>
      </w:r>
      <w:r w:rsidRPr="00C41814">
        <w:rPr>
          <w:rFonts w:asciiTheme="minorHAnsi" w:eastAsiaTheme="minorEastAsia" w:hAnsiTheme="minorHAnsi" w:cs="Arial"/>
          <w:szCs w:val="22"/>
          <w:lang w:eastAsia="en-GB"/>
        </w:rPr>
        <w:t>both sides had referred to guidance from NICE and the Royal College of Obstetricians and Gynaecologists.</w:t>
      </w:r>
      <w:r w:rsidRPr="00C41814">
        <w:rPr>
          <w:rFonts w:asciiTheme="minorHAnsi" w:eastAsiaTheme="minorEastAsia" w:hAnsiTheme="minorHAnsi" w:cs="Arial"/>
          <w:szCs w:val="22"/>
          <w:vertAlign w:val="superscript"/>
          <w:lang w:eastAsia="en-GB"/>
        </w:rPr>
        <w:footnoteReference w:id="66"/>
      </w:r>
      <w:r w:rsidRPr="00C41814">
        <w:rPr>
          <w:rFonts w:asciiTheme="minorHAnsi" w:eastAsiaTheme="minorEastAsia" w:hAnsiTheme="minorHAnsi" w:cs="Arial"/>
          <w:szCs w:val="22"/>
          <w:lang w:eastAsia="en-GB"/>
        </w:rPr>
        <w:t xml:space="preserve"> The court held that taking foetal blood samples (FBS) had given doctors a far clearer idea of foetal condition so that </w:t>
      </w:r>
      <w:r w:rsidR="00CB7F80" w:rsidRPr="00C41814">
        <w:rPr>
          <w:rFonts w:asciiTheme="minorHAnsi" w:eastAsiaTheme="minorEastAsia" w:hAnsiTheme="minorHAnsi" w:cs="Arial"/>
          <w:szCs w:val="22"/>
          <w:lang w:eastAsia="en-GB"/>
        </w:rPr>
        <w:t xml:space="preserve">an </w:t>
      </w:r>
      <w:r w:rsidRPr="00C41814">
        <w:rPr>
          <w:rFonts w:asciiTheme="minorHAnsi" w:eastAsiaTheme="minorEastAsia" w:hAnsiTheme="minorHAnsi" w:cs="Arial"/>
          <w:szCs w:val="22"/>
          <w:lang w:eastAsia="en-GB"/>
        </w:rPr>
        <w:t>appropriate clinical decision could be made. Dingmans J held</w:t>
      </w:r>
      <w:r w:rsidR="003C05D1" w:rsidRPr="00C41814">
        <w:rPr>
          <w:rFonts w:asciiTheme="minorHAnsi" w:eastAsiaTheme="minorEastAsia" w:hAnsiTheme="minorHAnsi" w:cs="Arial"/>
          <w:szCs w:val="22"/>
          <w:lang w:eastAsia="en-GB"/>
        </w:rPr>
        <w:t xml:space="preserve"> </w:t>
      </w:r>
      <w:r w:rsidR="00E82560" w:rsidRPr="00C41814">
        <w:rPr>
          <w:rFonts w:asciiTheme="minorHAnsi" w:eastAsiaTheme="minorEastAsia" w:hAnsiTheme="minorHAnsi" w:cs="Arial"/>
          <w:szCs w:val="22"/>
          <w:lang w:eastAsia="en-GB"/>
        </w:rPr>
        <w:t>that taking</w:t>
      </w:r>
      <w:r w:rsidRPr="00C41814">
        <w:rPr>
          <w:rFonts w:asciiTheme="minorHAnsi" w:eastAsiaTheme="minorEastAsia" w:hAnsiTheme="minorHAnsi" w:cs="Arial"/>
          <w:szCs w:val="22"/>
          <w:lang w:eastAsia="en-GB"/>
        </w:rPr>
        <w:t xml:space="preserve"> </w:t>
      </w:r>
      <w:r w:rsidR="003C05D1" w:rsidRPr="00C41814">
        <w:rPr>
          <w:rFonts w:asciiTheme="minorHAnsi" w:eastAsiaTheme="minorEastAsia" w:hAnsiTheme="minorHAnsi" w:cs="Arial"/>
          <w:szCs w:val="22"/>
          <w:lang w:eastAsia="en-GB"/>
        </w:rPr>
        <w:t xml:space="preserve">FBS allowed </w:t>
      </w:r>
      <w:r w:rsidRPr="00C41814">
        <w:rPr>
          <w:rFonts w:asciiTheme="minorHAnsi" w:eastAsiaTheme="minorEastAsia" w:hAnsiTheme="minorHAnsi" w:cs="Arial"/>
          <w:szCs w:val="22"/>
          <w:lang w:eastAsia="en-GB"/>
        </w:rPr>
        <w:t xml:space="preserve">doctors to have a much better idea of the condition of the </w:t>
      </w:r>
      <w:proofErr w:type="spellStart"/>
      <w:r w:rsidRPr="00C41814">
        <w:rPr>
          <w:rFonts w:asciiTheme="minorHAnsi" w:eastAsiaTheme="minorEastAsia" w:hAnsiTheme="minorHAnsi" w:cs="Arial"/>
          <w:szCs w:val="22"/>
          <w:lang w:eastAsia="en-GB"/>
        </w:rPr>
        <w:t>fetus</w:t>
      </w:r>
      <w:proofErr w:type="spellEnd"/>
      <w:r w:rsidR="00E82560" w:rsidRPr="00C41814">
        <w:rPr>
          <w:rFonts w:asciiTheme="minorHAnsi" w:eastAsiaTheme="minorEastAsia" w:hAnsiTheme="minorHAnsi" w:cs="Arial"/>
          <w:szCs w:val="22"/>
          <w:lang w:eastAsia="en-GB"/>
        </w:rPr>
        <w:t xml:space="preserve"> to ensure that optimal decisions could be made.  Although the guidelines </w:t>
      </w:r>
      <w:r w:rsidRPr="00C41814">
        <w:rPr>
          <w:rFonts w:asciiTheme="minorHAnsi" w:eastAsiaTheme="minorEastAsia" w:hAnsiTheme="minorHAnsi" w:cs="Arial"/>
          <w:szCs w:val="22"/>
          <w:lang w:eastAsia="en-GB"/>
        </w:rPr>
        <w:t xml:space="preserve">did not show that outcomes </w:t>
      </w:r>
      <w:r w:rsidR="00E82560" w:rsidRPr="00C41814">
        <w:rPr>
          <w:rFonts w:asciiTheme="minorHAnsi" w:eastAsiaTheme="minorEastAsia" w:hAnsiTheme="minorHAnsi" w:cs="Arial"/>
          <w:szCs w:val="22"/>
          <w:lang w:eastAsia="en-GB"/>
        </w:rPr>
        <w:t xml:space="preserve">would be different following </w:t>
      </w:r>
      <w:r w:rsidRPr="00C41814">
        <w:rPr>
          <w:rFonts w:asciiTheme="minorHAnsi" w:eastAsiaTheme="minorEastAsia" w:hAnsiTheme="minorHAnsi" w:cs="Arial"/>
          <w:szCs w:val="22"/>
          <w:lang w:eastAsia="en-GB"/>
        </w:rPr>
        <w:t xml:space="preserve">FBS did not mean that it was </w:t>
      </w:r>
      <w:r w:rsidR="00E82560" w:rsidRPr="00C41814">
        <w:rPr>
          <w:rFonts w:asciiTheme="minorHAnsi" w:eastAsiaTheme="minorEastAsia" w:hAnsiTheme="minorHAnsi" w:cs="Arial"/>
          <w:szCs w:val="22"/>
          <w:lang w:eastAsia="en-GB"/>
        </w:rPr>
        <w:t xml:space="preserve">unreasonable </w:t>
      </w:r>
      <w:r w:rsidRPr="00C41814">
        <w:rPr>
          <w:rFonts w:asciiTheme="minorHAnsi" w:eastAsiaTheme="minorEastAsia" w:hAnsiTheme="minorHAnsi" w:cs="Arial"/>
          <w:szCs w:val="22"/>
          <w:lang w:eastAsia="en-GB"/>
        </w:rPr>
        <w:t xml:space="preserve">to undertake </w:t>
      </w:r>
      <w:r w:rsidR="00E82560" w:rsidRPr="00C41814">
        <w:rPr>
          <w:rFonts w:asciiTheme="minorHAnsi" w:eastAsiaTheme="minorEastAsia" w:hAnsiTheme="minorHAnsi" w:cs="Arial"/>
          <w:szCs w:val="22"/>
          <w:lang w:eastAsia="en-GB"/>
        </w:rPr>
        <w:t>these</w:t>
      </w:r>
      <w:r w:rsidRPr="00C41814">
        <w:rPr>
          <w:rFonts w:asciiTheme="minorHAnsi" w:eastAsiaTheme="minorEastAsia" w:hAnsiTheme="minorHAnsi" w:cs="Arial"/>
          <w:szCs w:val="22"/>
          <w:lang w:eastAsia="en-GB"/>
        </w:rPr>
        <w:t>.</w:t>
      </w:r>
      <w:r w:rsidR="00694A40" w:rsidRPr="00C41814">
        <w:rPr>
          <w:rStyle w:val="FootnoteReference"/>
          <w:rFonts w:asciiTheme="minorHAnsi" w:eastAsiaTheme="minorEastAsia" w:hAnsiTheme="minorHAnsi" w:cs="Arial"/>
          <w:szCs w:val="22"/>
          <w:lang w:eastAsia="en-GB"/>
        </w:rPr>
        <w:footnoteReference w:id="67"/>
      </w:r>
      <w:r w:rsidRPr="00C41814">
        <w:rPr>
          <w:rFonts w:asciiTheme="minorHAnsi" w:eastAsiaTheme="minorEastAsia" w:hAnsiTheme="minorHAnsi" w:cs="Arial"/>
          <w:szCs w:val="22"/>
          <w:lang w:eastAsia="en-GB"/>
        </w:rPr>
        <w:t xml:space="preserve"> The Claimant’s action was dismissed on the basis that </w:t>
      </w:r>
      <w:r w:rsidRPr="00C41814">
        <w:rPr>
          <w:rFonts w:asciiTheme="minorHAnsi" w:eastAsiaTheme="minorEastAsia" w:hAnsiTheme="minorHAnsi" w:cs="Arial"/>
          <w:iCs/>
          <w:szCs w:val="22"/>
          <w:lang w:eastAsia="en-GB"/>
        </w:rPr>
        <w:t xml:space="preserve">NICE guidelines supported taking </w:t>
      </w:r>
      <w:r w:rsidR="00E82560" w:rsidRPr="00C41814">
        <w:rPr>
          <w:rFonts w:asciiTheme="minorHAnsi" w:eastAsiaTheme="minorEastAsia" w:hAnsiTheme="minorHAnsi" w:cs="Arial"/>
          <w:iCs/>
          <w:szCs w:val="22"/>
          <w:lang w:eastAsia="en-GB"/>
        </w:rPr>
        <w:t xml:space="preserve">FBS </w:t>
      </w:r>
      <w:r w:rsidRPr="00C41814">
        <w:rPr>
          <w:rFonts w:asciiTheme="minorHAnsi" w:eastAsiaTheme="minorEastAsia" w:hAnsiTheme="minorHAnsi" w:cs="Arial"/>
          <w:szCs w:val="22"/>
          <w:lang w:eastAsia="en-GB"/>
        </w:rPr>
        <w:t xml:space="preserve">in </w:t>
      </w:r>
      <w:r w:rsidR="00E82560" w:rsidRPr="00C41814">
        <w:rPr>
          <w:rFonts w:asciiTheme="minorHAnsi" w:eastAsiaTheme="minorEastAsia" w:hAnsiTheme="minorHAnsi" w:cs="Arial"/>
          <w:szCs w:val="22"/>
          <w:lang w:eastAsia="en-GB"/>
        </w:rPr>
        <w:t xml:space="preserve">the </w:t>
      </w:r>
      <w:r w:rsidRPr="00C41814">
        <w:rPr>
          <w:rFonts w:asciiTheme="minorHAnsi" w:eastAsiaTheme="minorEastAsia" w:hAnsiTheme="minorHAnsi" w:cs="Arial"/>
          <w:szCs w:val="22"/>
          <w:lang w:eastAsia="en-GB"/>
        </w:rPr>
        <w:t>circumstances</w:t>
      </w:r>
      <w:r w:rsidR="00E82560" w:rsidRPr="00C41814">
        <w:rPr>
          <w:rFonts w:asciiTheme="minorHAnsi" w:eastAsiaTheme="minorEastAsia" w:hAnsiTheme="minorHAnsi" w:cs="Arial"/>
          <w:szCs w:val="22"/>
          <w:lang w:eastAsia="en-GB"/>
        </w:rPr>
        <w:t xml:space="preserve">, </w:t>
      </w:r>
      <w:r w:rsidR="003C4B64" w:rsidRPr="00C41814">
        <w:rPr>
          <w:rFonts w:asciiTheme="minorHAnsi" w:eastAsiaTheme="minorEastAsia" w:hAnsiTheme="minorHAnsi" w:cs="Arial"/>
          <w:szCs w:val="22"/>
          <w:lang w:eastAsia="en-GB"/>
        </w:rPr>
        <w:t xml:space="preserve">thereby substantiating the </w:t>
      </w:r>
      <w:r w:rsidRPr="00C41814">
        <w:rPr>
          <w:rFonts w:asciiTheme="minorHAnsi" w:eastAsiaTheme="minorEastAsia" w:hAnsiTheme="minorHAnsi" w:cs="Arial"/>
          <w:szCs w:val="22"/>
          <w:lang w:eastAsia="en-GB"/>
        </w:rPr>
        <w:t xml:space="preserve">reasonableness of the defendant’s action. </w:t>
      </w:r>
    </w:p>
    <w:p w14:paraId="0E65F67E" w14:textId="4B94EBBA" w:rsidR="00A95C27" w:rsidRPr="00C41814" w:rsidRDefault="00A95C27" w:rsidP="008E5806">
      <w:pPr>
        <w:spacing w:after="200" w:line="360" w:lineRule="auto"/>
        <w:rPr>
          <w:rFonts w:asciiTheme="minorHAnsi" w:eastAsia="Times New Roman" w:hAnsiTheme="minorHAnsi" w:cs="Arial"/>
          <w:szCs w:val="22"/>
          <w:lang w:val="en-US"/>
        </w:rPr>
      </w:pPr>
      <w:r w:rsidRPr="00C41814">
        <w:rPr>
          <w:rFonts w:asciiTheme="minorHAnsi" w:hAnsiTheme="minorHAnsi" w:cs="Arial"/>
          <w:szCs w:val="22"/>
        </w:rPr>
        <w:t xml:space="preserve">A recurrent concern of some </w:t>
      </w:r>
      <w:r w:rsidR="00CF4B50" w:rsidRPr="00C41814">
        <w:rPr>
          <w:rFonts w:asciiTheme="minorHAnsi" w:hAnsiTheme="minorHAnsi" w:cs="Arial"/>
          <w:szCs w:val="22"/>
        </w:rPr>
        <w:t>participants that is also reflected in the literature</w:t>
      </w:r>
      <w:r w:rsidRPr="00C41814">
        <w:rPr>
          <w:rFonts w:asciiTheme="minorHAnsi" w:hAnsiTheme="minorHAnsi" w:cs="Arial"/>
          <w:szCs w:val="22"/>
        </w:rPr>
        <w:t xml:space="preserve"> is that guidelines have potential to stifle responsible clinical innovation and creativity. In </w:t>
      </w:r>
      <w:r w:rsidRPr="00C41814">
        <w:rPr>
          <w:rFonts w:asciiTheme="minorHAnsi" w:eastAsia="Times New Roman" w:hAnsiTheme="minorHAnsi" w:cs="Arial"/>
          <w:bCs/>
          <w:i/>
          <w:szCs w:val="22"/>
          <w:lang w:val="en-US"/>
        </w:rPr>
        <w:t>Ratty,</w:t>
      </w:r>
      <w:r w:rsidRPr="00C41814">
        <w:rPr>
          <w:rFonts w:asciiTheme="minorHAnsi" w:eastAsia="Times New Roman" w:hAnsiTheme="minorHAnsi" w:cs="Arial"/>
          <w:szCs w:val="22"/>
          <w:vertAlign w:val="superscript"/>
          <w:lang w:val="en-US"/>
        </w:rPr>
        <w:footnoteReference w:id="68"/>
      </w:r>
      <w:r w:rsidRPr="00C41814">
        <w:rPr>
          <w:rFonts w:asciiTheme="minorHAnsi" w:eastAsia="Times New Roman" w:hAnsiTheme="minorHAnsi" w:cs="Arial"/>
          <w:szCs w:val="22"/>
          <w:lang w:val="en-US"/>
        </w:rPr>
        <w:t xml:space="preserve"> however, the court’s reliance on a standard practice guideline did not function to suppress </w:t>
      </w:r>
      <w:r w:rsidR="00523466" w:rsidRPr="00C41814">
        <w:rPr>
          <w:rFonts w:asciiTheme="minorHAnsi" w:eastAsia="Times New Roman" w:hAnsiTheme="minorHAnsi" w:cs="Arial"/>
          <w:szCs w:val="22"/>
          <w:lang w:val="en-US"/>
        </w:rPr>
        <w:t xml:space="preserve">responsible surgical </w:t>
      </w:r>
      <w:r w:rsidRPr="00C41814">
        <w:rPr>
          <w:rFonts w:asciiTheme="minorHAnsi" w:eastAsia="Times New Roman" w:hAnsiTheme="minorHAnsi" w:cs="Arial"/>
          <w:szCs w:val="22"/>
          <w:lang w:val="en-US"/>
        </w:rPr>
        <w:t>discretion.  The claimant sought to rely on '</w:t>
      </w:r>
      <w:proofErr w:type="spellStart"/>
      <w:r w:rsidRPr="00C41814">
        <w:rPr>
          <w:rFonts w:asciiTheme="minorHAnsi" w:eastAsia="Times New Roman" w:hAnsiTheme="minorHAnsi" w:cs="Arial"/>
          <w:szCs w:val="22"/>
          <w:lang w:val="en-US"/>
        </w:rPr>
        <w:t>Marnham's</w:t>
      </w:r>
      <w:proofErr w:type="spellEnd"/>
      <w:r w:rsidRPr="00C41814">
        <w:rPr>
          <w:rFonts w:asciiTheme="minorHAnsi" w:eastAsia="Times New Roman" w:hAnsiTheme="minorHAnsi" w:cs="Arial"/>
          <w:szCs w:val="22"/>
          <w:lang w:val="en-US"/>
        </w:rPr>
        <w:t xml:space="preserve"> rule' a medical rule of thumb that asserts that there should be no </w:t>
      </w:r>
      <w:proofErr w:type="spellStart"/>
      <w:r w:rsidRPr="00C41814">
        <w:rPr>
          <w:rFonts w:asciiTheme="minorHAnsi" w:eastAsia="Times New Roman" w:hAnsiTheme="minorHAnsi" w:cs="Arial"/>
          <w:szCs w:val="22"/>
          <w:lang w:val="en-US"/>
        </w:rPr>
        <w:t>abdomino</w:t>
      </w:r>
      <w:proofErr w:type="spellEnd"/>
      <w:r w:rsidRPr="00C41814">
        <w:rPr>
          <w:rFonts w:asciiTheme="minorHAnsi" w:eastAsia="Times New Roman" w:hAnsiTheme="minorHAnsi" w:cs="Arial"/>
          <w:szCs w:val="22"/>
          <w:lang w:val="en-US"/>
        </w:rPr>
        <w:t>-perineal surgery without histological proof of cancer.</w:t>
      </w:r>
      <w:r w:rsidRPr="00C41814">
        <w:rPr>
          <w:rFonts w:asciiTheme="minorHAnsi" w:eastAsia="Times New Roman" w:hAnsiTheme="minorHAnsi" w:cs="Arial"/>
          <w:szCs w:val="22"/>
          <w:vertAlign w:val="superscript"/>
          <w:lang w:val="en-US"/>
        </w:rPr>
        <w:footnoteReference w:id="69"/>
      </w:r>
      <w:r w:rsidRPr="00C41814">
        <w:rPr>
          <w:rFonts w:asciiTheme="minorHAnsi" w:eastAsia="Times New Roman" w:hAnsiTheme="minorHAnsi" w:cs="Arial"/>
          <w:szCs w:val="22"/>
          <w:lang w:val="en-US"/>
        </w:rPr>
        <w:t xml:space="preserve">  </w:t>
      </w:r>
      <w:r w:rsidR="00730B78" w:rsidRPr="00C41814">
        <w:rPr>
          <w:rFonts w:asciiTheme="minorHAnsi" w:eastAsia="Times New Roman" w:hAnsiTheme="minorHAnsi" w:cs="Arial"/>
          <w:szCs w:val="22"/>
          <w:lang w:val="en-US"/>
        </w:rPr>
        <w:t>The claimant had been found to have a lesion of the colon which appeared clinically to be highly suggestive of cancer. An initial biopsy was negative (</w:t>
      </w:r>
      <w:r w:rsidR="00523466" w:rsidRPr="00C41814">
        <w:rPr>
          <w:rFonts w:asciiTheme="minorHAnsi" w:eastAsia="Times New Roman" w:hAnsiTheme="minorHAnsi" w:cs="Arial"/>
          <w:szCs w:val="22"/>
          <w:lang w:val="en-US"/>
        </w:rPr>
        <w:t xml:space="preserve">which is not, by itself, </w:t>
      </w:r>
      <w:r w:rsidR="00730B78" w:rsidRPr="00C41814">
        <w:rPr>
          <w:rFonts w:asciiTheme="minorHAnsi" w:eastAsia="Times New Roman" w:hAnsiTheme="minorHAnsi" w:cs="Arial"/>
          <w:szCs w:val="22"/>
          <w:lang w:val="en-US"/>
        </w:rPr>
        <w:t xml:space="preserve">conclusive proof of the absence of malignancy). </w:t>
      </w:r>
      <w:r w:rsidR="00730B78" w:rsidRPr="00C41814">
        <w:rPr>
          <w:rFonts w:asciiTheme="minorHAnsi" w:eastAsia="Times New Roman" w:hAnsiTheme="minorHAnsi" w:cs="Arial"/>
          <w:szCs w:val="22"/>
          <w:lang w:val="en-US"/>
        </w:rPr>
        <w:lastRenderedPageBreak/>
        <w:t xml:space="preserve">Subsequent radiological investigations were reported as showing a stricture which appeared to be carcinomatous.   </w:t>
      </w:r>
      <w:r w:rsidRPr="00C41814">
        <w:rPr>
          <w:rFonts w:asciiTheme="minorHAnsi" w:eastAsia="Times New Roman" w:hAnsiTheme="minorHAnsi" w:cs="Arial"/>
          <w:szCs w:val="22"/>
          <w:lang w:val="en-US"/>
        </w:rPr>
        <w:t>Notwithstanding ‘</w:t>
      </w:r>
      <w:proofErr w:type="spellStart"/>
      <w:r w:rsidRPr="00C41814">
        <w:rPr>
          <w:rFonts w:asciiTheme="minorHAnsi" w:eastAsia="Times New Roman" w:hAnsiTheme="minorHAnsi" w:cs="Arial"/>
          <w:szCs w:val="22"/>
          <w:lang w:val="en-US"/>
        </w:rPr>
        <w:t>Marnham's</w:t>
      </w:r>
      <w:proofErr w:type="spellEnd"/>
      <w:r w:rsidRPr="00C41814">
        <w:rPr>
          <w:rFonts w:asciiTheme="minorHAnsi" w:eastAsia="Times New Roman" w:hAnsiTheme="minorHAnsi" w:cs="Arial"/>
          <w:szCs w:val="22"/>
          <w:lang w:val="en-US"/>
        </w:rPr>
        <w:t xml:space="preserve"> rule’ the surgeon had resected the lesion which was later found to be non-malignant. The Court of Appeal held that </w:t>
      </w:r>
      <w:r w:rsidR="006633FD" w:rsidRPr="00C41814">
        <w:rPr>
          <w:rFonts w:asciiTheme="minorHAnsi" w:eastAsia="Times New Roman" w:hAnsiTheme="minorHAnsi" w:cs="Arial"/>
          <w:szCs w:val="22"/>
          <w:lang w:val="en-US"/>
        </w:rPr>
        <w:t xml:space="preserve">although </w:t>
      </w:r>
      <w:proofErr w:type="spellStart"/>
      <w:r w:rsidRPr="00C41814">
        <w:rPr>
          <w:rFonts w:asciiTheme="minorHAnsi" w:eastAsia="Times New Roman" w:hAnsiTheme="minorHAnsi" w:cs="Arial"/>
          <w:szCs w:val="22"/>
          <w:lang w:val="en-US"/>
        </w:rPr>
        <w:t>Marnham's</w:t>
      </w:r>
      <w:proofErr w:type="spellEnd"/>
      <w:r w:rsidRPr="00C41814">
        <w:rPr>
          <w:rFonts w:asciiTheme="minorHAnsi" w:eastAsia="Times New Roman" w:hAnsiTheme="minorHAnsi" w:cs="Arial"/>
          <w:szCs w:val="22"/>
          <w:lang w:val="en-US"/>
        </w:rPr>
        <w:t xml:space="preserve"> rule </w:t>
      </w:r>
      <w:r w:rsidR="006633FD" w:rsidRPr="00C41814">
        <w:rPr>
          <w:rFonts w:asciiTheme="minorHAnsi" w:eastAsia="Times New Roman" w:hAnsiTheme="minorHAnsi" w:cs="Arial"/>
          <w:szCs w:val="22"/>
          <w:lang w:val="en-US"/>
        </w:rPr>
        <w:t xml:space="preserve">represented </w:t>
      </w:r>
      <w:r w:rsidRPr="00C41814">
        <w:rPr>
          <w:rFonts w:asciiTheme="minorHAnsi" w:eastAsia="Times New Roman" w:hAnsiTheme="minorHAnsi" w:cs="Arial"/>
          <w:szCs w:val="22"/>
          <w:lang w:val="en-US"/>
        </w:rPr>
        <w:t xml:space="preserve">a useful guide it had no greater persuasive authority than this.  In respect of this (clinical) rule </w:t>
      </w:r>
      <w:r w:rsidRPr="00C41814">
        <w:rPr>
          <w:rFonts w:asciiTheme="minorHAnsi" w:eastAsia="Times New Roman" w:hAnsiTheme="minorHAnsi" w:cs="Arial"/>
          <w:i/>
          <w:szCs w:val="22"/>
          <w:lang w:val="en-US"/>
        </w:rPr>
        <w:t>vis-à-vis</w:t>
      </w:r>
      <w:r w:rsidRPr="00C41814">
        <w:rPr>
          <w:rFonts w:asciiTheme="minorHAnsi" w:eastAsia="Times New Roman" w:hAnsiTheme="minorHAnsi" w:cs="Arial"/>
          <w:szCs w:val="22"/>
          <w:lang w:val="en-US"/>
        </w:rPr>
        <w:t xml:space="preserve"> the defendant’s action, the C</w:t>
      </w:r>
      <w:r w:rsidR="006F13C1" w:rsidRPr="00C41814">
        <w:rPr>
          <w:rFonts w:asciiTheme="minorHAnsi" w:eastAsia="Times New Roman" w:hAnsiTheme="minorHAnsi" w:cs="Arial"/>
          <w:szCs w:val="22"/>
          <w:lang w:val="en-US"/>
        </w:rPr>
        <w:t>ourt of Appeal</w:t>
      </w:r>
      <w:r w:rsidRPr="00C41814">
        <w:rPr>
          <w:rFonts w:asciiTheme="minorHAnsi" w:eastAsia="Times New Roman" w:hAnsiTheme="minorHAnsi" w:cs="Arial"/>
          <w:szCs w:val="22"/>
          <w:lang w:val="en-US"/>
        </w:rPr>
        <w:t xml:space="preserve"> </w:t>
      </w:r>
      <w:r w:rsidR="006633FD" w:rsidRPr="00C41814">
        <w:rPr>
          <w:rFonts w:asciiTheme="minorHAnsi" w:eastAsia="Times New Roman" w:hAnsiTheme="minorHAnsi" w:cs="Arial"/>
          <w:szCs w:val="22"/>
          <w:lang w:val="en-US"/>
        </w:rPr>
        <w:t>held that</w:t>
      </w:r>
      <w:r w:rsidR="007A1995" w:rsidRPr="00C41814">
        <w:rPr>
          <w:rFonts w:asciiTheme="minorHAnsi" w:eastAsia="Times New Roman" w:hAnsiTheme="minorHAnsi" w:cs="Arial"/>
          <w:szCs w:val="22"/>
          <w:lang w:val="en-US"/>
        </w:rPr>
        <w:t xml:space="preserve"> </w:t>
      </w:r>
      <w:r w:rsidRPr="00C41814">
        <w:rPr>
          <w:rFonts w:asciiTheme="minorHAnsi" w:hAnsiTheme="minorHAnsi" w:cstheme="minorBidi"/>
          <w:szCs w:val="22"/>
        </w:rPr>
        <w:t>“[This] is a rule of general application, and should only be departed from under circumstances which plainly and unarguably justify such a course.”</w:t>
      </w:r>
      <w:r w:rsidRPr="00C41814">
        <w:rPr>
          <w:rFonts w:asciiTheme="minorHAnsi" w:hAnsiTheme="minorHAnsi" w:cstheme="minorBidi"/>
          <w:szCs w:val="22"/>
          <w:vertAlign w:val="superscript"/>
        </w:rPr>
        <w:footnoteReference w:id="70"/>
      </w:r>
      <w:r w:rsidR="00523466" w:rsidRPr="00C41814">
        <w:rPr>
          <w:rFonts w:asciiTheme="minorHAnsi" w:hAnsiTheme="minorHAnsi" w:cstheme="minorBidi"/>
          <w:szCs w:val="22"/>
        </w:rPr>
        <w:t xml:space="preserve"> </w:t>
      </w:r>
      <w:r w:rsidRPr="00C41814">
        <w:rPr>
          <w:rFonts w:asciiTheme="minorHAnsi" w:eastAsia="Times New Roman" w:hAnsiTheme="minorHAnsi" w:cs="Arial"/>
          <w:szCs w:val="22"/>
          <w:lang w:val="en-US"/>
        </w:rPr>
        <w:t xml:space="preserve">Since the defendant surgeon had deviated from this on sensible clinical grounds he had not been negligent. </w:t>
      </w:r>
      <w:r w:rsidR="00C95537" w:rsidRPr="00C41814">
        <w:rPr>
          <w:rFonts w:asciiTheme="minorHAnsi" w:eastAsia="Times New Roman" w:hAnsiTheme="minorHAnsi" w:cs="Arial"/>
          <w:szCs w:val="22"/>
          <w:lang w:val="en-US"/>
        </w:rPr>
        <w:t>A</w:t>
      </w:r>
      <w:r w:rsidRPr="00C41814">
        <w:rPr>
          <w:rFonts w:asciiTheme="minorHAnsi" w:eastAsia="Times New Roman" w:hAnsiTheme="minorHAnsi" w:cs="Arial"/>
          <w:szCs w:val="22"/>
          <w:lang w:val="en-US"/>
        </w:rPr>
        <w:t xml:space="preserve"> careful balance must be struck between not overly constraining medical practice, and the courts being too ready to endorse expert opinion.  The courts need to take a ‘hard look’ before endorsing deviation from standard professional practice as reasonable and responsible in law. </w:t>
      </w:r>
    </w:p>
    <w:p w14:paraId="45E93DF2" w14:textId="217484B3" w:rsidR="00A95C27" w:rsidRPr="00C41814" w:rsidRDefault="004F0CD5" w:rsidP="008E5806">
      <w:pPr>
        <w:spacing w:after="200" w:line="360" w:lineRule="auto"/>
        <w:rPr>
          <w:rFonts w:asciiTheme="minorHAnsi" w:hAnsiTheme="minorHAnsi" w:cstheme="minorBidi"/>
          <w:szCs w:val="22"/>
        </w:rPr>
      </w:pPr>
      <w:r w:rsidRPr="00C41814">
        <w:rPr>
          <w:rFonts w:asciiTheme="minorHAnsi" w:hAnsiTheme="minorHAnsi" w:cstheme="minorBidi"/>
          <w:i/>
          <w:szCs w:val="22"/>
        </w:rPr>
        <w:t xml:space="preserve">2. </w:t>
      </w:r>
      <w:r w:rsidR="00A95C27" w:rsidRPr="00C41814">
        <w:rPr>
          <w:rFonts w:asciiTheme="minorHAnsi" w:hAnsiTheme="minorHAnsi" w:cstheme="minorBidi"/>
          <w:i/>
          <w:szCs w:val="22"/>
        </w:rPr>
        <w:t>Not determinative or relevant?</w:t>
      </w:r>
    </w:p>
    <w:p w14:paraId="1FFA4901" w14:textId="75DE52BF"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Some participants believed that guidelines</w:t>
      </w:r>
      <w:r w:rsidR="00D27985" w:rsidRPr="00C41814">
        <w:rPr>
          <w:rFonts w:asciiTheme="minorHAnsi" w:hAnsiTheme="minorHAnsi" w:cstheme="minorBidi"/>
          <w:szCs w:val="22"/>
        </w:rPr>
        <w:t xml:space="preserve"> whilst useful as</w:t>
      </w:r>
      <w:r w:rsidRPr="00C41814">
        <w:rPr>
          <w:rFonts w:asciiTheme="minorHAnsi" w:hAnsiTheme="minorHAnsi" w:cstheme="minorBidi"/>
          <w:szCs w:val="22"/>
        </w:rPr>
        <w:t xml:space="preserve"> evidence</w:t>
      </w:r>
      <w:r w:rsidR="00D27985" w:rsidRPr="00C41814">
        <w:rPr>
          <w:rFonts w:asciiTheme="minorHAnsi" w:hAnsiTheme="minorHAnsi" w:cstheme="minorBidi"/>
          <w:szCs w:val="22"/>
        </w:rPr>
        <w:t xml:space="preserve"> were only one </w:t>
      </w:r>
      <w:r w:rsidRPr="00C41814">
        <w:rPr>
          <w:rFonts w:asciiTheme="minorHAnsi" w:hAnsiTheme="minorHAnsi" w:cstheme="minorBidi"/>
          <w:szCs w:val="22"/>
        </w:rPr>
        <w:t>part of the litigant’s armamentarium: “</w:t>
      </w:r>
      <w:r w:rsidRPr="00C41814">
        <w:rPr>
          <w:rFonts w:asciiTheme="minorHAnsi" w:hAnsiTheme="minorHAnsi" w:cstheme="minorBidi"/>
          <w:i/>
          <w:szCs w:val="22"/>
        </w:rPr>
        <w:t>Guidelines are part of and have always been part of a picture, but they are not definitive.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1"/>
      </w:r>
      <w:r w:rsidRPr="00C41814">
        <w:rPr>
          <w:rFonts w:asciiTheme="minorHAnsi" w:hAnsiTheme="minorHAnsi" w:cstheme="minorBidi"/>
          <w:szCs w:val="22"/>
        </w:rPr>
        <w:t xml:space="preserve"> For some</w:t>
      </w:r>
      <w:r w:rsidR="00D27985" w:rsidRPr="00C41814">
        <w:rPr>
          <w:rFonts w:asciiTheme="minorHAnsi" w:hAnsiTheme="minorHAnsi" w:cstheme="minorBidi"/>
          <w:szCs w:val="22"/>
        </w:rPr>
        <w:t>,</w:t>
      </w:r>
      <w:r w:rsidRPr="00C41814">
        <w:rPr>
          <w:rFonts w:asciiTheme="minorHAnsi" w:hAnsiTheme="minorHAnsi" w:cstheme="minorBidi"/>
          <w:szCs w:val="22"/>
        </w:rPr>
        <w:t xml:space="preserve"> CGs were seen as a potential constraint: “</w:t>
      </w:r>
      <w:r w:rsidRPr="00C41814">
        <w:rPr>
          <w:rFonts w:asciiTheme="minorHAnsi" w:hAnsiTheme="minorHAnsi" w:cstheme="minorBidi"/>
          <w:i/>
          <w:szCs w:val="22"/>
        </w:rPr>
        <w:t>[CGs] are guidelines and not tramlines, so their use is limited.</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2"/>
      </w:r>
      <w:r w:rsidRPr="00C41814">
        <w:rPr>
          <w:rFonts w:asciiTheme="minorHAnsi" w:hAnsiTheme="minorHAnsi" w:cstheme="minorBidi"/>
          <w:szCs w:val="22"/>
        </w:rPr>
        <w:t xml:space="preserve"> One barrister believed that the rapid proliferation of guidelines effectively constrained their potential use since both parties were likely to be able to point to guidance that </w:t>
      </w:r>
      <w:r w:rsidR="00CF4B50" w:rsidRPr="00C41814">
        <w:rPr>
          <w:rFonts w:asciiTheme="minorHAnsi" w:hAnsiTheme="minorHAnsi" w:cstheme="minorBidi"/>
          <w:szCs w:val="22"/>
        </w:rPr>
        <w:t xml:space="preserve">supported </w:t>
      </w:r>
      <w:r w:rsidRPr="00C41814">
        <w:rPr>
          <w:rFonts w:asciiTheme="minorHAnsi" w:hAnsiTheme="minorHAnsi" w:cstheme="minorBidi"/>
          <w:szCs w:val="22"/>
        </w:rPr>
        <w:t>their cause: “</w:t>
      </w:r>
      <w:r w:rsidRPr="00C41814">
        <w:rPr>
          <w:rFonts w:asciiTheme="minorHAnsi" w:hAnsiTheme="minorHAnsi" w:cstheme="minorBidi"/>
          <w:i/>
          <w:szCs w:val="22"/>
        </w:rPr>
        <w:t>They [clinical guidelines] are helpful but defendants cherry pick. They are not mandatory.</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3"/>
      </w:r>
      <w:r w:rsidRPr="00C41814">
        <w:rPr>
          <w:rFonts w:asciiTheme="minorHAnsi" w:hAnsiTheme="minorHAnsi" w:cstheme="minorBidi"/>
          <w:szCs w:val="22"/>
        </w:rPr>
        <w:t xml:space="preserve"> This position, to some extent, is reflective of how published works and the research base has always been used by parties to justify and support their own positions.  </w:t>
      </w:r>
    </w:p>
    <w:p w14:paraId="5FCF67E7" w14:textId="28CCF053" w:rsidR="00A95C27" w:rsidRPr="00C41814" w:rsidRDefault="00A95C27" w:rsidP="008E5806">
      <w:pPr>
        <w:autoSpaceDE w:val="0"/>
        <w:autoSpaceDN w:val="0"/>
        <w:adjustRightInd w:val="0"/>
        <w:spacing w:line="360" w:lineRule="auto"/>
        <w:rPr>
          <w:rFonts w:asciiTheme="minorHAnsi" w:hAnsiTheme="minorHAnsi" w:cs="Arial"/>
          <w:szCs w:val="22"/>
        </w:rPr>
      </w:pPr>
      <w:r w:rsidRPr="00C41814">
        <w:rPr>
          <w:rFonts w:asciiTheme="minorHAnsi" w:hAnsiTheme="minorHAnsi" w:cs="Times New Roman"/>
          <w:szCs w:val="22"/>
        </w:rPr>
        <w:t xml:space="preserve">The potential of CGs to define and potentially constrain the standard of care in law has long been recognised by guideline producing consortia.  Guidance produced by the </w:t>
      </w:r>
      <w:r w:rsidRPr="00C41814">
        <w:rPr>
          <w:rFonts w:asciiTheme="minorHAnsi" w:eastAsiaTheme="minorEastAsia" w:hAnsiTheme="minorHAnsi" w:cs="Arial"/>
          <w:szCs w:val="22"/>
          <w:lang w:eastAsia="en-GB"/>
        </w:rPr>
        <w:t xml:space="preserve">Royal College of Obstetricians and Gynaecologists, for example, includes an express proviso </w:t>
      </w:r>
      <w:r w:rsidRPr="00C41814">
        <w:rPr>
          <w:rFonts w:asciiTheme="minorHAnsi" w:hAnsiTheme="minorHAnsi" w:cs="Arial"/>
          <w:szCs w:val="22"/>
        </w:rPr>
        <w:t>that their recommendations do not</w:t>
      </w:r>
      <w:r w:rsidRPr="00C41814">
        <w:rPr>
          <w:rFonts w:asciiTheme="minorHAnsi" w:hAnsiTheme="minorHAnsi" w:cs="Arial"/>
          <w:i/>
          <w:szCs w:val="22"/>
        </w:rPr>
        <w:t xml:space="preserve"> “dictate an exclusive course of management or treatment.</w:t>
      </w:r>
      <w:r w:rsidRPr="00C41814">
        <w:rPr>
          <w:rFonts w:asciiTheme="minorHAnsi" w:hAnsiTheme="minorHAnsi" w:cs="Arial"/>
          <w:szCs w:val="22"/>
        </w:rPr>
        <w:t>”</w:t>
      </w:r>
      <w:r w:rsidRPr="00C41814">
        <w:rPr>
          <w:rFonts w:asciiTheme="minorHAnsi" w:hAnsiTheme="minorHAnsi" w:cs="Arial"/>
          <w:i/>
          <w:szCs w:val="22"/>
        </w:rPr>
        <w:t xml:space="preserve"> </w:t>
      </w:r>
      <w:r w:rsidRPr="00C41814">
        <w:rPr>
          <w:rFonts w:asciiTheme="minorHAnsi" w:hAnsiTheme="minorHAnsi" w:cs="Arial"/>
          <w:szCs w:val="22"/>
        </w:rPr>
        <w:t xml:space="preserve">Instead, </w:t>
      </w:r>
      <w:r w:rsidRPr="00C41814">
        <w:rPr>
          <w:rFonts w:asciiTheme="minorHAnsi" w:hAnsiTheme="minorHAnsi" w:cs="Arial"/>
          <w:i/>
          <w:szCs w:val="22"/>
        </w:rPr>
        <w:t>“[t]</w:t>
      </w:r>
      <w:r w:rsidRPr="00C41814">
        <w:rPr>
          <w:rFonts w:asciiTheme="minorHAnsi" w:hAnsiTheme="minorHAnsi" w:cs="Times New Roman"/>
          <w:i/>
          <w:szCs w:val="22"/>
          <w:shd w:val="clear" w:color="auto" w:fill="FFFFFF"/>
        </w:rPr>
        <w:t>hey must be evaluated with reference to individual patient needs”.</w:t>
      </w:r>
      <w:r w:rsidRPr="00C41814">
        <w:rPr>
          <w:rFonts w:asciiTheme="minorHAnsi" w:hAnsiTheme="minorHAnsi" w:cs="Arial"/>
          <w:szCs w:val="22"/>
          <w:vertAlign w:val="superscript"/>
        </w:rPr>
        <w:footnoteReference w:id="74"/>
      </w:r>
      <w:r w:rsidRPr="00C41814">
        <w:rPr>
          <w:rFonts w:asciiTheme="minorHAnsi" w:hAnsiTheme="minorHAnsi" w:cs="Arial"/>
          <w:i/>
          <w:szCs w:val="22"/>
        </w:rPr>
        <w:t xml:space="preserve">  </w:t>
      </w:r>
      <w:r w:rsidRPr="00C41814">
        <w:rPr>
          <w:rFonts w:asciiTheme="minorHAnsi" w:hAnsiTheme="minorHAnsi" w:cs="Arial"/>
          <w:szCs w:val="22"/>
        </w:rPr>
        <w:t>The need for clinicians to take account of the specific needs of individual patients contextualised against resource constraints and institutional policy is emphasised similarly.</w:t>
      </w:r>
      <w:r w:rsidRPr="00C41814">
        <w:rPr>
          <w:rFonts w:asciiTheme="minorHAnsi" w:hAnsiTheme="minorHAnsi" w:cs="Arial"/>
          <w:i/>
          <w:szCs w:val="22"/>
        </w:rPr>
        <w:t xml:space="preserve">  </w:t>
      </w:r>
      <w:r w:rsidRPr="00C41814">
        <w:rPr>
          <w:rFonts w:asciiTheme="minorHAnsi" w:hAnsiTheme="minorHAnsi" w:cs="Arial"/>
          <w:szCs w:val="22"/>
        </w:rPr>
        <w:t xml:space="preserve">Nevertheless, the extent to which caveats such of these will be effective is likely to depend on </w:t>
      </w:r>
      <w:r w:rsidR="00D27985" w:rsidRPr="00C41814">
        <w:rPr>
          <w:rFonts w:asciiTheme="minorHAnsi" w:hAnsiTheme="minorHAnsi" w:cs="Arial"/>
          <w:szCs w:val="22"/>
        </w:rPr>
        <w:t>whether</w:t>
      </w:r>
      <w:r w:rsidRPr="00C41814">
        <w:rPr>
          <w:rFonts w:asciiTheme="minorHAnsi" w:hAnsiTheme="minorHAnsi" w:cs="Arial"/>
          <w:szCs w:val="22"/>
        </w:rPr>
        <w:t xml:space="preserve"> all, or at least a</w:t>
      </w:r>
      <w:r w:rsidR="00D27985" w:rsidRPr="00C41814">
        <w:rPr>
          <w:rFonts w:asciiTheme="minorHAnsi" w:hAnsiTheme="minorHAnsi" w:cs="Arial"/>
          <w:szCs w:val="22"/>
        </w:rPr>
        <w:t xml:space="preserve"> large</w:t>
      </w:r>
      <w:r w:rsidRPr="00C41814">
        <w:rPr>
          <w:rFonts w:asciiTheme="minorHAnsi" w:hAnsiTheme="minorHAnsi" w:cs="Arial"/>
          <w:szCs w:val="22"/>
        </w:rPr>
        <w:t xml:space="preserve"> body of responsible practitioners</w:t>
      </w:r>
      <w:r w:rsidR="0080021D" w:rsidRPr="00C41814">
        <w:rPr>
          <w:rFonts w:asciiTheme="minorHAnsi" w:hAnsiTheme="minorHAnsi" w:cs="Arial"/>
          <w:szCs w:val="22"/>
        </w:rPr>
        <w:t>,</w:t>
      </w:r>
      <w:r w:rsidRPr="00C41814">
        <w:rPr>
          <w:rFonts w:asciiTheme="minorHAnsi" w:hAnsiTheme="minorHAnsi" w:cs="Arial"/>
          <w:szCs w:val="22"/>
        </w:rPr>
        <w:t xml:space="preserve"> are following that guidance</w:t>
      </w:r>
      <w:r w:rsidR="00D27985" w:rsidRPr="00C41814">
        <w:rPr>
          <w:rFonts w:asciiTheme="minorHAnsi" w:hAnsiTheme="minorHAnsi" w:cs="Arial"/>
          <w:szCs w:val="22"/>
        </w:rPr>
        <w:t>. A</w:t>
      </w:r>
      <w:r w:rsidRPr="00C41814">
        <w:rPr>
          <w:rFonts w:asciiTheme="minorHAnsi" w:hAnsiTheme="minorHAnsi" w:cs="Arial"/>
          <w:szCs w:val="22"/>
        </w:rPr>
        <w:t xml:space="preserve"> defendant practitioner would </w:t>
      </w:r>
      <w:r w:rsidR="00D27985" w:rsidRPr="00C41814">
        <w:rPr>
          <w:rFonts w:asciiTheme="minorHAnsi" w:hAnsiTheme="minorHAnsi" w:cs="Arial"/>
          <w:szCs w:val="22"/>
        </w:rPr>
        <w:t>then</w:t>
      </w:r>
      <w:r w:rsidRPr="00C41814">
        <w:rPr>
          <w:rFonts w:asciiTheme="minorHAnsi" w:hAnsiTheme="minorHAnsi" w:cs="Arial"/>
          <w:szCs w:val="22"/>
        </w:rPr>
        <w:t xml:space="preserve"> need to show just cause as to why that guidance had </w:t>
      </w:r>
      <w:r w:rsidRPr="00C41814">
        <w:rPr>
          <w:rFonts w:asciiTheme="minorHAnsi" w:hAnsiTheme="minorHAnsi" w:cs="Arial"/>
          <w:szCs w:val="22"/>
        </w:rPr>
        <w:lastRenderedPageBreak/>
        <w:t xml:space="preserve">not been followed. Rather than protecting the practitioner, </w:t>
      </w:r>
      <w:r w:rsidR="00E87221" w:rsidRPr="00C41814">
        <w:rPr>
          <w:rFonts w:asciiTheme="minorHAnsi" w:hAnsiTheme="minorHAnsi" w:cs="Arial"/>
          <w:szCs w:val="22"/>
        </w:rPr>
        <w:t>such</w:t>
      </w:r>
      <w:r w:rsidRPr="00C41814">
        <w:rPr>
          <w:rFonts w:asciiTheme="minorHAnsi" w:hAnsiTheme="minorHAnsi" w:cs="Arial"/>
          <w:szCs w:val="22"/>
        </w:rPr>
        <w:t xml:space="preserve"> provisos might </w:t>
      </w:r>
      <w:r w:rsidR="00E87221" w:rsidRPr="00C41814">
        <w:rPr>
          <w:rFonts w:asciiTheme="minorHAnsi" w:hAnsiTheme="minorHAnsi" w:cs="Arial"/>
          <w:szCs w:val="22"/>
        </w:rPr>
        <w:t>reflect</w:t>
      </w:r>
      <w:r w:rsidRPr="00C41814">
        <w:rPr>
          <w:rFonts w:asciiTheme="minorHAnsi" w:hAnsiTheme="minorHAnsi" w:cs="Arial"/>
          <w:szCs w:val="22"/>
        </w:rPr>
        <w:t xml:space="preserve"> an attempt to limit the potential liability of guideline-producing consortia.  </w:t>
      </w:r>
    </w:p>
    <w:p w14:paraId="32D20021" w14:textId="77777777" w:rsidR="00A95C27" w:rsidRPr="00C41814" w:rsidRDefault="00A95C27" w:rsidP="008E5806">
      <w:pPr>
        <w:autoSpaceDE w:val="0"/>
        <w:autoSpaceDN w:val="0"/>
        <w:adjustRightInd w:val="0"/>
        <w:spacing w:line="360" w:lineRule="auto"/>
        <w:rPr>
          <w:rFonts w:ascii="Times New Roman" w:hAnsi="Times New Roman" w:cs="Times New Roman"/>
          <w:sz w:val="24"/>
          <w:szCs w:val="24"/>
        </w:rPr>
      </w:pPr>
      <w:r w:rsidRPr="00C41814">
        <w:rPr>
          <w:rFonts w:asciiTheme="minorHAnsi" w:eastAsiaTheme="minorEastAsia" w:hAnsiTheme="minorHAnsi" w:cs="Arial"/>
          <w:szCs w:val="22"/>
          <w:lang w:eastAsia="en-GB"/>
        </w:rPr>
        <w:t xml:space="preserve">  </w:t>
      </w:r>
      <w:r w:rsidRPr="00C41814">
        <w:rPr>
          <w:rFonts w:asciiTheme="minorHAnsi" w:hAnsiTheme="minorHAnsi" w:cs="Times New Roman"/>
          <w:szCs w:val="22"/>
        </w:rPr>
        <w:t xml:space="preserve"> </w:t>
      </w:r>
    </w:p>
    <w:p w14:paraId="3D5BCB74" w14:textId="31B44239" w:rsidR="00A95C27" w:rsidRPr="00C41814" w:rsidRDefault="00A95C27" w:rsidP="008E5806">
      <w:pPr>
        <w:spacing w:after="200" w:line="360" w:lineRule="auto"/>
        <w:rPr>
          <w:rFonts w:asciiTheme="minorHAnsi" w:hAnsiTheme="minorHAnsi" w:cs="Times New Roman"/>
          <w:szCs w:val="22"/>
        </w:rPr>
      </w:pPr>
      <w:r w:rsidRPr="00C41814">
        <w:rPr>
          <w:rFonts w:asciiTheme="minorHAnsi" w:hAnsiTheme="minorHAnsi" w:cs="Times New Roman"/>
          <w:bCs/>
          <w:iCs/>
          <w:szCs w:val="22"/>
        </w:rPr>
        <w:t xml:space="preserve">In </w:t>
      </w:r>
      <w:r w:rsidRPr="00C41814">
        <w:rPr>
          <w:rFonts w:asciiTheme="minorHAnsi" w:hAnsiTheme="minorHAnsi" w:cs="Times New Roman"/>
          <w:bCs/>
          <w:i/>
          <w:iCs/>
          <w:szCs w:val="22"/>
        </w:rPr>
        <w:t>Bayley</w:t>
      </w:r>
      <w:r w:rsidRPr="00C41814">
        <w:rPr>
          <w:rFonts w:asciiTheme="minorHAnsi" w:hAnsiTheme="minorHAnsi" w:cs="Times New Roman"/>
          <w:bCs/>
          <w:i/>
          <w:iCs/>
          <w:szCs w:val="22"/>
          <w:vertAlign w:val="superscript"/>
        </w:rPr>
        <w:footnoteReference w:id="75"/>
      </w:r>
      <w:r w:rsidRPr="00C41814">
        <w:rPr>
          <w:rFonts w:asciiTheme="minorHAnsi" w:hAnsiTheme="minorHAnsi" w:cs="Times New Roman"/>
          <w:bCs/>
          <w:i/>
          <w:iCs/>
          <w:szCs w:val="22"/>
        </w:rPr>
        <w:t xml:space="preserve"> </w:t>
      </w:r>
      <w:r w:rsidRPr="00C41814">
        <w:rPr>
          <w:rFonts w:asciiTheme="minorHAnsi" w:hAnsiTheme="minorHAnsi" w:cs="Times New Roman"/>
          <w:bCs/>
          <w:iCs/>
          <w:szCs w:val="22"/>
        </w:rPr>
        <w:t>t</w:t>
      </w:r>
      <w:r w:rsidRPr="00C41814">
        <w:rPr>
          <w:rFonts w:asciiTheme="minorHAnsi" w:hAnsiTheme="minorHAnsi" w:cs="Times New Roman"/>
          <w:szCs w:val="22"/>
        </w:rPr>
        <w:t xml:space="preserve">he Claimant developed </w:t>
      </w:r>
      <w:r w:rsidR="003358FC" w:rsidRPr="00C41814">
        <w:rPr>
          <w:rFonts w:asciiTheme="minorHAnsi" w:hAnsiTheme="minorHAnsi" w:cs="Times New Roman"/>
          <w:szCs w:val="22"/>
        </w:rPr>
        <w:t xml:space="preserve">post-partum </w:t>
      </w:r>
      <w:r w:rsidRPr="00C41814">
        <w:rPr>
          <w:rFonts w:asciiTheme="minorHAnsi" w:hAnsiTheme="minorHAnsi" w:cs="Times New Roman"/>
          <w:szCs w:val="22"/>
        </w:rPr>
        <w:t xml:space="preserve">pain and swelling in her leg, which was diagnosed as a deep vein thrombosis (DVT). She was discharged and told to visit the clinic the following day. The allegation of negligence </w:t>
      </w:r>
      <w:r w:rsidR="002C6320" w:rsidRPr="00C41814">
        <w:rPr>
          <w:rFonts w:asciiTheme="minorHAnsi" w:hAnsiTheme="minorHAnsi" w:cs="Times New Roman"/>
          <w:szCs w:val="22"/>
        </w:rPr>
        <w:t xml:space="preserve">concerned the defendant’s </w:t>
      </w:r>
      <w:r w:rsidRPr="00C41814">
        <w:rPr>
          <w:rFonts w:asciiTheme="minorHAnsi" w:hAnsiTheme="minorHAnsi" w:cs="Times New Roman"/>
          <w:szCs w:val="22"/>
        </w:rPr>
        <w:t xml:space="preserve">failure to provide the </w:t>
      </w:r>
      <w:r w:rsidR="002C6320" w:rsidRPr="00C41814">
        <w:rPr>
          <w:rFonts w:asciiTheme="minorHAnsi" w:hAnsiTheme="minorHAnsi" w:cs="Times New Roman"/>
          <w:szCs w:val="22"/>
        </w:rPr>
        <w:t>c</w:t>
      </w:r>
      <w:r w:rsidRPr="00C41814">
        <w:rPr>
          <w:rFonts w:asciiTheme="minorHAnsi" w:hAnsiTheme="minorHAnsi" w:cs="Times New Roman"/>
          <w:szCs w:val="22"/>
        </w:rPr>
        <w:t xml:space="preserve">laimant with graduated compression stockings. The defendant’s evidence was that provision of stockings would not have made any material difference to the outcome although on the balance of probability it would have reduced her pain.  Reference was made to NICE guidance to justify the decision not to </w:t>
      </w:r>
      <w:r w:rsidR="002C6320" w:rsidRPr="00C41814">
        <w:rPr>
          <w:rFonts w:asciiTheme="minorHAnsi" w:hAnsiTheme="minorHAnsi" w:cs="Times New Roman"/>
          <w:szCs w:val="22"/>
        </w:rPr>
        <w:t xml:space="preserve">provide </w:t>
      </w:r>
      <w:r w:rsidRPr="00C41814">
        <w:rPr>
          <w:rFonts w:asciiTheme="minorHAnsi" w:hAnsiTheme="minorHAnsi" w:cs="Times New Roman"/>
          <w:szCs w:val="22"/>
        </w:rPr>
        <w:t xml:space="preserve">stockings to prevent post thrombotic syndrome or venous thrombotic recurrence after a proximal DVT. On </w:t>
      </w:r>
      <w:r w:rsidR="00E87221" w:rsidRPr="00C41814">
        <w:rPr>
          <w:rFonts w:asciiTheme="minorHAnsi" w:hAnsiTheme="minorHAnsi" w:cs="Times New Roman"/>
          <w:szCs w:val="22"/>
        </w:rPr>
        <w:t>scrutinising</w:t>
      </w:r>
      <w:r w:rsidRPr="00C41814">
        <w:rPr>
          <w:rFonts w:asciiTheme="minorHAnsi" w:hAnsiTheme="minorHAnsi" w:cs="Times New Roman"/>
          <w:szCs w:val="22"/>
        </w:rPr>
        <w:t xml:space="preserve"> the guideline the court </w:t>
      </w:r>
      <w:r w:rsidR="00E87221" w:rsidRPr="00C41814">
        <w:rPr>
          <w:rFonts w:asciiTheme="minorHAnsi" w:hAnsiTheme="minorHAnsi" w:cs="Times New Roman"/>
          <w:szCs w:val="22"/>
        </w:rPr>
        <w:t>noted</w:t>
      </w:r>
      <w:r w:rsidRPr="00C41814">
        <w:rPr>
          <w:rFonts w:asciiTheme="minorHAnsi" w:hAnsiTheme="minorHAnsi" w:cs="Times New Roman"/>
          <w:szCs w:val="22"/>
        </w:rPr>
        <w:t>:</w:t>
      </w:r>
    </w:p>
    <w:p w14:paraId="0598F657" w14:textId="6A9BA607" w:rsidR="00A95C27" w:rsidRPr="00C41814" w:rsidRDefault="00A95C27" w:rsidP="008E5806">
      <w:pPr>
        <w:autoSpaceDE w:val="0"/>
        <w:autoSpaceDN w:val="0"/>
        <w:adjustRightInd w:val="0"/>
        <w:spacing w:after="200" w:line="360" w:lineRule="auto"/>
        <w:ind w:left="720" w:right="521"/>
        <w:rPr>
          <w:rFonts w:asciiTheme="minorHAnsi" w:hAnsiTheme="minorHAnsi" w:cs="Times New Roman"/>
          <w:szCs w:val="22"/>
        </w:rPr>
      </w:pPr>
      <w:r w:rsidRPr="00C41814">
        <w:rPr>
          <w:rFonts w:asciiTheme="minorHAnsi" w:hAnsiTheme="minorHAnsi" w:cs="Times New Roman"/>
          <w:szCs w:val="22"/>
        </w:rPr>
        <w:t xml:space="preserve">The addendum to the NICE Clinical guidelines 144 issued in November 2015 [534/21-31] </w:t>
      </w:r>
      <w:r w:rsidR="00B55DBA" w:rsidRPr="00C41814">
        <w:rPr>
          <w:rFonts w:asciiTheme="minorHAnsi" w:hAnsiTheme="minorHAnsi" w:cs="Times New Roman"/>
          <w:szCs w:val="22"/>
        </w:rPr>
        <w:t xml:space="preserve">… </w:t>
      </w:r>
      <w:r w:rsidRPr="00C41814">
        <w:rPr>
          <w:rFonts w:asciiTheme="minorHAnsi" w:hAnsiTheme="minorHAnsi" w:cs="Times New Roman"/>
          <w:szCs w:val="22"/>
        </w:rPr>
        <w:t>recommends that elastic graduated compression stockings are not offered to prevent post thrombotic syndrome or for the prevention of venous thrombotic recurrence after a proximal DVT.</w:t>
      </w:r>
      <w:r w:rsidRPr="00C41814">
        <w:rPr>
          <w:rFonts w:asciiTheme="minorHAnsi" w:hAnsiTheme="minorHAnsi" w:cs="Times New Roman"/>
          <w:szCs w:val="22"/>
          <w:vertAlign w:val="superscript"/>
        </w:rPr>
        <w:t xml:space="preserve"> </w:t>
      </w:r>
      <w:r w:rsidRPr="00C41814">
        <w:rPr>
          <w:rFonts w:asciiTheme="minorHAnsi" w:hAnsiTheme="minorHAnsi" w:cs="Times New Roman"/>
          <w:szCs w:val="22"/>
          <w:vertAlign w:val="superscript"/>
        </w:rPr>
        <w:footnoteReference w:id="76"/>
      </w:r>
      <w:r w:rsidRPr="00C41814">
        <w:rPr>
          <w:rFonts w:asciiTheme="minorHAnsi" w:hAnsiTheme="minorHAnsi" w:cs="Times New Roman"/>
          <w:szCs w:val="22"/>
        </w:rPr>
        <w:t xml:space="preserve"> </w:t>
      </w:r>
    </w:p>
    <w:p w14:paraId="582F08DF" w14:textId="78B866D7" w:rsidR="00A95C27" w:rsidRPr="00C41814" w:rsidRDefault="00A95C27" w:rsidP="008E5806">
      <w:pPr>
        <w:autoSpaceDE w:val="0"/>
        <w:autoSpaceDN w:val="0"/>
        <w:adjustRightInd w:val="0"/>
        <w:spacing w:after="200" w:line="360" w:lineRule="auto"/>
        <w:rPr>
          <w:rFonts w:asciiTheme="minorHAnsi" w:hAnsiTheme="minorHAnsi" w:cs="Times New Roman"/>
          <w:szCs w:val="22"/>
        </w:rPr>
      </w:pPr>
      <w:r w:rsidRPr="00C41814">
        <w:rPr>
          <w:rFonts w:asciiTheme="minorHAnsi" w:hAnsiTheme="minorHAnsi" w:cs="Times New Roman"/>
          <w:szCs w:val="22"/>
        </w:rPr>
        <w:t>The court recognised that th</w:t>
      </w:r>
      <w:r w:rsidR="00E87221" w:rsidRPr="00C41814">
        <w:rPr>
          <w:rFonts w:asciiTheme="minorHAnsi" w:hAnsiTheme="minorHAnsi" w:cs="Times New Roman"/>
          <w:szCs w:val="22"/>
        </w:rPr>
        <w:t>is</w:t>
      </w:r>
      <w:r w:rsidRPr="00C41814">
        <w:rPr>
          <w:rFonts w:asciiTheme="minorHAnsi" w:hAnsiTheme="minorHAnsi" w:cs="Times New Roman"/>
          <w:szCs w:val="22"/>
        </w:rPr>
        <w:t xml:space="preserve"> particular guideline did not apply to compression stockings </w:t>
      </w:r>
      <w:r w:rsidRPr="00C41814">
        <w:rPr>
          <w:rFonts w:asciiTheme="minorHAnsi" w:hAnsiTheme="minorHAnsi" w:cs="Times New Roman"/>
          <w:iCs/>
          <w:szCs w:val="22"/>
        </w:rPr>
        <w:t xml:space="preserve">for the management of leg symptoms that presented </w:t>
      </w:r>
      <w:r w:rsidRPr="00C41814">
        <w:rPr>
          <w:rFonts w:asciiTheme="minorHAnsi" w:hAnsiTheme="minorHAnsi" w:cs="Times New Roman"/>
          <w:i/>
          <w:iCs/>
          <w:szCs w:val="22"/>
        </w:rPr>
        <w:t xml:space="preserve">after a DVT had occurred </w:t>
      </w:r>
      <w:r w:rsidRPr="00C41814">
        <w:rPr>
          <w:rFonts w:asciiTheme="minorHAnsi" w:hAnsiTheme="minorHAnsi" w:cs="Times New Roman"/>
          <w:iCs/>
          <w:szCs w:val="22"/>
        </w:rPr>
        <w:t xml:space="preserve">nor for the prevention of thrombosis. </w:t>
      </w:r>
      <w:r w:rsidRPr="00C41814">
        <w:rPr>
          <w:rFonts w:asciiTheme="minorHAnsi" w:hAnsiTheme="minorHAnsi" w:cs="Times New Roman"/>
          <w:szCs w:val="22"/>
        </w:rPr>
        <w:t>From the</w:t>
      </w:r>
      <w:r w:rsidR="00E87221" w:rsidRPr="00C41814">
        <w:rPr>
          <w:rFonts w:asciiTheme="minorHAnsi" w:hAnsiTheme="minorHAnsi" w:cs="Times New Roman"/>
          <w:szCs w:val="22"/>
        </w:rPr>
        <w:t xml:space="preserve"> court’s</w:t>
      </w:r>
      <w:r w:rsidRPr="00C41814">
        <w:rPr>
          <w:rFonts w:asciiTheme="minorHAnsi" w:hAnsiTheme="minorHAnsi" w:cs="Times New Roman"/>
          <w:szCs w:val="22"/>
        </w:rPr>
        <w:t xml:space="preserve"> perspective</w:t>
      </w:r>
      <w:r w:rsidR="00E87221" w:rsidRPr="00C41814">
        <w:rPr>
          <w:rFonts w:asciiTheme="minorHAnsi" w:hAnsiTheme="minorHAnsi" w:cs="Times New Roman"/>
          <w:szCs w:val="22"/>
        </w:rPr>
        <w:t>, s</w:t>
      </w:r>
      <w:r w:rsidRPr="00C41814">
        <w:rPr>
          <w:rFonts w:asciiTheme="minorHAnsi" w:hAnsiTheme="minorHAnsi" w:cs="Times New Roman"/>
          <w:szCs w:val="22"/>
        </w:rPr>
        <w:t xml:space="preserve">ince the stockings were neither mandatory, nor compulsory, failure to provide stockings was therefore not evidence of negligence.  </w:t>
      </w:r>
    </w:p>
    <w:p w14:paraId="4AA3CDEE" w14:textId="63C8A0F8" w:rsidR="00A95C27" w:rsidRPr="00C41814" w:rsidRDefault="004F0CD5" w:rsidP="008E5806">
      <w:pPr>
        <w:spacing w:after="200" w:line="360" w:lineRule="auto"/>
        <w:rPr>
          <w:rFonts w:asciiTheme="minorHAnsi" w:hAnsiTheme="minorHAnsi" w:cstheme="minorBidi"/>
          <w:szCs w:val="22"/>
        </w:rPr>
      </w:pPr>
      <w:r w:rsidRPr="00C41814">
        <w:rPr>
          <w:rFonts w:asciiTheme="minorHAnsi" w:hAnsiTheme="minorHAnsi" w:cstheme="minorBidi"/>
          <w:i/>
          <w:szCs w:val="22"/>
        </w:rPr>
        <w:t xml:space="preserve">3. </w:t>
      </w:r>
      <w:r w:rsidR="00A95C27" w:rsidRPr="00C41814">
        <w:rPr>
          <w:rFonts w:asciiTheme="minorHAnsi" w:hAnsiTheme="minorHAnsi" w:cstheme="minorBidi"/>
          <w:i/>
          <w:szCs w:val="22"/>
        </w:rPr>
        <w:t>A starting threshol</w:t>
      </w:r>
      <w:r w:rsidR="00E87221" w:rsidRPr="00C41814">
        <w:rPr>
          <w:rFonts w:asciiTheme="minorHAnsi" w:hAnsiTheme="minorHAnsi" w:cstheme="minorBidi"/>
          <w:i/>
          <w:szCs w:val="22"/>
        </w:rPr>
        <w:t>d</w:t>
      </w:r>
      <w:r w:rsidR="00A95C27" w:rsidRPr="00C41814">
        <w:rPr>
          <w:rFonts w:asciiTheme="minorHAnsi" w:hAnsiTheme="minorHAnsi" w:cstheme="minorBidi"/>
          <w:i/>
          <w:szCs w:val="22"/>
        </w:rPr>
        <w:t xml:space="preserve">? </w:t>
      </w:r>
    </w:p>
    <w:p w14:paraId="092009BE" w14:textId="0110D7FE" w:rsidR="00A95C27" w:rsidRPr="00C41814" w:rsidRDefault="00A95C27" w:rsidP="008E5806">
      <w:pPr>
        <w:spacing w:after="200" w:line="360" w:lineRule="auto"/>
        <w:rPr>
          <w:rFonts w:asciiTheme="minorHAnsi" w:hAnsiTheme="minorHAnsi" w:cstheme="minorHAnsi"/>
          <w:szCs w:val="22"/>
        </w:rPr>
      </w:pPr>
      <w:r w:rsidRPr="00C41814">
        <w:rPr>
          <w:rFonts w:asciiTheme="minorHAnsi" w:hAnsiTheme="minorHAnsi" w:cstheme="minorBidi"/>
          <w:szCs w:val="22"/>
        </w:rPr>
        <w:t>Based on the interview data as well as the</w:t>
      </w:r>
      <w:r w:rsidR="00E87221" w:rsidRPr="00C41814">
        <w:rPr>
          <w:rFonts w:asciiTheme="minorHAnsi" w:hAnsiTheme="minorHAnsi" w:cstheme="minorBidi"/>
          <w:szCs w:val="22"/>
        </w:rPr>
        <w:t xml:space="preserve"> survey</w:t>
      </w:r>
      <w:r w:rsidRPr="00C41814">
        <w:rPr>
          <w:rFonts w:asciiTheme="minorHAnsi" w:hAnsiTheme="minorHAnsi" w:cstheme="minorBidi"/>
          <w:szCs w:val="22"/>
        </w:rPr>
        <w:t xml:space="preserve"> free-text comments, CGs appear to hold an intermediate status between being determinative and non-determinative evidence for establishing the standard of care. Generally, CGs were seen as the “starting point” or “threshold” for informing the expected standard of care: “</w:t>
      </w:r>
      <w:r w:rsidRPr="00C41814">
        <w:rPr>
          <w:rFonts w:asciiTheme="minorHAnsi" w:hAnsiTheme="minorHAnsi" w:cstheme="minorBidi"/>
          <w:i/>
          <w:szCs w:val="22"/>
        </w:rPr>
        <w:t>Clinical guidelines are a good tool for</w:t>
      </w:r>
      <w:r w:rsidR="00E87221" w:rsidRPr="00C41814">
        <w:rPr>
          <w:rFonts w:asciiTheme="minorHAnsi" w:hAnsiTheme="minorHAnsi" w:cstheme="minorBidi"/>
          <w:i/>
          <w:szCs w:val="22"/>
        </w:rPr>
        <w:t xml:space="preserve"> starting</w:t>
      </w:r>
      <w:r w:rsidR="006D1E38" w:rsidRPr="00C41814">
        <w:rPr>
          <w:rFonts w:asciiTheme="minorHAnsi" w:hAnsiTheme="minorHAnsi" w:cstheme="minorBidi"/>
          <w:i/>
          <w:szCs w:val="22"/>
        </w:rPr>
        <w:t xml:space="preserve"> to</w:t>
      </w:r>
      <w:r w:rsidRPr="00C41814">
        <w:rPr>
          <w:rFonts w:asciiTheme="minorHAnsi" w:hAnsiTheme="minorHAnsi" w:cstheme="minorBidi"/>
          <w:i/>
          <w:szCs w:val="22"/>
        </w:rPr>
        <w:t xml:space="preserve"> assess the standard of care</w:t>
      </w:r>
      <w:r w:rsidR="006D1E38" w:rsidRPr="00C41814">
        <w:rPr>
          <w:rFonts w:asciiTheme="minorHAnsi" w:hAnsiTheme="minorHAnsi" w:cstheme="minorBidi"/>
          <w:i/>
          <w:szCs w:val="22"/>
        </w:rPr>
        <w:t>….</w:t>
      </w:r>
      <w:r w:rsidRPr="00C41814">
        <w:rPr>
          <w:rFonts w:asciiTheme="minorHAnsi" w:hAnsiTheme="minorHAnsi" w:cstheme="minorBidi"/>
          <w:i/>
          <w:szCs w:val="22"/>
        </w:rPr>
        <w:t>guidelines should not be applied rigidly.</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7"/>
      </w:r>
      <w:r w:rsidRPr="00C41814">
        <w:rPr>
          <w:rFonts w:asciiTheme="minorHAnsi" w:hAnsiTheme="minorHAnsi" w:cstheme="minorBidi"/>
          <w:szCs w:val="22"/>
        </w:rPr>
        <w:t xml:space="preserve"> There was (almost) a </w:t>
      </w:r>
      <w:r w:rsidRPr="00C41814">
        <w:rPr>
          <w:rFonts w:asciiTheme="minorHAnsi" w:hAnsiTheme="minorHAnsi" w:cstheme="minorBidi"/>
          <w:i/>
          <w:szCs w:val="22"/>
        </w:rPr>
        <w:t xml:space="preserve">prima facie </w:t>
      </w:r>
      <w:r w:rsidRPr="00C41814">
        <w:rPr>
          <w:rFonts w:asciiTheme="minorHAnsi" w:hAnsiTheme="minorHAnsi" w:cstheme="minorBidi"/>
          <w:szCs w:val="22"/>
        </w:rPr>
        <w:t>presumption that guidelines reflected the benchmark against which practice could be measured</w:t>
      </w:r>
      <w:r w:rsidR="006D1E38" w:rsidRPr="00C41814">
        <w:rPr>
          <w:rFonts w:asciiTheme="minorHAnsi" w:hAnsiTheme="minorHAnsi" w:cstheme="minorBidi"/>
          <w:szCs w:val="22"/>
        </w:rPr>
        <w:t>,</w:t>
      </w:r>
      <w:r w:rsidRPr="00C41814">
        <w:rPr>
          <w:rFonts w:asciiTheme="minorHAnsi" w:hAnsiTheme="minorHAnsi" w:cstheme="minorBidi"/>
          <w:szCs w:val="22"/>
        </w:rPr>
        <w:t xml:space="preserve"> particularly  national guidelines from authoritative bodies: “</w:t>
      </w:r>
      <w:r w:rsidRPr="00C41814">
        <w:rPr>
          <w:rFonts w:asciiTheme="minorHAnsi" w:hAnsiTheme="minorHAnsi" w:cstheme="minorBidi"/>
          <w:i/>
          <w:szCs w:val="22"/>
        </w:rPr>
        <w:t>Clinical guidance is always helpful in a case.  The NICE guidelines especially are incredibly user friendly and detailed.</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8"/>
      </w:r>
      <w:r w:rsidRPr="00C41814">
        <w:rPr>
          <w:rFonts w:asciiTheme="minorHAnsi" w:hAnsiTheme="minorHAnsi" w:cstheme="minorBidi"/>
          <w:szCs w:val="22"/>
        </w:rPr>
        <w:t xml:space="preserve"> Some participants suggested that “</w:t>
      </w:r>
      <w:r w:rsidRPr="00C41814">
        <w:rPr>
          <w:rFonts w:asciiTheme="minorHAnsi" w:hAnsiTheme="minorHAnsi" w:cstheme="minorBidi"/>
          <w:i/>
          <w:szCs w:val="22"/>
        </w:rPr>
        <w:t xml:space="preserve">compelling </w:t>
      </w:r>
      <w:r w:rsidRPr="00C41814">
        <w:rPr>
          <w:rFonts w:asciiTheme="minorHAnsi" w:hAnsiTheme="minorHAnsi" w:cstheme="minorBidi"/>
          <w:i/>
          <w:szCs w:val="22"/>
        </w:rPr>
        <w:lastRenderedPageBreak/>
        <w:t>evidence</w:t>
      </w:r>
      <w:r w:rsidRPr="00C41814">
        <w:rPr>
          <w:rFonts w:asciiTheme="minorHAnsi" w:hAnsiTheme="minorHAnsi" w:cstheme="minorBidi"/>
          <w:szCs w:val="22"/>
        </w:rPr>
        <w:t>” would be necessary to justify any deviation. It was asserted that as a general rule, clinicians should not depart from evidence-based guidelines without cogent reason.</w:t>
      </w:r>
    </w:p>
    <w:p w14:paraId="2D226F2E" w14:textId="0C16675A"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HAnsi"/>
          <w:szCs w:val="22"/>
        </w:rPr>
        <w:t>From the perspectives of participants, whilst CGs may not be determinative of the standard of care, they w</w:t>
      </w:r>
      <w:r w:rsidR="005C202F" w:rsidRPr="00C41814">
        <w:rPr>
          <w:rFonts w:asciiTheme="minorHAnsi" w:hAnsiTheme="minorHAnsi" w:cstheme="minorHAnsi"/>
          <w:szCs w:val="22"/>
        </w:rPr>
        <w:t xml:space="preserve">ill </w:t>
      </w:r>
      <w:r w:rsidRPr="00C41814">
        <w:rPr>
          <w:rFonts w:asciiTheme="minorHAnsi" w:hAnsiTheme="minorHAnsi" w:cstheme="minorHAnsi"/>
          <w:szCs w:val="22"/>
        </w:rPr>
        <w:t xml:space="preserve">almost certainly inform the standard of reasonableness and more likely than not act as a starting point to assess whether the threshold for the standard had been met. Nevertheless, it </w:t>
      </w:r>
      <w:r w:rsidR="005C202F" w:rsidRPr="00C41814">
        <w:rPr>
          <w:rFonts w:asciiTheme="minorHAnsi" w:hAnsiTheme="minorHAnsi" w:cstheme="minorHAnsi"/>
          <w:szCs w:val="22"/>
        </w:rPr>
        <w:t xml:space="preserve">is </w:t>
      </w:r>
      <w:r w:rsidRPr="00C41814">
        <w:rPr>
          <w:rFonts w:asciiTheme="minorHAnsi" w:hAnsiTheme="minorHAnsi" w:cstheme="minorHAnsi"/>
          <w:szCs w:val="22"/>
        </w:rPr>
        <w:t xml:space="preserve">often their use as supportive evidence that </w:t>
      </w:r>
      <w:r w:rsidR="005C202F" w:rsidRPr="00C41814">
        <w:rPr>
          <w:rFonts w:asciiTheme="minorHAnsi" w:hAnsiTheme="minorHAnsi" w:cstheme="minorHAnsi"/>
          <w:szCs w:val="22"/>
        </w:rPr>
        <w:t xml:space="preserve">is </w:t>
      </w:r>
      <w:r w:rsidRPr="00C41814">
        <w:rPr>
          <w:rFonts w:asciiTheme="minorHAnsi" w:hAnsiTheme="minorHAnsi" w:cstheme="minorHAnsi"/>
          <w:szCs w:val="22"/>
        </w:rPr>
        <w:t xml:space="preserve">the crux: </w:t>
      </w:r>
      <w:r w:rsidRPr="00C41814">
        <w:rPr>
          <w:rFonts w:asciiTheme="minorHAnsi" w:hAnsiTheme="minorHAnsi" w:cstheme="minorBidi"/>
          <w:szCs w:val="22"/>
        </w:rPr>
        <w:t>“</w:t>
      </w:r>
      <w:r w:rsidRPr="00C41814">
        <w:rPr>
          <w:rFonts w:asciiTheme="minorHAnsi" w:hAnsiTheme="minorHAnsi" w:cstheme="minorBidi"/>
          <w:i/>
          <w:szCs w:val="22"/>
        </w:rPr>
        <w:t>It is rare to come across a case where liability could be assessed by a lawyer or judge on the basis of applying clinical guidelines alone. The [clinical guidelines] sometimes form useful background material in support of arguments.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79"/>
      </w:r>
      <w:r w:rsidRPr="00C41814">
        <w:rPr>
          <w:rFonts w:asciiTheme="minorHAnsi" w:hAnsiTheme="minorHAnsi" w:cstheme="minorBidi"/>
          <w:szCs w:val="22"/>
        </w:rPr>
        <w:t xml:space="preserve"> In similar vein, the courts recognise the usefulness of evidence-based guidance as a starting point.  In </w:t>
      </w:r>
      <w:r w:rsidRPr="00C41814">
        <w:rPr>
          <w:rFonts w:asciiTheme="minorHAnsi" w:hAnsiTheme="minorHAnsi" w:cstheme="minorBidi"/>
          <w:i/>
          <w:szCs w:val="22"/>
        </w:rPr>
        <w:t>C v North Cumbria</w:t>
      </w:r>
      <w:r w:rsidRPr="00C41814">
        <w:rPr>
          <w:rFonts w:asciiTheme="minorHAnsi" w:hAnsiTheme="minorHAnsi" w:cstheme="minorBidi"/>
          <w:szCs w:val="22"/>
        </w:rPr>
        <w:t>,</w:t>
      </w:r>
      <w:r w:rsidRPr="00C41814">
        <w:rPr>
          <w:rFonts w:asciiTheme="minorHAnsi" w:hAnsiTheme="minorHAnsi" w:cstheme="minorBidi"/>
          <w:szCs w:val="22"/>
          <w:vertAlign w:val="superscript"/>
        </w:rPr>
        <w:t xml:space="preserve"> </w:t>
      </w:r>
      <w:r w:rsidRPr="00C41814">
        <w:rPr>
          <w:rFonts w:asciiTheme="minorHAnsi" w:hAnsiTheme="minorHAnsi" w:cstheme="minorBidi"/>
          <w:szCs w:val="22"/>
          <w:vertAlign w:val="superscript"/>
        </w:rPr>
        <w:footnoteReference w:id="80"/>
      </w:r>
      <w:r w:rsidRPr="00C41814">
        <w:rPr>
          <w:rFonts w:asciiTheme="minorHAnsi" w:hAnsiTheme="minorHAnsi" w:cstheme="minorBidi"/>
          <w:szCs w:val="22"/>
        </w:rPr>
        <w:t xml:space="preserve"> a midwife </w:t>
      </w:r>
      <w:r w:rsidR="003758E8" w:rsidRPr="00C41814">
        <w:rPr>
          <w:rFonts w:asciiTheme="minorHAnsi" w:hAnsiTheme="minorHAnsi" w:cstheme="minorBidi"/>
          <w:szCs w:val="22"/>
        </w:rPr>
        <w:t xml:space="preserve">was found </w:t>
      </w:r>
      <w:r w:rsidRPr="00C41814">
        <w:rPr>
          <w:rFonts w:asciiTheme="minorHAnsi" w:hAnsiTheme="minorHAnsi" w:cstheme="minorBidi"/>
          <w:szCs w:val="22"/>
        </w:rPr>
        <w:t xml:space="preserve">not </w:t>
      </w:r>
      <w:r w:rsidR="003758E8" w:rsidRPr="00C41814">
        <w:rPr>
          <w:rFonts w:asciiTheme="minorHAnsi" w:hAnsiTheme="minorHAnsi" w:cstheme="minorBidi"/>
          <w:szCs w:val="22"/>
        </w:rPr>
        <w:t xml:space="preserve">to have </w:t>
      </w:r>
      <w:r w:rsidRPr="00C41814">
        <w:rPr>
          <w:rFonts w:asciiTheme="minorHAnsi" w:hAnsiTheme="minorHAnsi" w:cstheme="minorBidi"/>
          <w:szCs w:val="22"/>
        </w:rPr>
        <w:t xml:space="preserve">been negligent in administering a second dose of </w:t>
      </w:r>
      <w:proofErr w:type="spellStart"/>
      <w:r w:rsidRPr="00C41814">
        <w:rPr>
          <w:rFonts w:asciiTheme="minorHAnsi" w:hAnsiTheme="minorHAnsi" w:cstheme="minorBidi"/>
          <w:szCs w:val="22"/>
        </w:rPr>
        <w:t>prostin</w:t>
      </w:r>
      <w:proofErr w:type="spellEnd"/>
      <w:r w:rsidRPr="00C41814">
        <w:rPr>
          <w:rFonts w:asciiTheme="minorHAnsi" w:hAnsiTheme="minorHAnsi" w:cstheme="minorBidi"/>
          <w:szCs w:val="22"/>
        </w:rPr>
        <w:t xml:space="preserve"> (a drug used to stimulate contractions) during a difficult delivery. Green J held that nationally respected guidelines were intended to be relied upon. The defendant had acted in accordance with guidance from the Data Sheet of the drug as well as the British National Formulary that suggest</w:t>
      </w:r>
      <w:r w:rsidR="0080021D" w:rsidRPr="00C41814">
        <w:rPr>
          <w:rFonts w:asciiTheme="minorHAnsi" w:hAnsiTheme="minorHAnsi" w:cstheme="minorBidi"/>
          <w:szCs w:val="22"/>
        </w:rPr>
        <w:t>ed</w:t>
      </w:r>
      <w:r w:rsidRPr="00C41814">
        <w:rPr>
          <w:rFonts w:asciiTheme="minorHAnsi" w:hAnsiTheme="minorHAnsi" w:cstheme="minorBidi"/>
          <w:szCs w:val="22"/>
        </w:rPr>
        <w:t xml:space="preserve"> a second dose </w:t>
      </w:r>
      <w:r w:rsidR="0080021D" w:rsidRPr="00C41814">
        <w:rPr>
          <w:rFonts w:asciiTheme="minorHAnsi" w:hAnsiTheme="minorHAnsi" w:cstheme="minorBidi"/>
          <w:szCs w:val="22"/>
        </w:rPr>
        <w:t xml:space="preserve">could </w:t>
      </w:r>
      <w:r w:rsidRPr="00C41814">
        <w:rPr>
          <w:rFonts w:asciiTheme="minorHAnsi" w:hAnsiTheme="minorHAnsi" w:cstheme="minorBidi"/>
          <w:szCs w:val="22"/>
        </w:rPr>
        <w:t xml:space="preserve">be given if labour </w:t>
      </w:r>
      <w:r w:rsidR="0080021D" w:rsidRPr="00C41814">
        <w:rPr>
          <w:rFonts w:asciiTheme="minorHAnsi" w:hAnsiTheme="minorHAnsi" w:cstheme="minorBidi"/>
          <w:szCs w:val="22"/>
        </w:rPr>
        <w:t xml:space="preserve">was </w:t>
      </w:r>
      <w:r w:rsidRPr="00C41814">
        <w:rPr>
          <w:rFonts w:asciiTheme="minorHAnsi" w:hAnsiTheme="minorHAnsi" w:cstheme="minorBidi"/>
          <w:szCs w:val="22"/>
        </w:rPr>
        <w:t xml:space="preserve">not “established”: </w:t>
      </w:r>
    </w:p>
    <w:p w14:paraId="1D0FF12F" w14:textId="7B9D3582" w:rsidR="00A95C27" w:rsidRPr="00C41814" w:rsidRDefault="00A95C27" w:rsidP="008E5806">
      <w:pPr>
        <w:spacing w:after="200" w:line="360" w:lineRule="auto"/>
        <w:ind w:left="720" w:right="521"/>
        <w:rPr>
          <w:rFonts w:asciiTheme="minorHAnsi" w:hAnsiTheme="minorHAnsi" w:cstheme="minorBidi"/>
          <w:szCs w:val="22"/>
        </w:rPr>
      </w:pPr>
      <w:r w:rsidRPr="00C41814">
        <w:rPr>
          <w:rFonts w:asciiTheme="minorHAnsi" w:hAnsiTheme="minorHAnsi" w:cstheme="minorBidi"/>
          <w:szCs w:val="22"/>
        </w:rPr>
        <w:t>The Defendant points out that these guidelines have been approved by regulators and professional bodies. They are not merely informal documents produced by manufacturers. They are intended to be relied upon and should accordingly carry considerable weight in favour of a midwife who acts consistently with them.</w:t>
      </w:r>
      <w:r w:rsidR="008067BA" w:rsidRPr="00C41814">
        <w:rPr>
          <w:rStyle w:val="FootnoteReference"/>
          <w:rFonts w:asciiTheme="minorHAnsi" w:hAnsiTheme="minorHAnsi" w:cstheme="minorBidi"/>
          <w:szCs w:val="22"/>
        </w:rPr>
        <w:footnoteReference w:id="81"/>
      </w:r>
      <w:r w:rsidRPr="00C41814">
        <w:rPr>
          <w:rFonts w:asciiTheme="minorHAnsi" w:hAnsiTheme="minorHAnsi" w:cstheme="minorBidi"/>
          <w:szCs w:val="22"/>
        </w:rPr>
        <w:t xml:space="preserve"> </w:t>
      </w:r>
    </w:p>
    <w:p w14:paraId="07A457C4" w14:textId="5B51E899"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After </w:t>
      </w:r>
      <w:r w:rsidR="005C202F" w:rsidRPr="00C41814">
        <w:rPr>
          <w:rFonts w:asciiTheme="minorHAnsi" w:hAnsiTheme="minorHAnsi" w:cstheme="minorBidi"/>
          <w:szCs w:val="22"/>
        </w:rPr>
        <w:t xml:space="preserve">considering the facts fully, </w:t>
      </w:r>
      <w:r w:rsidRPr="00C41814">
        <w:rPr>
          <w:rFonts w:asciiTheme="minorHAnsi" w:hAnsiTheme="minorHAnsi" w:cstheme="minorBidi"/>
          <w:szCs w:val="22"/>
        </w:rPr>
        <w:t>the judge state</w:t>
      </w:r>
      <w:r w:rsidR="005C202F" w:rsidRPr="00C41814">
        <w:rPr>
          <w:rFonts w:asciiTheme="minorHAnsi" w:hAnsiTheme="minorHAnsi" w:cstheme="minorBidi"/>
          <w:szCs w:val="22"/>
        </w:rPr>
        <w:t>d</w:t>
      </w:r>
      <w:r w:rsidRPr="00C41814">
        <w:rPr>
          <w:rFonts w:asciiTheme="minorHAnsi" w:hAnsiTheme="minorHAnsi" w:cstheme="minorBidi"/>
          <w:szCs w:val="22"/>
        </w:rPr>
        <w:t>:</w:t>
      </w:r>
    </w:p>
    <w:p w14:paraId="46C7BCD0" w14:textId="7F9420B7" w:rsidR="00A95C27" w:rsidRPr="00C41814" w:rsidRDefault="00A95C27" w:rsidP="008E5806">
      <w:pPr>
        <w:spacing w:after="200" w:line="360" w:lineRule="auto"/>
        <w:ind w:left="720" w:right="521"/>
        <w:rPr>
          <w:rFonts w:asciiTheme="minorHAnsi" w:hAnsiTheme="minorHAnsi" w:cstheme="minorBidi"/>
          <w:szCs w:val="22"/>
        </w:rPr>
      </w:pPr>
      <w:r w:rsidRPr="00C41814">
        <w:rPr>
          <w:rFonts w:asciiTheme="minorHAnsi" w:hAnsiTheme="minorHAnsi" w:cstheme="minorBidi"/>
          <w:szCs w:val="22"/>
        </w:rPr>
        <w:t xml:space="preserve">In conclusion my view is that </w:t>
      </w:r>
      <w:r w:rsidRPr="00C41814">
        <w:rPr>
          <w:rFonts w:asciiTheme="minorHAnsi" w:hAnsiTheme="minorHAnsi" w:cstheme="minorBidi"/>
          <w:i/>
          <w:szCs w:val="22"/>
        </w:rPr>
        <w:t>prima facie</w:t>
      </w:r>
      <w:r w:rsidRPr="00C41814">
        <w:rPr>
          <w:rFonts w:asciiTheme="minorHAnsi" w:hAnsiTheme="minorHAnsi" w:cstheme="minorBidi"/>
          <w:szCs w:val="22"/>
        </w:rPr>
        <w:t xml:space="preserve"> a midwife who acts in accordance with the guidelines should be safe from a charge of negligence. However, in the present case since it is common ground that in some regards the guidelines are not satisfactory I do not decide this case upon the basis that adhering to guidelines is sufficient. I consider that the fact that Midwife Bragg acted in accordance with the guidelines is a factor militating against negligence but I also assess Midwife Bragg's conduct against the benchmark of the other surrounding facts and circumstances.</w:t>
      </w:r>
      <w:r w:rsidR="00171476" w:rsidRPr="00C41814">
        <w:rPr>
          <w:rStyle w:val="FootnoteReference"/>
          <w:rFonts w:asciiTheme="minorHAnsi" w:hAnsiTheme="minorHAnsi" w:cstheme="minorBidi"/>
          <w:szCs w:val="22"/>
        </w:rPr>
        <w:footnoteReference w:id="82"/>
      </w:r>
      <w:r w:rsidRPr="00C41814">
        <w:rPr>
          <w:rFonts w:asciiTheme="minorHAnsi" w:hAnsiTheme="minorHAnsi" w:cstheme="minorBidi"/>
          <w:szCs w:val="22"/>
        </w:rPr>
        <w:t xml:space="preserve"> </w:t>
      </w:r>
    </w:p>
    <w:p w14:paraId="77A363C2" w14:textId="03545CC7" w:rsidR="00A95C27" w:rsidRPr="00C41814" w:rsidRDefault="00B55DBA"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This begs the question as to how a reasonable </w:t>
      </w:r>
      <w:r w:rsidR="005647A9" w:rsidRPr="00C41814">
        <w:rPr>
          <w:rFonts w:asciiTheme="minorHAnsi" w:hAnsiTheme="minorHAnsi" w:cstheme="minorBidi"/>
          <w:szCs w:val="22"/>
        </w:rPr>
        <w:t xml:space="preserve">practitioner </w:t>
      </w:r>
      <w:r w:rsidRPr="00C41814">
        <w:rPr>
          <w:rFonts w:asciiTheme="minorHAnsi" w:hAnsiTheme="minorHAnsi" w:cstheme="minorBidi"/>
          <w:szCs w:val="22"/>
        </w:rPr>
        <w:t xml:space="preserve">in the defendant’s position could be expected to know that the guidelines </w:t>
      </w:r>
      <w:r w:rsidR="0080021D" w:rsidRPr="00C41814">
        <w:rPr>
          <w:rFonts w:asciiTheme="minorHAnsi" w:hAnsiTheme="minorHAnsi" w:cstheme="minorBidi"/>
          <w:szCs w:val="22"/>
        </w:rPr>
        <w:t>were ‘</w:t>
      </w:r>
      <w:r w:rsidRPr="00C41814">
        <w:rPr>
          <w:rFonts w:asciiTheme="minorHAnsi" w:hAnsiTheme="minorHAnsi" w:cstheme="minorBidi"/>
          <w:szCs w:val="22"/>
        </w:rPr>
        <w:t xml:space="preserve">not satisfactory.’ By definition medical negligence disputes are </w:t>
      </w:r>
      <w:r w:rsidR="0080021D" w:rsidRPr="00C41814">
        <w:rPr>
          <w:rFonts w:asciiTheme="minorHAnsi" w:hAnsiTheme="minorHAnsi" w:cstheme="minorBidi"/>
          <w:szCs w:val="22"/>
        </w:rPr>
        <w:t xml:space="preserve">examined </w:t>
      </w:r>
      <w:r w:rsidRPr="00C41814">
        <w:rPr>
          <w:rFonts w:asciiTheme="minorHAnsi" w:hAnsiTheme="minorHAnsi" w:cstheme="minorBidi"/>
          <w:szCs w:val="22"/>
        </w:rPr>
        <w:t xml:space="preserve">forensically </w:t>
      </w:r>
      <w:r w:rsidR="0080021D" w:rsidRPr="00C41814">
        <w:rPr>
          <w:rFonts w:asciiTheme="minorHAnsi" w:hAnsiTheme="minorHAnsi" w:cstheme="minorBidi"/>
          <w:szCs w:val="22"/>
        </w:rPr>
        <w:t xml:space="preserve">only </w:t>
      </w:r>
      <w:r w:rsidRPr="00C41814">
        <w:rPr>
          <w:rFonts w:asciiTheme="minorHAnsi" w:hAnsiTheme="minorHAnsi" w:cstheme="minorBidi"/>
          <w:szCs w:val="22"/>
        </w:rPr>
        <w:t xml:space="preserve">after the event and with the </w:t>
      </w:r>
      <w:r w:rsidR="005647A9" w:rsidRPr="00C41814">
        <w:rPr>
          <w:rFonts w:asciiTheme="minorHAnsi" w:hAnsiTheme="minorHAnsi" w:cstheme="minorBidi"/>
          <w:szCs w:val="22"/>
        </w:rPr>
        <w:t xml:space="preserve">full </w:t>
      </w:r>
      <w:r w:rsidRPr="00C41814">
        <w:rPr>
          <w:rFonts w:asciiTheme="minorHAnsi" w:hAnsiTheme="minorHAnsi" w:cstheme="minorBidi"/>
          <w:szCs w:val="22"/>
        </w:rPr>
        <w:t>benefit of hindsight</w:t>
      </w:r>
      <w:r w:rsidR="005647A9" w:rsidRPr="00C41814">
        <w:rPr>
          <w:rFonts w:asciiTheme="minorHAnsi" w:hAnsiTheme="minorHAnsi" w:cstheme="minorBidi"/>
          <w:szCs w:val="22"/>
        </w:rPr>
        <w:t xml:space="preserve"> and expert </w:t>
      </w:r>
      <w:r w:rsidR="005647A9" w:rsidRPr="00C41814">
        <w:rPr>
          <w:rFonts w:asciiTheme="minorHAnsi" w:hAnsiTheme="minorHAnsi" w:cstheme="minorBidi"/>
          <w:szCs w:val="22"/>
        </w:rPr>
        <w:lastRenderedPageBreak/>
        <w:t xml:space="preserve">evidence. </w:t>
      </w:r>
      <w:r w:rsidR="0080021D" w:rsidRPr="00C41814">
        <w:rPr>
          <w:rFonts w:asciiTheme="minorHAnsi" w:hAnsiTheme="minorHAnsi" w:cstheme="minorBidi"/>
          <w:szCs w:val="22"/>
        </w:rPr>
        <w:t xml:space="preserve"> </w:t>
      </w:r>
      <w:r w:rsidR="006D1E38" w:rsidRPr="00C41814">
        <w:rPr>
          <w:rFonts w:asciiTheme="minorHAnsi" w:hAnsiTheme="minorHAnsi" w:cstheme="minorBidi"/>
          <w:szCs w:val="22"/>
        </w:rPr>
        <w:t>Although</w:t>
      </w:r>
      <w:r w:rsidR="0080021D" w:rsidRPr="00C41814">
        <w:rPr>
          <w:rFonts w:asciiTheme="minorHAnsi" w:hAnsiTheme="minorHAnsi" w:cstheme="minorBidi"/>
          <w:szCs w:val="22"/>
        </w:rPr>
        <w:t xml:space="preserve"> o</w:t>
      </w:r>
      <w:r w:rsidR="005647A9" w:rsidRPr="00C41814">
        <w:rPr>
          <w:rFonts w:asciiTheme="minorHAnsi" w:hAnsiTheme="minorHAnsi" w:cstheme="minorBidi"/>
          <w:szCs w:val="22"/>
        </w:rPr>
        <w:t>ne way might be for clinician</w:t>
      </w:r>
      <w:r w:rsidR="0080021D" w:rsidRPr="00C41814">
        <w:rPr>
          <w:rFonts w:asciiTheme="minorHAnsi" w:hAnsiTheme="minorHAnsi" w:cstheme="minorBidi"/>
          <w:szCs w:val="22"/>
        </w:rPr>
        <w:t>s</w:t>
      </w:r>
      <w:r w:rsidR="005647A9" w:rsidRPr="00C41814">
        <w:rPr>
          <w:rFonts w:asciiTheme="minorHAnsi" w:hAnsiTheme="minorHAnsi" w:cstheme="minorBidi"/>
          <w:szCs w:val="22"/>
        </w:rPr>
        <w:t xml:space="preserve"> to seek further opinion from colleagues where there is clinical doubt</w:t>
      </w:r>
      <w:r w:rsidR="006D1E38" w:rsidRPr="00C41814">
        <w:rPr>
          <w:rFonts w:asciiTheme="minorHAnsi" w:hAnsiTheme="minorHAnsi" w:cstheme="minorBidi"/>
          <w:szCs w:val="22"/>
        </w:rPr>
        <w:t>,</w:t>
      </w:r>
      <w:r w:rsidR="00A94AD9" w:rsidRPr="00C41814">
        <w:rPr>
          <w:rFonts w:asciiTheme="minorHAnsi" w:hAnsiTheme="minorHAnsi" w:cstheme="minorBidi"/>
          <w:szCs w:val="22"/>
        </w:rPr>
        <w:t xml:space="preserve"> this might not be possible in every situation</w:t>
      </w:r>
      <w:r w:rsidR="005647A9" w:rsidRPr="00C41814">
        <w:rPr>
          <w:rFonts w:asciiTheme="minorHAnsi" w:hAnsiTheme="minorHAnsi" w:cstheme="minorBidi"/>
          <w:szCs w:val="22"/>
        </w:rPr>
        <w:t xml:space="preserve">.  </w:t>
      </w:r>
      <w:r w:rsidR="00607CF0" w:rsidRPr="00C41814">
        <w:rPr>
          <w:rFonts w:asciiTheme="minorHAnsi" w:hAnsiTheme="minorHAnsi" w:cstheme="minorBidi"/>
          <w:szCs w:val="22"/>
        </w:rPr>
        <w:t xml:space="preserve">In </w:t>
      </w:r>
      <w:r w:rsidR="005647A9" w:rsidRPr="00C41814">
        <w:rPr>
          <w:rFonts w:asciiTheme="minorHAnsi" w:hAnsiTheme="minorHAnsi" w:cstheme="minorBidi"/>
          <w:i/>
          <w:szCs w:val="22"/>
        </w:rPr>
        <w:t>C</w:t>
      </w:r>
      <w:r w:rsidR="005647A9" w:rsidRPr="00C41814">
        <w:rPr>
          <w:rFonts w:asciiTheme="minorHAnsi" w:hAnsiTheme="minorHAnsi" w:cstheme="minorBidi"/>
          <w:szCs w:val="22"/>
        </w:rPr>
        <w:t xml:space="preserve"> </w:t>
      </w:r>
      <w:r w:rsidR="00A95C27" w:rsidRPr="00C41814">
        <w:rPr>
          <w:rFonts w:asciiTheme="minorHAnsi" w:hAnsiTheme="minorHAnsi" w:cstheme="minorBidi"/>
          <w:szCs w:val="22"/>
        </w:rPr>
        <w:t xml:space="preserve">the guidance </w:t>
      </w:r>
      <w:r w:rsidR="00C5728A" w:rsidRPr="00C41814">
        <w:rPr>
          <w:rFonts w:asciiTheme="minorHAnsi" w:hAnsiTheme="minorHAnsi" w:cstheme="minorBidi"/>
          <w:szCs w:val="22"/>
        </w:rPr>
        <w:t xml:space="preserve">was seen to </w:t>
      </w:r>
      <w:r w:rsidR="00607CF0" w:rsidRPr="00C41814">
        <w:rPr>
          <w:rFonts w:asciiTheme="minorHAnsi" w:hAnsiTheme="minorHAnsi" w:cstheme="minorBidi"/>
          <w:szCs w:val="22"/>
        </w:rPr>
        <w:t xml:space="preserve">represent the </w:t>
      </w:r>
      <w:r w:rsidR="00A95C27" w:rsidRPr="00C41814">
        <w:rPr>
          <w:rFonts w:asciiTheme="minorHAnsi" w:hAnsiTheme="minorHAnsi" w:cstheme="minorBidi"/>
          <w:szCs w:val="22"/>
        </w:rPr>
        <w:t xml:space="preserve">“starting point” or threshold for </w:t>
      </w:r>
      <w:r w:rsidR="00A94AD9" w:rsidRPr="00C41814">
        <w:rPr>
          <w:rFonts w:asciiTheme="minorHAnsi" w:hAnsiTheme="minorHAnsi" w:cstheme="minorBidi"/>
          <w:szCs w:val="22"/>
        </w:rPr>
        <w:t xml:space="preserve">a </w:t>
      </w:r>
      <w:r w:rsidR="00A95C27" w:rsidRPr="00C41814">
        <w:rPr>
          <w:rFonts w:asciiTheme="minorHAnsi" w:hAnsiTheme="minorHAnsi" w:cstheme="minorBidi"/>
          <w:szCs w:val="22"/>
        </w:rPr>
        <w:t xml:space="preserve">more detailed examination of the standard against which breach of duty </w:t>
      </w:r>
      <w:r w:rsidR="00EE45F0" w:rsidRPr="00C41814">
        <w:rPr>
          <w:rFonts w:asciiTheme="minorHAnsi" w:hAnsiTheme="minorHAnsi" w:cstheme="minorBidi"/>
          <w:szCs w:val="22"/>
        </w:rPr>
        <w:t xml:space="preserve">would </w:t>
      </w:r>
      <w:r w:rsidR="00A95C27" w:rsidRPr="00C41814">
        <w:rPr>
          <w:rFonts w:asciiTheme="minorHAnsi" w:hAnsiTheme="minorHAnsi" w:cstheme="minorBidi"/>
          <w:szCs w:val="22"/>
        </w:rPr>
        <w:t>be measured</w:t>
      </w:r>
      <w:r w:rsidR="005647A9" w:rsidRPr="00C41814">
        <w:rPr>
          <w:rFonts w:asciiTheme="minorHAnsi" w:hAnsiTheme="minorHAnsi" w:cstheme="minorBidi"/>
          <w:szCs w:val="22"/>
        </w:rPr>
        <w:t xml:space="preserve"> and </w:t>
      </w:r>
      <w:r w:rsidR="00A95C27" w:rsidRPr="00C41814">
        <w:rPr>
          <w:rFonts w:asciiTheme="minorHAnsi" w:hAnsiTheme="minorHAnsi" w:cstheme="minorBidi"/>
          <w:szCs w:val="22"/>
        </w:rPr>
        <w:t>required “</w:t>
      </w:r>
      <w:r w:rsidR="00A95C27" w:rsidRPr="00C41814">
        <w:rPr>
          <w:rFonts w:asciiTheme="minorHAnsi" w:hAnsiTheme="minorHAnsi" w:cstheme="minorBidi"/>
          <w:i/>
          <w:szCs w:val="22"/>
        </w:rPr>
        <w:t>a balancing of risks and benefits such that if the guidelines are adhered to then that is inherently likely to reflect a properly balanced (reasonable) decision</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83"/>
      </w:r>
      <w:r w:rsidR="00A95C27" w:rsidRPr="00C41814">
        <w:rPr>
          <w:rFonts w:asciiTheme="minorHAnsi" w:hAnsiTheme="minorHAnsi" w:cstheme="minorBidi"/>
          <w:szCs w:val="22"/>
        </w:rPr>
        <w:t xml:space="preserve"> Acting in accordance with guidance was a factor mitigating negligence. However, other facts and circumstances had to be assessed against this benchmark.</w:t>
      </w:r>
      <w:r w:rsidR="00A95C27" w:rsidRPr="00C41814">
        <w:rPr>
          <w:rFonts w:asciiTheme="minorHAnsi" w:hAnsiTheme="minorHAnsi" w:cstheme="minorBidi"/>
          <w:szCs w:val="22"/>
          <w:vertAlign w:val="superscript"/>
        </w:rPr>
        <w:footnoteReference w:id="84"/>
      </w:r>
    </w:p>
    <w:p w14:paraId="5236EE67" w14:textId="26958AAE" w:rsidR="00A95C27" w:rsidRPr="00C41814" w:rsidRDefault="004C76A2" w:rsidP="008E5806">
      <w:pPr>
        <w:spacing w:after="200" w:line="360" w:lineRule="auto"/>
        <w:rPr>
          <w:rFonts w:asciiTheme="minorHAnsi" w:hAnsiTheme="minorHAnsi" w:cstheme="minorHAnsi"/>
          <w:szCs w:val="22"/>
        </w:rPr>
      </w:pPr>
      <w:r w:rsidRPr="00C41814">
        <w:rPr>
          <w:rFonts w:asciiTheme="minorHAnsi" w:hAnsiTheme="minorHAnsi" w:cstheme="minorHAnsi"/>
          <w:szCs w:val="22"/>
        </w:rPr>
        <w:t>O</w:t>
      </w:r>
      <w:r w:rsidR="006D1E38" w:rsidRPr="00C41814">
        <w:rPr>
          <w:rFonts w:asciiTheme="minorHAnsi" w:hAnsiTheme="minorHAnsi" w:cstheme="minorHAnsi"/>
          <w:szCs w:val="22"/>
        </w:rPr>
        <w:t>ur</w:t>
      </w:r>
      <w:r w:rsidR="00A95C27" w:rsidRPr="00C41814">
        <w:rPr>
          <w:rFonts w:asciiTheme="minorHAnsi" w:hAnsiTheme="minorHAnsi" w:cstheme="minorHAnsi"/>
          <w:szCs w:val="22"/>
        </w:rPr>
        <w:t xml:space="preserve"> study support</w:t>
      </w:r>
      <w:r w:rsidRPr="00C41814">
        <w:rPr>
          <w:rFonts w:asciiTheme="minorHAnsi" w:hAnsiTheme="minorHAnsi" w:cstheme="minorHAnsi"/>
          <w:szCs w:val="22"/>
        </w:rPr>
        <w:t>s</w:t>
      </w:r>
      <w:r w:rsidR="00A95C27" w:rsidRPr="00C41814">
        <w:rPr>
          <w:rFonts w:asciiTheme="minorHAnsi" w:hAnsiTheme="minorHAnsi" w:cstheme="minorHAnsi"/>
          <w:szCs w:val="22"/>
        </w:rPr>
        <w:t xml:space="preserve"> the contention that the unique facts of each case provide nuanced layers </w:t>
      </w:r>
      <w:r w:rsidR="00A94AD9" w:rsidRPr="00C41814">
        <w:rPr>
          <w:rFonts w:asciiTheme="minorHAnsi" w:hAnsiTheme="minorHAnsi" w:cstheme="minorHAnsi"/>
          <w:szCs w:val="22"/>
        </w:rPr>
        <w:t xml:space="preserve">to </w:t>
      </w:r>
      <w:r w:rsidR="006D1E38" w:rsidRPr="00C41814">
        <w:rPr>
          <w:rFonts w:asciiTheme="minorHAnsi" w:hAnsiTheme="minorHAnsi" w:cstheme="minorHAnsi"/>
          <w:szCs w:val="22"/>
        </w:rPr>
        <w:t>the analysis of breach of duty.</w:t>
      </w:r>
      <w:r w:rsidR="00A95C27" w:rsidRPr="00C41814">
        <w:rPr>
          <w:rFonts w:asciiTheme="minorHAnsi" w:hAnsiTheme="minorHAnsi" w:cstheme="minorHAnsi"/>
          <w:szCs w:val="22"/>
        </w:rPr>
        <w:t xml:space="preserve"> </w:t>
      </w:r>
      <w:r w:rsidR="006D1E38" w:rsidRPr="00C41814">
        <w:rPr>
          <w:rFonts w:asciiTheme="minorHAnsi" w:hAnsiTheme="minorHAnsi" w:cstheme="minorHAnsi"/>
          <w:szCs w:val="22"/>
        </w:rPr>
        <w:t>It was</w:t>
      </w:r>
      <w:r w:rsidR="00A95C27" w:rsidRPr="00C41814">
        <w:rPr>
          <w:rFonts w:asciiTheme="minorHAnsi" w:hAnsiTheme="minorHAnsi" w:cstheme="minorHAnsi"/>
          <w:szCs w:val="22"/>
        </w:rPr>
        <w:t xml:space="preserve"> unlikely</w:t>
      </w:r>
      <w:r w:rsidR="006D1E38" w:rsidRPr="00C41814">
        <w:rPr>
          <w:rFonts w:asciiTheme="minorHAnsi" w:hAnsiTheme="minorHAnsi" w:cstheme="minorHAnsi"/>
          <w:szCs w:val="22"/>
        </w:rPr>
        <w:t xml:space="preserve"> that CGs would </w:t>
      </w:r>
      <w:r w:rsidR="00A95C27" w:rsidRPr="00C41814">
        <w:rPr>
          <w:rFonts w:asciiTheme="minorHAnsi" w:hAnsiTheme="minorHAnsi" w:cstheme="minorHAnsi"/>
          <w:szCs w:val="22"/>
        </w:rPr>
        <w:t xml:space="preserve">replace expert witness testimony: </w:t>
      </w:r>
      <w:r w:rsidR="00A95C27" w:rsidRPr="00C41814">
        <w:rPr>
          <w:rFonts w:asciiTheme="minorHAnsi" w:hAnsiTheme="minorHAnsi" w:cstheme="minorBidi"/>
          <w:szCs w:val="22"/>
        </w:rPr>
        <w:t>“</w:t>
      </w:r>
      <w:r w:rsidR="00A95C27" w:rsidRPr="00C41814">
        <w:rPr>
          <w:rFonts w:asciiTheme="minorHAnsi" w:hAnsiTheme="minorHAnsi" w:cstheme="minorBidi"/>
          <w:i/>
          <w:szCs w:val="22"/>
        </w:rPr>
        <w:t>Guidelines might reflect only one reasonable body of opinion … there might well be another reasonable body which is not represented on the drafting committee</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85"/>
      </w:r>
      <w:r w:rsidR="00A95C27" w:rsidRPr="00C41814">
        <w:rPr>
          <w:rFonts w:asciiTheme="minorHAnsi" w:hAnsiTheme="minorHAnsi" w:cstheme="minorBidi"/>
          <w:szCs w:val="22"/>
        </w:rPr>
        <w:t xml:space="preserve"> an</w:t>
      </w:r>
      <w:r w:rsidR="00B630A9" w:rsidRPr="00C41814">
        <w:rPr>
          <w:rFonts w:asciiTheme="minorHAnsi" w:hAnsiTheme="minorHAnsi" w:cstheme="minorBidi"/>
          <w:szCs w:val="22"/>
        </w:rPr>
        <w:t>d,</w:t>
      </w:r>
      <w:r w:rsidR="00A95C27" w:rsidRPr="00C41814">
        <w:rPr>
          <w:rFonts w:asciiTheme="minorHAnsi" w:hAnsiTheme="minorHAnsi" w:cstheme="minorBidi"/>
          <w:szCs w:val="22"/>
        </w:rPr>
        <w:t xml:space="preserve"> “</w:t>
      </w:r>
      <w:r w:rsidR="00A95C27" w:rsidRPr="00C41814">
        <w:rPr>
          <w:rFonts w:asciiTheme="minorHAnsi" w:hAnsiTheme="minorHAnsi" w:cstheme="minorBidi"/>
          <w:i/>
          <w:szCs w:val="22"/>
        </w:rPr>
        <w:t>Guidelines are evidence of appropriate standards, but they are no more than guidelines and can be departed from in any given case. Usually justification or explanation is required.</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86"/>
      </w:r>
      <w:r w:rsidR="00A95C27" w:rsidRPr="00C41814">
        <w:rPr>
          <w:rFonts w:asciiTheme="minorHAnsi" w:hAnsiTheme="minorHAnsi" w:cstheme="minorBidi"/>
          <w:szCs w:val="22"/>
        </w:rPr>
        <w:t xml:space="preserve"> </w:t>
      </w:r>
      <w:r w:rsidR="00EE45F0" w:rsidRPr="00C41814">
        <w:rPr>
          <w:rFonts w:asciiTheme="minorHAnsi" w:hAnsiTheme="minorHAnsi" w:cstheme="minorBidi"/>
          <w:szCs w:val="22"/>
        </w:rPr>
        <w:t>O</w:t>
      </w:r>
      <w:r w:rsidR="00A95C27" w:rsidRPr="00C41814">
        <w:rPr>
          <w:rFonts w:asciiTheme="minorHAnsi" w:hAnsiTheme="minorHAnsi" w:cstheme="minorHAnsi"/>
          <w:szCs w:val="22"/>
        </w:rPr>
        <w:t>f particular interest was the presumption that failure to follow guidelines could be considered to be negligent unless there were strong reasons to deviate from that position</w:t>
      </w:r>
      <w:r w:rsidR="00DB504C" w:rsidRPr="00C41814">
        <w:rPr>
          <w:rFonts w:asciiTheme="minorHAnsi" w:hAnsiTheme="minorHAnsi" w:cstheme="minorHAnsi"/>
          <w:szCs w:val="22"/>
        </w:rPr>
        <w:t xml:space="preserve"> because: </w:t>
      </w:r>
      <w:r w:rsidR="00A95C27" w:rsidRPr="00C41814">
        <w:rPr>
          <w:rFonts w:asciiTheme="minorHAnsi" w:hAnsiTheme="minorHAnsi" w:cstheme="minorBidi"/>
          <w:szCs w:val="22"/>
        </w:rPr>
        <w:t>“</w:t>
      </w:r>
      <w:r w:rsidR="00A95C27" w:rsidRPr="00C41814">
        <w:rPr>
          <w:rFonts w:asciiTheme="minorHAnsi" w:hAnsiTheme="minorHAnsi" w:cstheme="minorBidi"/>
          <w:i/>
          <w:szCs w:val="22"/>
        </w:rPr>
        <w:t>Authoritative guidelines usually provide a good indication of where the threshold for the standard of duty is likely to be.</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87"/>
      </w:r>
      <w:r w:rsidR="00A95C27" w:rsidRPr="00C41814">
        <w:rPr>
          <w:rFonts w:asciiTheme="minorHAnsi" w:hAnsiTheme="minorHAnsi" w:cstheme="minorBidi"/>
          <w:szCs w:val="22"/>
        </w:rPr>
        <w:t xml:space="preserve"> </w:t>
      </w:r>
    </w:p>
    <w:p w14:paraId="2064D909" w14:textId="7D96C87D" w:rsidR="00A95C27" w:rsidRPr="00C41814" w:rsidRDefault="00A95C27" w:rsidP="008E5806">
      <w:pPr>
        <w:spacing w:after="200" w:line="360" w:lineRule="auto"/>
        <w:rPr>
          <w:rFonts w:asciiTheme="minorHAnsi" w:hAnsiTheme="minorHAnsi" w:cs="Times New Roman"/>
          <w:bCs/>
          <w:iCs/>
          <w:szCs w:val="22"/>
        </w:rPr>
      </w:pPr>
      <w:r w:rsidRPr="00C41814">
        <w:rPr>
          <w:rFonts w:asciiTheme="minorHAnsi" w:hAnsiTheme="minorHAnsi" w:cstheme="minorHAnsi"/>
          <w:szCs w:val="22"/>
        </w:rPr>
        <w:t xml:space="preserve">Recognition of the need for clinical discretion and flexibility to be able to respond to the needs of particular patients was </w:t>
      </w:r>
      <w:r w:rsidR="00B630A9" w:rsidRPr="00C41814">
        <w:rPr>
          <w:rFonts w:asciiTheme="minorHAnsi" w:hAnsiTheme="minorHAnsi" w:cstheme="minorHAnsi"/>
          <w:szCs w:val="22"/>
        </w:rPr>
        <w:t>clear</w:t>
      </w:r>
      <w:r w:rsidRPr="00C41814">
        <w:rPr>
          <w:rFonts w:asciiTheme="minorHAnsi" w:hAnsiTheme="minorHAnsi" w:cstheme="minorHAnsi"/>
          <w:szCs w:val="22"/>
        </w:rPr>
        <w:t xml:space="preserve">: </w:t>
      </w:r>
      <w:r w:rsidRPr="00C41814">
        <w:rPr>
          <w:rFonts w:asciiTheme="minorHAnsi" w:hAnsiTheme="minorHAnsi" w:cstheme="minorBidi"/>
          <w:szCs w:val="22"/>
        </w:rPr>
        <w:t>“</w:t>
      </w:r>
      <w:r w:rsidRPr="00C41814">
        <w:rPr>
          <w:rFonts w:asciiTheme="minorHAnsi" w:hAnsiTheme="minorHAnsi" w:cstheme="minorBidi"/>
          <w:i/>
          <w:szCs w:val="22"/>
        </w:rPr>
        <w:t>A case cannot succeed just on the basis of guidelines as there will always be competent physicians who don’t follow it, which therefore defeats the concept of breach of duty.</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88"/>
      </w:r>
      <w:r w:rsidRPr="00C41814">
        <w:rPr>
          <w:rFonts w:asciiTheme="minorHAnsi" w:hAnsiTheme="minorHAnsi" w:cstheme="minorBidi"/>
          <w:szCs w:val="22"/>
        </w:rPr>
        <w:t xml:space="preserve"> For this reason, one participant cautioned against the possibility that CGs might come to replace clinical discretion: “</w:t>
      </w:r>
      <w:r w:rsidRPr="00C41814">
        <w:rPr>
          <w:rFonts w:asciiTheme="minorHAnsi" w:hAnsiTheme="minorHAnsi" w:cstheme="minorBidi"/>
          <w:i/>
          <w:szCs w:val="22"/>
        </w:rPr>
        <w:t>Nationally recognised clinical guidelines will, of course, inform the standard of care to be applied by the court. However, guidelines should not come to replace the standard of care or be the automatic standard.</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89"/>
      </w:r>
      <w:r w:rsidRPr="00C41814">
        <w:rPr>
          <w:rFonts w:asciiTheme="minorHAnsi" w:hAnsiTheme="minorHAnsi" w:cstheme="minorBidi"/>
          <w:szCs w:val="22"/>
        </w:rPr>
        <w:t xml:space="preserve"> The need for cases to be considered on merit was particularly evident: “</w:t>
      </w:r>
      <w:r w:rsidRPr="00C41814">
        <w:rPr>
          <w:rFonts w:asciiTheme="minorHAnsi" w:hAnsiTheme="minorHAnsi" w:cstheme="minorBidi"/>
          <w:i/>
          <w:szCs w:val="22"/>
        </w:rPr>
        <w:t>Most clinical negligence cases are fact-specific and it is rare to come across a case where liability could be assessed on the basis of applying clinical guidelines alone. They form useful background material in support of arguments.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90"/>
      </w:r>
      <w:r w:rsidRPr="00C41814">
        <w:rPr>
          <w:rFonts w:asciiTheme="minorHAnsi" w:hAnsiTheme="minorHAnsi" w:cstheme="minorBidi"/>
          <w:szCs w:val="22"/>
        </w:rPr>
        <w:t xml:space="preserve"> </w:t>
      </w:r>
    </w:p>
    <w:p w14:paraId="50FEBC15" w14:textId="2E75DDB4" w:rsidR="00A95C27" w:rsidRPr="00C41814" w:rsidRDefault="00A95C27" w:rsidP="008E5806">
      <w:pPr>
        <w:shd w:val="clear" w:color="auto" w:fill="FFFFFF"/>
        <w:spacing w:after="200" w:line="360" w:lineRule="auto"/>
        <w:rPr>
          <w:rFonts w:asciiTheme="minorHAnsi" w:hAnsiTheme="minorHAnsi" w:cstheme="minorBidi"/>
          <w:szCs w:val="22"/>
        </w:rPr>
      </w:pPr>
      <w:r w:rsidRPr="00C41814">
        <w:rPr>
          <w:rFonts w:asciiTheme="minorHAnsi" w:hAnsiTheme="minorHAnsi" w:cstheme="minorBidi"/>
          <w:szCs w:val="22"/>
        </w:rPr>
        <w:lastRenderedPageBreak/>
        <w:t xml:space="preserve">The court’s approach to guidance informing or representing the threshold for the standard of care can be seen </w:t>
      </w:r>
      <w:r w:rsidR="00B630A9" w:rsidRPr="00C41814">
        <w:rPr>
          <w:rFonts w:asciiTheme="minorHAnsi" w:hAnsiTheme="minorHAnsi" w:cstheme="minorBidi"/>
          <w:szCs w:val="22"/>
        </w:rPr>
        <w:t>in</w:t>
      </w:r>
      <w:r w:rsidRPr="00C41814">
        <w:rPr>
          <w:rFonts w:asciiTheme="minorHAnsi" w:hAnsiTheme="minorHAnsi" w:cs="Times New Roman"/>
          <w:bCs/>
          <w:iCs/>
          <w:szCs w:val="22"/>
        </w:rPr>
        <w:t xml:space="preserve"> </w:t>
      </w:r>
      <w:r w:rsidRPr="00C41814">
        <w:rPr>
          <w:rFonts w:asciiTheme="minorHAnsi" w:hAnsiTheme="minorHAnsi" w:cs="Times New Roman"/>
          <w:bCs/>
          <w:i/>
          <w:iCs/>
          <w:szCs w:val="22"/>
        </w:rPr>
        <w:t>Spencer</w:t>
      </w:r>
      <w:r w:rsidR="00B630A9" w:rsidRPr="00C41814">
        <w:rPr>
          <w:rFonts w:asciiTheme="minorHAnsi" w:hAnsiTheme="minorHAnsi" w:cs="Times New Roman"/>
          <w:bCs/>
          <w:i/>
          <w:iCs/>
          <w:szCs w:val="22"/>
        </w:rPr>
        <w:t>.</w:t>
      </w:r>
      <w:r w:rsidRPr="00C41814">
        <w:rPr>
          <w:rFonts w:asciiTheme="minorHAnsi" w:hAnsiTheme="minorHAnsi" w:cs="Times New Roman"/>
          <w:szCs w:val="22"/>
          <w:vertAlign w:val="superscript"/>
        </w:rPr>
        <w:footnoteReference w:id="91"/>
      </w:r>
      <w:r w:rsidRPr="00C41814">
        <w:rPr>
          <w:rFonts w:asciiTheme="minorHAnsi" w:hAnsiTheme="minorHAnsi" w:cs="Times New Roman"/>
          <w:szCs w:val="22"/>
        </w:rPr>
        <w:t xml:space="preserve"> </w:t>
      </w:r>
      <w:r w:rsidR="00B630A9" w:rsidRPr="00C41814">
        <w:rPr>
          <w:rFonts w:asciiTheme="minorHAnsi" w:hAnsiTheme="minorHAnsi" w:cs="Times New Roman"/>
          <w:szCs w:val="22"/>
        </w:rPr>
        <w:t>A</w:t>
      </w:r>
      <w:r w:rsidRPr="00C41814">
        <w:rPr>
          <w:rFonts w:asciiTheme="minorHAnsi" w:hAnsiTheme="minorHAnsi" w:cs="Times New Roman"/>
          <w:szCs w:val="22"/>
        </w:rPr>
        <w:t xml:space="preserve"> successful claim was brought </w:t>
      </w:r>
      <w:r w:rsidRPr="00C41814">
        <w:rPr>
          <w:rFonts w:asciiTheme="minorHAnsi" w:hAnsiTheme="minorHAnsi" w:cs="TimesNewRomanPSMT"/>
          <w:szCs w:val="22"/>
        </w:rPr>
        <w:t>for personal injuries and consequential losses arising from the defendant’s negligent failure to warn of the potentially life-threatening significance of symptoms of DVT. The court referred to NICE guidance published shortly before Mr Spencer’s surgery,</w:t>
      </w:r>
      <w:r w:rsidRPr="00C41814">
        <w:rPr>
          <w:rFonts w:asciiTheme="minorHAnsi" w:hAnsiTheme="minorHAnsi" w:cs="TimesNewRomanPSMT"/>
          <w:szCs w:val="22"/>
          <w:vertAlign w:val="superscript"/>
        </w:rPr>
        <w:footnoteReference w:id="92"/>
      </w:r>
      <w:r w:rsidRPr="00C41814">
        <w:rPr>
          <w:rFonts w:asciiTheme="minorHAnsi" w:hAnsiTheme="minorHAnsi" w:cs="TimesNewRomanPSMT"/>
          <w:szCs w:val="22"/>
        </w:rPr>
        <w:t xml:space="preserve"> and acknowledged</w:t>
      </w:r>
      <w:r w:rsidR="005E4D24" w:rsidRPr="00C41814">
        <w:rPr>
          <w:rFonts w:asciiTheme="minorHAnsi" w:hAnsiTheme="minorHAnsi" w:cs="TimesNewRomanPSMT"/>
          <w:szCs w:val="22"/>
        </w:rPr>
        <w:t xml:space="preserve"> </w:t>
      </w:r>
      <w:r w:rsidRPr="00C41814">
        <w:rPr>
          <w:rFonts w:asciiTheme="minorHAnsi" w:hAnsiTheme="minorHAnsi" w:cstheme="minorBidi"/>
          <w:szCs w:val="22"/>
        </w:rPr>
        <w:t>“that the determination as to whether a given practice is in accordance with the NICE guidelines is not by itself determinative of negligence, but it is highly relevant.”</w:t>
      </w:r>
      <w:r w:rsidRPr="00C41814">
        <w:rPr>
          <w:rFonts w:asciiTheme="minorHAnsi" w:hAnsiTheme="minorHAnsi" w:cs="Times New Roman"/>
          <w:bCs/>
          <w:szCs w:val="22"/>
          <w:vertAlign w:val="superscript"/>
        </w:rPr>
        <w:t xml:space="preserve"> </w:t>
      </w:r>
      <w:r w:rsidRPr="00C41814">
        <w:rPr>
          <w:rFonts w:asciiTheme="minorHAnsi" w:hAnsiTheme="minorHAnsi" w:cs="Times New Roman"/>
          <w:bCs/>
          <w:szCs w:val="22"/>
          <w:vertAlign w:val="superscript"/>
        </w:rPr>
        <w:footnoteReference w:id="93"/>
      </w:r>
    </w:p>
    <w:p w14:paraId="57824DA4" w14:textId="2505F3D9" w:rsidR="00A95C27" w:rsidRPr="00C41814" w:rsidRDefault="00B630A9" w:rsidP="008E5806">
      <w:pPr>
        <w:shd w:val="clear" w:color="auto" w:fill="FFFFFF"/>
        <w:spacing w:after="200" w:line="360" w:lineRule="auto"/>
        <w:rPr>
          <w:rFonts w:asciiTheme="minorHAnsi" w:hAnsiTheme="minorHAnsi" w:cs="Arial"/>
          <w:szCs w:val="22"/>
        </w:rPr>
      </w:pPr>
      <w:r w:rsidRPr="00C41814">
        <w:rPr>
          <w:rFonts w:asciiTheme="minorHAnsi" w:hAnsiTheme="minorHAnsi" w:cs="Times New Roman"/>
          <w:bCs/>
          <w:szCs w:val="22"/>
        </w:rPr>
        <w:t>The</w:t>
      </w:r>
      <w:r w:rsidR="00A95C27" w:rsidRPr="00C41814">
        <w:rPr>
          <w:rFonts w:asciiTheme="minorHAnsi" w:hAnsiTheme="minorHAnsi" w:cs="Times New Roman"/>
          <w:bCs/>
          <w:szCs w:val="22"/>
        </w:rPr>
        <w:t xml:space="preserve"> </w:t>
      </w:r>
      <w:r w:rsidR="00A95C27" w:rsidRPr="00C41814">
        <w:rPr>
          <w:rFonts w:asciiTheme="minorHAnsi" w:hAnsiTheme="minorHAnsi" w:cs="Arial"/>
          <w:szCs w:val="22"/>
        </w:rPr>
        <w:t xml:space="preserve">courts recognise the importance of applying clinical judgement </w:t>
      </w:r>
      <w:r w:rsidRPr="00C41814">
        <w:rPr>
          <w:rFonts w:asciiTheme="minorHAnsi" w:hAnsiTheme="minorHAnsi" w:cs="Arial"/>
          <w:szCs w:val="22"/>
        </w:rPr>
        <w:t>to</w:t>
      </w:r>
      <w:r w:rsidR="00A95C27" w:rsidRPr="00C41814">
        <w:rPr>
          <w:rFonts w:asciiTheme="minorHAnsi" w:hAnsiTheme="minorHAnsi" w:cs="Arial"/>
          <w:szCs w:val="22"/>
        </w:rPr>
        <w:t xml:space="preserve"> individual patients. As stated in </w:t>
      </w:r>
      <w:r w:rsidR="00A95C27" w:rsidRPr="00C41814">
        <w:rPr>
          <w:rFonts w:asciiTheme="minorHAnsi" w:hAnsiTheme="minorHAnsi" w:cs="Arial"/>
          <w:i/>
          <w:iCs/>
          <w:szCs w:val="22"/>
        </w:rPr>
        <w:t>Velarde,</w:t>
      </w:r>
      <w:r w:rsidR="00A95C27" w:rsidRPr="00C41814">
        <w:rPr>
          <w:rFonts w:asciiTheme="minorHAnsi" w:hAnsiTheme="minorHAnsi" w:cs="Arial"/>
          <w:szCs w:val="22"/>
          <w:vertAlign w:val="superscript"/>
        </w:rPr>
        <w:footnoteReference w:id="94"/>
      </w:r>
      <w:r w:rsidR="00A95C27" w:rsidRPr="00C41814">
        <w:rPr>
          <w:rFonts w:asciiTheme="minorHAnsi" w:hAnsiTheme="minorHAnsi" w:cs="Arial"/>
          <w:szCs w:val="22"/>
        </w:rPr>
        <w:t xml:space="preserve"> a case that concerned a neonatal </w:t>
      </w:r>
      <w:r w:rsidR="00A95C27" w:rsidRPr="00C41814">
        <w:rPr>
          <w:rFonts w:asciiTheme="minorHAnsi" w:eastAsia="Times New Roman" w:hAnsiTheme="minorHAnsi" w:cs="Arial"/>
          <w:szCs w:val="22"/>
          <w:lang w:eastAsia="en-GB"/>
        </w:rPr>
        <w:t xml:space="preserve">brain injury allegedly caused by negligent restriction of fluids, </w:t>
      </w:r>
      <w:r w:rsidR="00A95C27" w:rsidRPr="00C41814">
        <w:rPr>
          <w:rFonts w:asciiTheme="minorHAnsi" w:hAnsiTheme="minorHAnsi" w:cs="Arial"/>
          <w:szCs w:val="22"/>
        </w:rPr>
        <w:t>Langstaff J noted that he was “struck by the refrain of a number of experts … who spoke of the need to consider the individual child… rather than protocol.”</w:t>
      </w:r>
      <w:r w:rsidR="00A95C27" w:rsidRPr="00C41814">
        <w:rPr>
          <w:rFonts w:asciiTheme="minorHAnsi" w:hAnsiTheme="minorHAnsi" w:cs="Arial"/>
          <w:szCs w:val="22"/>
          <w:vertAlign w:val="superscript"/>
        </w:rPr>
        <w:footnoteReference w:id="95"/>
      </w:r>
      <w:r w:rsidR="00A95C27" w:rsidRPr="00C41814">
        <w:rPr>
          <w:rFonts w:asciiTheme="minorHAnsi" w:hAnsiTheme="minorHAnsi" w:cs="Arial"/>
          <w:szCs w:val="22"/>
        </w:rPr>
        <w:t xml:space="preserve"> It therefore seem</w:t>
      </w:r>
      <w:r w:rsidR="00101060" w:rsidRPr="00C41814">
        <w:rPr>
          <w:rFonts w:asciiTheme="minorHAnsi" w:hAnsiTheme="minorHAnsi" w:cs="Arial"/>
          <w:szCs w:val="22"/>
        </w:rPr>
        <w:t>s</w:t>
      </w:r>
      <w:r w:rsidR="00A95C27" w:rsidRPr="00C41814">
        <w:rPr>
          <w:rFonts w:asciiTheme="minorHAnsi" w:hAnsiTheme="minorHAnsi" w:cs="Arial"/>
          <w:szCs w:val="22"/>
        </w:rPr>
        <w:t xml:space="preserve"> that in litigation the courts will</w:t>
      </w:r>
      <w:r w:rsidRPr="00C41814">
        <w:rPr>
          <w:rFonts w:asciiTheme="minorHAnsi" w:hAnsiTheme="minorHAnsi" w:cs="Arial"/>
          <w:szCs w:val="22"/>
        </w:rPr>
        <w:t xml:space="preserve"> generally</w:t>
      </w:r>
      <w:r w:rsidR="00A95C27" w:rsidRPr="00C41814">
        <w:rPr>
          <w:rFonts w:asciiTheme="minorHAnsi" w:hAnsiTheme="minorHAnsi" w:cs="Arial"/>
          <w:szCs w:val="22"/>
        </w:rPr>
        <w:t xml:space="preserve"> consider CGs in relation to the specific facts, rather than as an absolute standard.</w:t>
      </w:r>
      <w:r w:rsidRPr="00C41814">
        <w:rPr>
          <w:rFonts w:asciiTheme="minorHAnsi" w:hAnsiTheme="minorHAnsi" w:cs="Arial"/>
          <w:szCs w:val="22"/>
        </w:rPr>
        <w:t xml:space="preserve"> However, there may be certain circumstances in which CGs take greater dominance.</w:t>
      </w:r>
    </w:p>
    <w:p w14:paraId="615B64EC" w14:textId="02C8D537" w:rsidR="00A95C27" w:rsidRPr="00C41814" w:rsidRDefault="004F0CD5" w:rsidP="008E5806">
      <w:pPr>
        <w:spacing w:after="200" w:line="360" w:lineRule="auto"/>
        <w:rPr>
          <w:rFonts w:asciiTheme="minorHAnsi" w:hAnsiTheme="minorHAnsi" w:cstheme="minorBidi"/>
          <w:szCs w:val="22"/>
        </w:rPr>
      </w:pPr>
      <w:r w:rsidRPr="00C41814">
        <w:rPr>
          <w:rFonts w:asciiTheme="minorHAnsi" w:hAnsiTheme="minorHAnsi" w:cstheme="minorBidi"/>
          <w:i/>
          <w:szCs w:val="22"/>
        </w:rPr>
        <w:t xml:space="preserve">4. </w:t>
      </w:r>
      <w:r w:rsidR="00A95C27" w:rsidRPr="00C41814">
        <w:rPr>
          <w:rFonts w:asciiTheme="minorHAnsi" w:hAnsiTheme="minorHAnsi" w:cstheme="minorBidi"/>
          <w:i/>
          <w:szCs w:val="22"/>
        </w:rPr>
        <w:t xml:space="preserve"> Greater dominance in specific circumstances?</w:t>
      </w:r>
    </w:p>
    <w:p w14:paraId="0A3B8AD4" w14:textId="2229AC77"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National evidence-based guidance may be expected to exert considerable influence in determining the legal standard in specific situations and specialities. Participants believed that there was an expectation that clinicians working in specialist areas ought to be aware of key guidance: “</w:t>
      </w:r>
      <w:r w:rsidRPr="00C41814">
        <w:rPr>
          <w:rFonts w:asciiTheme="minorHAnsi" w:hAnsiTheme="minorHAnsi" w:cstheme="minorBidi"/>
          <w:i/>
          <w:szCs w:val="22"/>
        </w:rPr>
        <w:t>NICE guidelines are particularly highly regarded on the basis that clinicians are expected to be familiar.</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96"/>
      </w:r>
      <w:r w:rsidRPr="00C41814">
        <w:rPr>
          <w:rFonts w:asciiTheme="minorHAnsi" w:hAnsiTheme="minorHAnsi" w:cstheme="minorBidi"/>
          <w:szCs w:val="22"/>
        </w:rPr>
        <w:t xml:space="preserve"> One </w:t>
      </w:r>
      <w:r w:rsidR="00AD3F61" w:rsidRPr="00C41814">
        <w:rPr>
          <w:rFonts w:asciiTheme="minorHAnsi" w:hAnsiTheme="minorHAnsi" w:cstheme="minorBidi"/>
          <w:szCs w:val="22"/>
        </w:rPr>
        <w:t xml:space="preserve">repeated </w:t>
      </w:r>
      <w:r w:rsidRPr="00C41814">
        <w:rPr>
          <w:rFonts w:asciiTheme="minorHAnsi" w:hAnsiTheme="minorHAnsi" w:cstheme="minorBidi"/>
          <w:szCs w:val="22"/>
        </w:rPr>
        <w:t>example concerned national cancer guidance and the ‘two-week</w:t>
      </w:r>
      <w:r w:rsidR="00AD3F61" w:rsidRPr="00C41814">
        <w:rPr>
          <w:rFonts w:asciiTheme="minorHAnsi" w:hAnsiTheme="minorHAnsi" w:cstheme="minorBidi"/>
          <w:szCs w:val="22"/>
        </w:rPr>
        <w:t>’</w:t>
      </w:r>
      <w:r w:rsidRPr="00C41814">
        <w:rPr>
          <w:rFonts w:asciiTheme="minorHAnsi" w:hAnsiTheme="minorHAnsi" w:cstheme="minorBidi"/>
          <w:szCs w:val="22"/>
        </w:rPr>
        <w:t xml:space="preserve"> rule: “</w:t>
      </w:r>
      <w:r w:rsidRPr="00C41814">
        <w:rPr>
          <w:rFonts w:asciiTheme="minorHAnsi" w:hAnsiTheme="minorHAnsi" w:cstheme="minorBidi"/>
          <w:i/>
          <w:szCs w:val="22"/>
        </w:rPr>
        <w:t>We frequently see reference to the NICE guidelines for suspected cancer, evidencing circumstances where referral under the two week wait rule was not done</w:t>
      </w:r>
      <w:r w:rsidRPr="00C41814">
        <w:rPr>
          <w:rFonts w:asciiTheme="minorHAnsi" w:hAnsiTheme="minorHAnsi" w:cstheme="minorBidi"/>
          <w:szCs w:val="22"/>
        </w:rPr>
        <w:t>”</w:t>
      </w:r>
      <w:r w:rsidR="004C76A2"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97"/>
      </w:r>
      <w:r w:rsidRPr="00C41814">
        <w:rPr>
          <w:rFonts w:asciiTheme="minorHAnsi" w:hAnsiTheme="minorHAnsi" w:cstheme="minorBidi"/>
          <w:szCs w:val="22"/>
        </w:rPr>
        <w:t xml:space="preserve"> </w:t>
      </w:r>
      <w:r w:rsidR="004C76A2" w:rsidRPr="00C41814">
        <w:rPr>
          <w:rFonts w:asciiTheme="minorHAnsi" w:hAnsiTheme="minorHAnsi" w:cstheme="minorBidi"/>
          <w:szCs w:val="22"/>
        </w:rPr>
        <w:t>S</w:t>
      </w:r>
      <w:r w:rsidRPr="00C41814">
        <w:rPr>
          <w:rFonts w:asciiTheme="minorHAnsi" w:hAnsiTheme="minorHAnsi" w:cstheme="minorBidi"/>
          <w:szCs w:val="22"/>
        </w:rPr>
        <w:t>imilarly in primary care: “</w:t>
      </w:r>
      <w:r w:rsidRPr="00C41814">
        <w:rPr>
          <w:rFonts w:asciiTheme="minorHAnsi" w:hAnsiTheme="minorHAnsi" w:cstheme="minorBidi"/>
          <w:i/>
          <w:szCs w:val="22"/>
        </w:rPr>
        <w:t>NICE guidelines are very often used in the diagnosis of cancer cases, especially in relation to the two week wait referrals by GPs.”</w:t>
      </w:r>
      <w:r w:rsidRPr="00C41814">
        <w:rPr>
          <w:rFonts w:asciiTheme="minorHAnsi" w:hAnsiTheme="minorHAnsi" w:cstheme="minorBidi"/>
          <w:szCs w:val="22"/>
        </w:rPr>
        <w:t xml:space="preserve"> </w:t>
      </w:r>
      <w:r w:rsidRPr="00C41814">
        <w:rPr>
          <w:rFonts w:asciiTheme="minorHAnsi" w:hAnsiTheme="minorHAnsi" w:cstheme="minorBidi"/>
          <w:szCs w:val="22"/>
          <w:vertAlign w:val="superscript"/>
        </w:rPr>
        <w:footnoteReference w:id="98"/>
      </w:r>
    </w:p>
    <w:p w14:paraId="2949995F" w14:textId="7EFC5440"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National guidelines for obstetrics and gynaecology were considered to be highly relevant and often formed the basis of high value claims: “</w:t>
      </w:r>
      <w:r w:rsidRPr="00C41814">
        <w:rPr>
          <w:rFonts w:asciiTheme="minorHAnsi" w:hAnsiTheme="minorHAnsi" w:cstheme="minorBidi"/>
          <w:i/>
          <w:szCs w:val="22"/>
        </w:rPr>
        <w:t>[Royal College of Obstetricians and Gynaecologists] guidelines are often referred to in obstetric cases, and we also refer to local guidelines about administration and forms of treatment.</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99"/>
      </w:r>
      <w:r w:rsidRPr="00C41814">
        <w:rPr>
          <w:rFonts w:asciiTheme="minorHAnsi" w:hAnsiTheme="minorHAnsi" w:cstheme="minorBidi"/>
          <w:szCs w:val="22"/>
        </w:rPr>
        <w:t xml:space="preserve"> This tendency was shared by both solicitors and barristers: “</w:t>
      </w:r>
      <w:r w:rsidRPr="00C41814">
        <w:rPr>
          <w:rFonts w:asciiTheme="minorHAnsi" w:hAnsiTheme="minorHAnsi" w:cstheme="minorBidi"/>
          <w:i/>
          <w:szCs w:val="22"/>
        </w:rPr>
        <w:t xml:space="preserve">In my practice, I </w:t>
      </w:r>
      <w:r w:rsidRPr="00C41814">
        <w:rPr>
          <w:rFonts w:asciiTheme="minorHAnsi" w:hAnsiTheme="minorHAnsi" w:cstheme="minorBidi"/>
          <w:i/>
          <w:szCs w:val="22"/>
        </w:rPr>
        <w:lastRenderedPageBreak/>
        <w:t>am frequently referred to the NICE guidelines which deal with foetal monitoring and the management of labour</w:t>
      </w:r>
      <w:r w:rsidRPr="00C41814">
        <w:rPr>
          <w:rFonts w:asciiTheme="minorHAnsi" w:hAnsiTheme="minorHAnsi" w:cstheme="minorBidi"/>
          <w:szCs w:val="22"/>
        </w:rPr>
        <w:t>”</w:t>
      </w:r>
      <w:r w:rsidR="004C76A2"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00"/>
      </w:r>
      <w:r w:rsidRPr="00C41814">
        <w:rPr>
          <w:rFonts w:asciiTheme="minorHAnsi" w:hAnsiTheme="minorHAnsi" w:cstheme="minorBidi"/>
          <w:szCs w:val="22"/>
        </w:rPr>
        <w:t xml:space="preserve"> and</w:t>
      </w:r>
      <w:r w:rsidR="004C76A2" w:rsidRPr="00C41814">
        <w:rPr>
          <w:rFonts w:asciiTheme="minorHAnsi" w:hAnsiTheme="minorHAnsi" w:cstheme="minorBidi"/>
          <w:szCs w:val="22"/>
        </w:rPr>
        <w:t>,</w:t>
      </w:r>
      <w:r w:rsidRPr="00C41814">
        <w:rPr>
          <w:rFonts w:asciiTheme="minorHAnsi" w:hAnsiTheme="minorHAnsi" w:cstheme="minorBidi"/>
          <w:szCs w:val="22"/>
        </w:rPr>
        <w:t xml:space="preserve"> </w:t>
      </w:r>
      <w:r w:rsidRPr="00C41814">
        <w:rPr>
          <w:rFonts w:asciiTheme="minorHAnsi" w:hAnsiTheme="minorHAnsi" w:cstheme="minorBidi"/>
          <w:i/>
          <w:szCs w:val="22"/>
        </w:rPr>
        <w:t>“[g]</w:t>
      </w:r>
      <w:proofErr w:type="spellStart"/>
      <w:r w:rsidRPr="00C41814">
        <w:rPr>
          <w:rFonts w:asciiTheme="minorHAnsi" w:hAnsiTheme="minorHAnsi" w:cstheme="minorBidi"/>
          <w:i/>
          <w:szCs w:val="22"/>
        </w:rPr>
        <w:t>uidelines</w:t>
      </w:r>
      <w:proofErr w:type="spellEnd"/>
      <w:r w:rsidRPr="00C41814">
        <w:rPr>
          <w:rFonts w:asciiTheme="minorHAnsi" w:hAnsiTheme="minorHAnsi" w:cstheme="minorBidi"/>
          <w:i/>
          <w:szCs w:val="22"/>
        </w:rPr>
        <w:t xml:space="preserve"> are more prevalent and influential in obstetric claims and more relevant to breach regarding delivery of care.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01"/>
      </w:r>
      <w:r w:rsidRPr="00C41814">
        <w:rPr>
          <w:rFonts w:asciiTheme="minorHAnsi" w:hAnsiTheme="minorHAnsi" w:cstheme="minorBidi"/>
          <w:szCs w:val="22"/>
        </w:rPr>
        <w:t xml:space="preserve"> </w:t>
      </w:r>
    </w:p>
    <w:p w14:paraId="078D8764" w14:textId="595C837F" w:rsidR="00A95C27" w:rsidRPr="00C41814" w:rsidRDefault="00A95C27" w:rsidP="008E5806">
      <w:pPr>
        <w:spacing w:after="200" w:line="360" w:lineRule="auto"/>
        <w:rPr>
          <w:rFonts w:asciiTheme="minorHAnsi" w:hAnsiTheme="minorHAnsi" w:cs="Arial"/>
          <w:szCs w:val="22"/>
        </w:rPr>
      </w:pPr>
      <w:r w:rsidRPr="00C41814">
        <w:rPr>
          <w:rFonts w:asciiTheme="minorHAnsi" w:hAnsiTheme="minorHAnsi" w:cstheme="minorBidi"/>
          <w:szCs w:val="22"/>
        </w:rPr>
        <w:t xml:space="preserve">Apart from oncology and obstetrics, specific guidance from other specialisms was also </w:t>
      </w:r>
      <w:r w:rsidR="00587FAE" w:rsidRPr="00C41814">
        <w:rPr>
          <w:rFonts w:asciiTheme="minorHAnsi" w:hAnsiTheme="minorHAnsi" w:cstheme="minorBidi"/>
          <w:szCs w:val="22"/>
        </w:rPr>
        <w:t xml:space="preserve">seen as </w:t>
      </w:r>
      <w:r w:rsidRPr="00C41814">
        <w:rPr>
          <w:rFonts w:asciiTheme="minorHAnsi" w:hAnsiTheme="minorHAnsi" w:cstheme="minorBidi"/>
          <w:szCs w:val="22"/>
        </w:rPr>
        <w:t>relatively common: “</w:t>
      </w:r>
      <w:r w:rsidRPr="00C41814">
        <w:rPr>
          <w:rFonts w:asciiTheme="minorHAnsi" w:hAnsiTheme="minorHAnsi" w:cstheme="minorBidi"/>
          <w:i/>
          <w:szCs w:val="22"/>
        </w:rPr>
        <w:t>A good recent example is the use of NICE guidelines on the provision of graduated compression stockings following DVT</w:t>
      </w:r>
      <w:r w:rsidRPr="00C41814">
        <w:rPr>
          <w:rFonts w:asciiTheme="minorHAnsi" w:hAnsiTheme="minorHAnsi" w:cstheme="minorBidi"/>
          <w:szCs w:val="22"/>
        </w:rPr>
        <w:t>”</w:t>
      </w:r>
      <w:r w:rsidR="004C76A2"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02"/>
      </w:r>
      <w:r w:rsidRPr="00C41814">
        <w:rPr>
          <w:rFonts w:asciiTheme="minorHAnsi" w:hAnsiTheme="minorHAnsi" w:cstheme="minorBidi"/>
          <w:szCs w:val="22"/>
        </w:rPr>
        <w:t xml:space="preserve"> </w:t>
      </w:r>
      <w:r w:rsidR="004C76A2" w:rsidRPr="00C41814">
        <w:rPr>
          <w:rFonts w:asciiTheme="minorHAnsi" w:hAnsiTheme="minorHAnsi" w:cstheme="minorBidi"/>
          <w:szCs w:val="22"/>
        </w:rPr>
        <w:t>Another stated:</w:t>
      </w:r>
      <w:r w:rsidRPr="00C41814">
        <w:rPr>
          <w:rFonts w:asciiTheme="minorHAnsi" w:hAnsiTheme="minorHAnsi" w:cstheme="minorBidi"/>
          <w:szCs w:val="22"/>
        </w:rPr>
        <w:t xml:space="preserve"> “</w:t>
      </w:r>
      <w:r w:rsidRPr="00C41814">
        <w:rPr>
          <w:rFonts w:asciiTheme="minorHAnsi" w:hAnsiTheme="minorHAnsi" w:cstheme="minorBidi"/>
          <w:i/>
          <w:szCs w:val="22"/>
        </w:rPr>
        <w:t>Today I have referred to the 2004 NICE dyspepsia guidelines.</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03"/>
      </w:r>
      <w:r w:rsidRPr="00C41814">
        <w:rPr>
          <w:rFonts w:asciiTheme="minorHAnsi" w:hAnsiTheme="minorHAnsi" w:cstheme="minorBidi"/>
          <w:szCs w:val="22"/>
        </w:rPr>
        <w:t xml:space="preserve"> The ‘Sepsis Six’ protocol that is subsumed within NICE Guideline 51</w:t>
      </w:r>
      <w:r w:rsidRPr="00C41814">
        <w:rPr>
          <w:rFonts w:asciiTheme="minorHAnsi" w:hAnsiTheme="minorHAnsi" w:cstheme="minorBidi"/>
          <w:szCs w:val="22"/>
          <w:vertAlign w:val="superscript"/>
        </w:rPr>
        <w:footnoteReference w:id="104"/>
      </w:r>
      <w:r w:rsidRPr="00C41814">
        <w:rPr>
          <w:rFonts w:asciiTheme="minorHAnsi" w:hAnsiTheme="minorHAnsi" w:cstheme="minorBidi"/>
          <w:szCs w:val="22"/>
        </w:rPr>
        <w:t xml:space="preserve"> was </w:t>
      </w:r>
      <w:r w:rsidR="009B020A" w:rsidRPr="00C41814">
        <w:rPr>
          <w:rFonts w:asciiTheme="minorHAnsi" w:hAnsiTheme="minorHAnsi" w:cstheme="minorBidi"/>
          <w:szCs w:val="22"/>
        </w:rPr>
        <w:t xml:space="preserve">similarly </w:t>
      </w:r>
      <w:r w:rsidRPr="00C41814">
        <w:rPr>
          <w:rFonts w:asciiTheme="minorHAnsi" w:hAnsiTheme="minorHAnsi" w:cstheme="minorBidi"/>
          <w:szCs w:val="22"/>
        </w:rPr>
        <w:t xml:space="preserve">considered to play an important and influential role in negligence litigation by survey respondents. </w:t>
      </w:r>
    </w:p>
    <w:p w14:paraId="5B8FAB71" w14:textId="73B98301" w:rsidR="00A95C27" w:rsidRPr="00C41814" w:rsidRDefault="00A95C27" w:rsidP="008E5806">
      <w:pPr>
        <w:spacing w:after="200" w:line="360" w:lineRule="auto"/>
        <w:rPr>
          <w:rFonts w:asciiTheme="minorHAnsi" w:eastAsia="Times New Roman" w:hAnsiTheme="minorHAnsi" w:cs="Arial"/>
          <w:szCs w:val="22"/>
          <w:lang w:eastAsia="en-GB"/>
        </w:rPr>
      </w:pPr>
      <w:r w:rsidRPr="00C41814">
        <w:rPr>
          <w:rFonts w:asciiTheme="minorHAnsi" w:hAnsiTheme="minorHAnsi" w:cs="Arial"/>
          <w:szCs w:val="22"/>
        </w:rPr>
        <w:t xml:space="preserve">In </w:t>
      </w:r>
      <w:r w:rsidRPr="00C41814">
        <w:rPr>
          <w:rFonts w:asciiTheme="minorHAnsi" w:hAnsiTheme="minorHAnsi" w:cs="Arial"/>
          <w:i/>
          <w:szCs w:val="22"/>
        </w:rPr>
        <w:t>Rose v Thanet</w:t>
      </w:r>
      <w:r w:rsidRPr="00C41814">
        <w:rPr>
          <w:rFonts w:asciiTheme="minorHAnsi" w:hAnsiTheme="minorHAnsi" w:cs="Arial"/>
          <w:szCs w:val="22"/>
          <w:vertAlign w:val="superscript"/>
        </w:rPr>
        <w:footnoteReference w:id="105"/>
      </w:r>
      <w:r w:rsidRPr="00C41814">
        <w:rPr>
          <w:rFonts w:asciiTheme="minorHAnsi" w:hAnsiTheme="minorHAnsi" w:cs="Arial"/>
          <w:i/>
          <w:szCs w:val="22"/>
        </w:rPr>
        <w:t xml:space="preserve"> </w:t>
      </w:r>
      <w:r w:rsidRPr="00C41814">
        <w:rPr>
          <w:rFonts w:asciiTheme="minorHAnsi" w:hAnsiTheme="minorHAnsi" w:cs="Arial"/>
          <w:szCs w:val="22"/>
        </w:rPr>
        <w:t xml:space="preserve">a claim was brought against a Clinical Commissioning Group (CCG) against its decision not to fund treatment in contravention of clinical guidance.  </w:t>
      </w:r>
      <w:r w:rsidR="00C5728A" w:rsidRPr="00C41814">
        <w:rPr>
          <w:rFonts w:asciiTheme="minorHAnsi" w:hAnsiTheme="minorHAnsi" w:cs="Arial"/>
          <w:szCs w:val="22"/>
        </w:rPr>
        <w:t>Although this case was a claim in public law</w:t>
      </w:r>
      <w:r w:rsidR="006E33AA" w:rsidRPr="00C41814">
        <w:rPr>
          <w:rFonts w:asciiTheme="minorHAnsi" w:hAnsiTheme="minorHAnsi" w:cs="Arial"/>
          <w:szCs w:val="22"/>
        </w:rPr>
        <w:t xml:space="preserve"> and not decided on principles of negligence, it </w:t>
      </w:r>
      <w:r w:rsidR="009B020A" w:rsidRPr="00C41814">
        <w:rPr>
          <w:rFonts w:asciiTheme="minorHAnsi" w:hAnsiTheme="minorHAnsi" w:cs="Arial"/>
          <w:szCs w:val="22"/>
        </w:rPr>
        <w:t xml:space="preserve">serves as a </w:t>
      </w:r>
      <w:r w:rsidR="006E33AA" w:rsidRPr="00C41814">
        <w:rPr>
          <w:rFonts w:asciiTheme="minorHAnsi" w:hAnsiTheme="minorHAnsi" w:cs="Arial"/>
          <w:szCs w:val="22"/>
        </w:rPr>
        <w:t>useful illustrat</w:t>
      </w:r>
      <w:r w:rsidR="009B020A" w:rsidRPr="00C41814">
        <w:rPr>
          <w:rFonts w:asciiTheme="minorHAnsi" w:hAnsiTheme="minorHAnsi" w:cs="Arial"/>
          <w:szCs w:val="22"/>
        </w:rPr>
        <w:t>ion</w:t>
      </w:r>
      <w:r w:rsidR="006E33AA" w:rsidRPr="00C41814">
        <w:rPr>
          <w:rFonts w:asciiTheme="minorHAnsi" w:hAnsiTheme="minorHAnsi" w:cs="Arial"/>
          <w:szCs w:val="22"/>
        </w:rPr>
        <w:t xml:space="preserve">.  On the facts, </w:t>
      </w:r>
      <w:r w:rsidRPr="00C41814">
        <w:rPr>
          <w:rFonts w:asciiTheme="minorHAnsi" w:hAnsiTheme="minorHAnsi" w:cs="Arial"/>
          <w:szCs w:val="22"/>
        </w:rPr>
        <w:t>relevant NICE guideline</w:t>
      </w:r>
      <w:r w:rsidR="005B2A9A" w:rsidRPr="00C41814">
        <w:rPr>
          <w:rFonts w:asciiTheme="minorHAnsi" w:hAnsiTheme="minorHAnsi" w:cs="Arial"/>
          <w:szCs w:val="22"/>
        </w:rPr>
        <w:t>s</w:t>
      </w:r>
      <w:r w:rsidRPr="00C41814">
        <w:rPr>
          <w:rFonts w:asciiTheme="minorHAnsi" w:hAnsiTheme="minorHAnsi" w:cs="Arial"/>
          <w:szCs w:val="22"/>
        </w:rPr>
        <w:t xml:space="preserve"> stated that pre-menopausal w</w:t>
      </w:r>
      <w:r w:rsidRPr="00C41814">
        <w:rPr>
          <w:rFonts w:asciiTheme="minorHAnsi" w:eastAsia="Times New Roman" w:hAnsiTheme="minorHAnsi" w:cs="Arial"/>
          <w:szCs w:val="22"/>
          <w:lang w:eastAsia="en-GB"/>
        </w:rPr>
        <w:t xml:space="preserve">omen preparing for treatment likely to cause infertility should be offered oocyte cryopreservation (and </w:t>
      </w:r>
      <w:r w:rsidR="0086520F" w:rsidRPr="00C41814">
        <w:rPr>
          <w:rFonts w:asciiTheme="minorHAnsi" w:eastAsia="Times New Roman" w:hAnsiTheme="minorHAnsi" w:cs="Arial"/>
          <w:szCs w:val="22"/>
          <w:lang w:eastAsia="en-GB"/>
        </w:rPr>
        <w:t xml:space="preserve">be </w:t>
      </w:r>
      <w:r w:rsidRPr="00C41814">
        <w:rPr>
          <w:rFonts w:asciiTheme="minorHAnsi" w:eastAsia="Times New Roman" w:hAnsiTheme="minorHAnsi" w:cs="Arial"/>
          <w:szCs w:val="22"/>
          <w:lang w:eastAsia="en-GB"/>
        </w:rPr>
        <w:t>informed of its low success rate).</w:t>
      </w:r>
      <w:r w:rsidRPr="00C41814">
        <w:rPr>
          <w:rFonts w:asciiTheme="minorHAnsi" w:eastAsia="Times New Roman" w:hAnsiTheme="minorHAnsi" w:cs="Arial"/>
          <w:szCs w:val="22"/>
          <w:vertAlign w:val="superscript"/>
          <w:lang w:eastAsia="en-GB"/>
        </w:rPr>
        <w:footnoteReference w:id="106"/>
      </w:r>
      <w:r w:rsidRPr="00C41814">
        <w:rPr>
          <w:rFonts w:asciiTheme="minorHAnsi" w:eastAsia="Times New Roman" w:hAnsiTheme="minorHAnsi" w:cs="Arial"/>
          <w:szCs w:val="22"/>
          <w:lang w:eastAsia="en-GB"/>
        </w:rPr>
        <w:t xml:space="preserve"> Notwithstanding this guidance the policy of the CCG was to fund such treatment in exceptional circumstances only</w:t>
      </w:r>
      <w:r w:rsidR="004C76A2" w:rsidRPr="00C41814">
        <w:rPr>
          <w:rFonts w:asciiTheme="minorHAnsi" w:eastAsia="Times New Roman" w:hAnsiTheme="minorHAnsi" w:cs="Arial"/>
          <w:szCs w:val="22"/>
          <w:lang w:eastAsia="en-GB"/>
        </w:rPr>
        <w:t xml:space="preserve">, </w:t>
      </w:r>
      <w:r w:rsidRPr="00C41814">
        <w:rPr>
          <w:rFonts w:asciiTheme="minorHAnsi" w:eastAsia="Times New Roman" w:hAnsiTheme="minorHAnsi" w:cs="Arial"/>
          <w:szCs w:val="22"/>
          <w:lang w:eastAsia="en-GB"/>
        </w:rPr>
        <w:t xml:space="preserve">which </w:t>
      </w:r>
      <w:r w:rsidR="004C76A2" w:rsidRPr="00C41814">
        <w:rPr>
          <w:rFonts w:asciiTheme="minorHAnsi" w:eastAsia="Times New Roman" w:hAnsiTheme="minorHAnsi" w:cs="Arial"/>
          <w:szCs w:val="22"/>
          <w:lang w:eastAsia="en-GB"/>
        </w:rPr>
        <w:t>was</w:t>
      </w:r>
      <w:r w:rsidRPr="00C41814">
        <w:rPr>
          <w:rFonts w:asciiTheme="minorHAnsi" w:eastAsia="Times New Roman" w:hAnsiTheme="minorHAnsi" w:cs="Arial"/>
          <w:szCs w:val="22"/>
          <w:lang w:eastAsia="en-GB"/>
        </w:rPr>
        <w:t xml:space="preserve"> considered not to apply in this particular case</w:t>
      </w:r>
      <w:r w:rsidR="004C76A2" w:rsidRPr="00C41814">
        <w:rPr>
          <w:rFonts w:asciiTheme="minorHAnsi" w:eastAsia="Times New Roman" w:hAnsiTheme="minorHAnsi" w:cs="Arial"/>
          <w:szCs w:val="22"/>
          <w:lang w:eastAsia="en-GB"/>
        </w:rPr>
        <w:t>, and</w:t>
      </w:r>
      <w:r w:rsidRPr="00C41814">
        <w:rPr>
          <w:rFonts w:asciiTheme="minorHAnsi" w:eastAsia="Times New Roman" w:hAnsiTheme="minorHAnsi" w:cs="Arial"/>
          <w:szCs w:val="22"/>
          <w:lang w:eastAsia="en-GB"/>
        </w:rPr>
        <w:t xml:space="preserve"> funding had been refused. The claimant contended that the policy of the CCG had failed to take into account NICE Guideline 156.  The CCG argued that the guidelines were not mandatory</w:t>
      </w:r>
      <w:r w:rsidR="004C76A2" w:rsidRPr="00C41814">
        <w:rPr>
          <w:rFonts w:asciiTheme="minorHAnsi" w:eastAsia="Times New Roman" w:hAnsiTheme="minorHAnsi" w:cs="Arial"/>
          <w:szCs w:val="22"/>
          <w:lang w:eastAsia="en-GB"/>
        </w:rPr>
        <w:t>. I</w:t>
      </w:r>
      <w:r w:rsidRPr="00C41814">
        <w:rPr>
          <w:rFonts w:asciiTheme="minorHAnsi" w:eastAsia="Times New Roman" w:hAnsiTheme="minorHAnsi" w:cs="Arial"/>
          <w:szCs w:val="22"/>
          <w:lang w:eastAsia="en-GB"/>
        </w:rPr>
        <w:t>t was for each CCG to decide commissioning priorities for their population and how to best allocate resources. The court held that although NICE guidance did not have to be followed, a CCG was under a</w:t>
      </w:r>
      <w:r w:rsidR="0086520F" w:rsidRPr="00C41814">
        <w:rPr>
          <w:rFonts w:asciiTheme="minorHAnsi" w:eastAsia="Times New Roman" w:hAnsiTheme="minorHAnsi" w:cs="Arial"/>
          <w:szCs w:val="22"/>
          <w:lang w:eastAsia="en-GB"/>
        </w:rPr>
        <w:t>n obligation in public</w:t>
      </w:r>
      <w:r w:rsidRPr="00C41814">
        <w:rPr>
          <w:rFonts w:asciiTheme="minorHAnsi" w:eastAsia="Times New Roman" w:hAnsiTheme="minorHAnsi" w:cs="Arial"/>
          <w:szCs w:val="22"/>
          <w:lang w:eastAsia="en-GB"/>
        </w:rPr>
        <w:t xml:space="preserve"> law to have regard to relevant NICE guid</w:t>
      </w:r>
      <w:r w:rsidR="0086520F" w:rsidRPr="00C41814">
        <w:rPr>
          <w:rFonts w:asciiTheme="minorHAnsi" w:eastAsia="Times New Roman" w:hAnsiTheme="minorHAnsi" w:cs="Arial"/>
          <w:szCs w:val="22"/>
          <w:lang w:eastAsia="en-GB"/>
        </w:rPr>
        <w:t xml:space="preserve">ance </w:t>
      </w:r>
      <w:r w:rsidRPr="00C41814">
        <w:rPr>
          <w:rFonts w:asciiTheme="minorHAnsi" w:eastAsia="Times New Roman" w:hAnsiTheme="minorHAnsi" w:cs="Arial"/>
          <w:szCs w:val="22"/>
          <w:lang w:eastAsia="en-GB"/>
        </w:rPr>
        <w:t xml:space="preserve">and provide clear reasons for any policy </w:t>
      </w:r>
      <w:r w:rsidR="0086520F" w:rsidRPr="00C41814">
        <w:rPr>
          <w:rFonts w:asciiTheme="minorHAnsi" w:eastAsia="Times New Roman" w:hAnsiTheme="minorHAnsi" w:cs="Arial"/>
          <w:szCs w:val="22"/>
          <w:lang w:eastAsia="en-GB"/>
        </w:rPr>
        <w:t xml:space="preserve">decision </w:t>
      </w:r>
      <w:r w:rsidRPr="00C41814">
        <w:rPr>
          <w:rFonts w:asciiTheme="minorHAnsi" w:eastAsia="Times New Roman" w:hAnsiTheme="minorHAnsi" w:cs="Arial"/>
          <w:szCs w:val="22"/>
          <w:lang w:eastAsia="en-GB"/>
        </w:rPr>
        <w:t xml:space="preserve">not to follow it. </w:t>
      </w:r>
      <w:r w:rsidR="0086520F" w:rsidRPr="00C41814">
        <w:rPr>
          <w:rFonts w:asciiTheme="minorHAnsi" w:eastAsia="Times New Roman" w:hAnsiTheme="minorHAnsi" w:cs="Arial"/>
          <w:szCs w:val="22"/>
          <w:lang w:eastAsia="en-GB"/>
        </w:rPr>
        <w:t xml:space="preserve">The court </w:t>
      </w:r>
      <w:r w:rsidRPr="00C41814">
        <w:rPr>
          <w:rFonts w:asciiTheme="minorHAnsi" w:eastAsia="Times New Roman" w:hAnsiTheme="minorHAnsi" w:cs="Arial"/>
          <w:szCs w:val="22"/>
          <w:lang w:eastAsia="en-GB"/>
        </w:rPr>
        <w:t>stated</w:t>
      </w:r>
      <w:r w:rsidR="0086520F" w:rsidRPr="00C41814">
        <w:rPr>
          <w:rFonts w:asciiTheme="minorHAnsi" w:eastAsia="Times New Roman" w:hAnsiTheme="minorHAnsi" w:cs="Arial"/>
          <w:szCs w:val="22"/>
          <w:lang w:eastAsia="en-GB"/>
        </w:rPr>
        <w:t>:</w:t>
      </w:r>
    </w:p>
    <w:p w14:paraId="31B0FD05" w14:textId="64ADA360" w:rsidR="00A95C27" w:rsidRPr="00C41814" w:rsidRDefault="00A95C27" w:rsidP="008E5806">
      <w:pPr>
        <w:spacing w:after="200" w:line="360" w:lineRule="auto"/>
        <w:ind w:left="720" w:right="521"/>
        <w:rPr>
          <w:rFonts w:asciiTheme="minorHAnsi" w:eastAsia="Times New Roman" w:hAnsiTheme="minorHAnsi" w:cs="Arial"/>
          <w:szCs w:val="22"/>
          <w:lang w:eastAsia="en-GB"/>
        </w:rPr>
      </w:pPr>
      <w:r w:rsidRPr="00C41814">
        <w:rPr>
          <w:rFonts w:asciiTheme="minorHAnsi" w:hAnsiTheme="minorHAnsi" w:cstheme="minorBidi"/>
          <w:szCs w:val="22"/>
        </w:rPr>
        <w:t xml:space="preserve">(1) a relevant body must have in place arrangements for making decisions and adopting policies on whether a particular health care intervention is to be made available for persons for whom the relevant body has responsibility. (2) Arrangements under paragraph (1) must- (a) ensure that the relevant body complies with relevant NICE recommendations; and (b) include arrangements for the determination of any request for the funding of a health care intervention for a person, where there is no relevant </w:t>
      </w:r>
      <w:r w:rsidRPr="00C41814">
        <w:rPr>
          <w:rFonts w:asciiTheme="minorHAnsi" w:hAnsiTheme="minorHAnsi" w:cstheme="minorBidi"/>
          <w:szCs w:val="22"/>
        </w:rPr>
        <w:lastRenderedPageBreak/>
        <w:t>NICE recommendation and the relevant body's general policy is not to fund that intervention.</w:t>
      </w:r>
      <w:r w:rsidR="00FD7D80" w:rsidRPr="00C41814">
        <w:rPr>
          <w:rStyle w:val="FootnoteReference"/>
          <w:rFonts w:asciiTheme="minorHAnsi" w:hAnsiTheme="minorHAnsi" w:cstheme="minorBidi"/>
          <w:szCs w:val="22"/>
        </w:rPr>
        <w:footnoteReference w:id="107"/>
      </w:r>
      <w:r w:rsidRPr="00C41814">
        <w:rPr>
          <w:rFonts w:asciiTheme="minorHAnsi" w:hAnsiTheme="minorHAnsi" w:cstheme="minorBidi"/>
          <w:szCs w:val="22"/>
        </w:rPr>
        <w:t xml:space="preserve"> </w:t>
      </w:r>
    </w:p>
    <w:p w14:paraId="6DE78307" w14:textId="7CAD0B58" w:rsidR="00A95C27" w:rsidRPr="00C41814" w:rsidRDefault="00A95C27" w:rsidP="008E5806">
      <w:pPr>
        <w:spacing w:after="200" w:line="360" w:lineRule="auto"/>
        <w:rPr>
          <w:rFonts w:asciiTheme="minorHAnsi" w:eastAsia="Times New Roman" w:hAnsiTheme="minorHAnsi" w:cs="Arial"/>
          <w:szCs w:val="22"/>
          <w:lang w:eastAsia="en-GB"/>
        </w:rPr>
      </w:pPr>
      <w:r w:rsidRPr="00C41814">
        <w:rPr>
          <w:rFonts w:asciiTheme="minorHAnsi" w:eastAsia="Times New Roman" w:hAnsiTheme="minorHAnsi" w:cs="Arial"/>
          <w:szCs w:val="22"/>
          <w:lang w:eastAsia="en-GB"/>
        </w:rPr>
        <w:t xml:space="preserve">Thanet CCG's only reason for not following the guidance was that it disagreed with its evidence on the effectiveness of oocyte </w:t>
      </w:r>
      <w:proofErr w:type="spellStart"/>
      <w:r w:rsidRPr="00C41814">
        <w:rPr>
          <w:rFonts w:asciiTheme="minorHAnsi" w:eastAsia="Times New Roman" w:hAnsiTheme="minorHAnsi" w:cs="Arial"/>
          <w:szCs w:val="22"/>
          <w:lang w:eastAsia="en-GB"/>
        </w:rPr>
        <w:t>cryostorage</w:t>
      </w:r>
      <w:proofErr w:type="spellEnd"/>
      <w:r w:rsidRPr="00C41814">
        <w:rPr>
          <w:rFonts w:asciiTheme="minorHAnsi" w:eastAsia="Times New Roman" w:hAnsiTheme="minorHAnsi" w:cs="Arial"/>
          <w:szCs w:val="22"/>
          <w:lang w:eastAsia="en-GB"/>
        </w:rPr>
        <w:t xml:space="preserve">. The court held that CCGs might not legitimately disagree with NICE on matters concerning medical science. Since no rational basis or reasoning on grounds of exceptionality had been given it followed that the policy of the CCG had been unlawful. </w:t>
      </w:r>
    </w:p>
    <w:p w14:paraId="0A531992" w14:textId="5F6B8B68" w:rsidR="00540CF4"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Arial"/>
          <w:i/>
          <w:szCs w:val="22"/>
        </w:rPr>
        <w:t xml:space="preserve"> Rose v Thanet </w:t>
      </w:r>
      <w:r w:rsidR="00A94AD9" w:rsidRPr="00C41814">
        <w:rPr>
          <w:rFonts w:asciiTheme="minorHAnsi" w:hAnsiTheme="minorHAnsi" w:cs="Arial"/>
          <w:szCs w:val="22"/>
        </w:rPr>
        <w:t xml:space="preserve">involved </w:t>
      </w:r>
      <w:r w:rsidRPr="00C41814">
        <w:rPr>
          <w:rFonts w:asciiTheme="minorHAnsi" w:hAnsiTheme="minorHAnsi" w:cs="Arial"/>
          <w:szCs w:val="22"/>
        </w:rPr>
        <w:t>the implications of failure to comply with</w:t>
      </w:r>
      <w:r w:rsidR="004C76A2" w:rsidRPr="00C41814">
        <w:rPr>
          <w:rFonts w:asciiTheme="minorHAnsi" w:hAnsiTheme="minorHAnsi" w:cs="Arial"/>
          <w:szCs w:val="22"/>
        </w:rPr>
        <w:t xml:space="preserve"> national</w:t>
      </w:r>
      <w:r w:rsidRPr="00C41814">
        <w:rPr>
          <w:rFonts w:asciiTheme="minorHAnsi" w:hAnsiTheme="minorHAnsi" w:cs="Arial"/>
          <w:szCs w:val="22"/>
        </w:rPr>
        <w:t xml:space="preserve"> guidance</w:t>
      </w:r>
      <w:r w:rsidR="004C76A2" w:rsidRPr="00C41814">
        <w:rPr>
          <w:rFonts w:asciiTheme="minorHAnsi" w:hAnsiTheme="minorHAnsi" w:cs="Arial"/>
          <w:szCs w:val="22"/>
        </w:rPr>
        <w:t>. The case</w:t>
      </w:r>
      <w:r w:rsidRPr="00C41814">
        <w:rPr>
          <w:rFonts w:asciiTheme="minorHAnsi" w:hAnsiTheme="minorHAnsi" w:cs="Arial"/>
          <w:szCs w:val="22"/>
        </w:rPr>
        <w:t xml:space="preserve"> concerned a decision-making body and not an individual</w:t>
      </w:r>
      <w:r w:rsidR="005B64FA" w:rsidRPr="00C41814">
        <w:rPr>
          <w:rFonts w:asciiTheme="minorHAnsi" w:hAnsiTheme="minorHAnsi" w:cs="Arial"/>
          <w:szCs w:val="22"/>
        </w:rPr>
        <w:t xml:space="preserve"> and was</w:t>
      </w:r>
      <w:r w:rsidRPr="00C41814">
        <w:rPr>
          <w:rFonts w:asciiTheme="minorHAnsi" w:hAnsiTheme="minorHAnsi" w:cs="Arial"/>
          <w:szCs w:val="22"/>
        </w:rPr>
        <w:t xml:space="preserve"> argued on public law rather than tort. </w:t>
      </w:r>
      <w:r w:rsidR="006E33AA" w:rsidRPr="00C41814">
        <w:rPr>
          <w:rFonts w:asciiTheme="minorHAnsi" w:hAnsiTheme="minorHAnsi" w:cs="Arial"/>
          <w:szCs w:val="22"/>
        </w:rPr>
        <w:t xml:space="preserve"> </w:t>
      </w:r>
      <w:r w:rsidR="005B64FA" w:rsidRPr="00C41814">
        <w:rPr>
          <w:rFonts w:asciiTheme="minorHAnsi" w:hAnsiTheme="minorHAnsi" w:cs="Arial"/>
          <w:szCs w:val="22"/>
        </w:rPr>
        <w:t xml:space="preserve">On one view the </w:t>
      </w:r>
      <w:r w:rsidR="00540CF4" w:rsidRPr="00C41814">
        <w:rPr>
          <w:rFonts w:asciiTheme="minorHAnsi" w:hAnsiTheme="minorHAnsi" w:cs="Arial"/>
          <w:szCs w:val="22"/>
        </w:rPr>
        <w:t>judgment</w:t>
      </w:r>
      <w:r w:rsidR="005B64FA" w:rsidRPr="00C41814">
        <w:rPr>
          <w:rFonts w:asciiTheme="minorHAnsi" w:hAnsiTheme="minorHAnsi" w:cs="Arial"/>
          <w:szCs w:val="22"/>
        </w:rPr>
        <w:t xml:space="preserve"> could be perceived as</w:t>
      </w:r>
      <w:r w:rsidRPr="00C41814">
        <w:rPr>
          <w:rFonts w:asciiTheme="minorHAnsi" w:hAnsiTheme="minorHAnsi" w:cs="Arial"/>
          <w:szCs w:val="22"/>
        </w:rPr>
        <w:t xml:space="preserve"> a</w:t>
      </w:r>
      <w:r w:rsidR="005B64FA" w:rsidRPr="00C41814">
        <w:rPr>
          <w:rFonts w:asciiTheme="minorHAnsi" w:hAnsiTheme="minorHAnsi" w:cs="Arial"/>
          <w:szCs w:val="22"/>
        </w:rPr>
        <w:t xml:space="preserve">n </w:t>
      </w:r>
      <w:r w:rsidRPr="00C41814">
        <w:rPr>
          <w:rFonts w:asciiTheme="minorHAnsi" w:hAnsiTheme="minorHAnsi" w:cs="Arial"/>
          <w:szCs w:val="22"/>
        </w:rPr>
        <w:t xml:space="preserve">impingement on </w:t>
      </w:r>
      <w:r w:rsidR="00F60AFC" w:rsidRPr="00C41814">
        <w:rPr>
          <w:rFonts w:asciiTheme="minorHAnsi" w:hAnsiTheme="minorHAnsi" w:cs="Arial"/>
          <w:szCs w:val="22"/>
        </w:rPr>
        <w:t>the discretion of the healthcare provider.</w:t>
      </w:r>
      <w:r w:rsidR="005B64FA" w:rsidRPr="00C41814">
        <w:rPr>
          <w:rFonts w:asciiTheme="minorHAnsi" w:hAnsiTheme="minorHAnsi" w:cs="Arial"/>
          <w:szCs w:val="22"/>
        </w:rPr>
        <w:t xml:space="preserve"> Alternatively,</w:t>
      </w:r>
      <w:r w:rsidRPr="00C41814">
        <w:rPr>
          <w:rFonts w:asciiTheme="minorHAnsi" w:hAnsiTheme="minorHAnsi" w:cs="Arial"/>
          <w:szCs w:val="22"/>
        </w:rPr>
        <w:t xml:space="preserve"> ground</w:t>
      </w:r>
      <w:r w:rsidR="005B64FA" w:rsidRPr="00C41814">
        <w:rPr>
          <w:rFonts w:asciiTheme="minorHAnsi" w:hAnsiTheme="minorHAnsi" w:cs="Arial"/>
          <w:szCs w:val="22"/>
        </w:rPr>
        <w:t>s</w:t>
      </w:r>
      <w:r w:rsidRPr="00C41814">
        <w:rPr>
          <w:rFonts w:asciiTheme="minorHAnsi" w:hAnsiTheme="minorHAnsi" w:cs="Arial"/>
          <w:szCs w:val="22"/>
        </w:rPr>
        <w:t xml:space="preserve"> of exceptionality could have been argued</w:t>
      </w:r>
      <w:r w:rsidR="005B64FA" w:rsidRPr="00C41814">
        <w:rPr>
          <w:rFonts w:asciiTheme="minorHAnsi" w:hAnsiTheme="minorHAnsi" w:cs="Arial"/>
          <w:szCs w:val="22"/>
        </w:rPr>
        <w:t xml:space="preserve">, </w:t>
      </w:r>
      <w:r w:rsidRPr="00C41814">
        <w:rPr>
          <w:rFonts w:asciiTheme="minorHAnsi" w:hAnsiTheme="minorHAnsi" w:cs="Arial"/>
          <w:szCs w:val="22"/>
        </w:rPr>
        <w:t xml:space="preserve">which could have </w:t>
      </w:r>
      <w:r w:rsidR="005B64FA" w:rsidRPr="00C41814">
        <w:rPr>
          <w:rFonts w:asciiTheme="minorHAnsi" w:hAnsiTheme="minorHAnsi" w:cs="Arial"/>
          <w:szCs w:val="22"/>
        </w:rPr>
        <w:t>formed</w:t>
      </w:r>
      <w:r w:rsidRPr="00C41814">
        <w:rPr>
          <w:rFonts w:asciiTheme="minorHAnsi" w:hAnsiTheme="minorHAnsi" w:cs="Arial"/>
          <w:szCs w:val="22"/>
        </w:rPr>
        <w:t xml:space="preserve"> justification</w:t>
      </w:r>
      <w:r w:rsidR="005B64FA" w:rsidRPr="00C41814">
        <w:rPr>
          <w:rFonts w:asciiTheme="minorHAnsi" w:hAnsiTheme="minorHAnsi" w:cs="Arial"/>
          <w:szCs w:val="22"/>
        </w:rPr>
        <w:t xml:space="preserve"> for the CCG’s </w:t>
      </w:r>
      <w:r w:rsidR="00540CF4" w:rsidRPr="00C41814">
        <w:rPr>
          <w:rFonts w:asciiTheme="minorHAnsi" w:hAnsiTheme="minorHAnsi" w:cs="Arial"/>
          <w:szCs w:val="22"/>
        </w:rPr>
        <w:t>decision.</w:t>
      </w:r>
      <w:r w:rsidR="005B64FA" w:rsidRPr="00C41814">
        <w:rPr>
          <w:rFonts w:asciiTheme="minorHAnsi" w:hAnsiTheme="minorHAnsi" w:cs="Arial"/>
          <w:szCs w:val="22"/>
        </w:rPr>
        <w:t xml:space="preserve"> </w:t>
      </w:r>
      <w:r w:rsidRPr="00C41814">
        <w:rPr>
          <w:rFonts w:asciiTheme="minorHAnsi" w:hAnsiTheme="minorHAnsi" w:cs="Arial"/>
          <w:szCs w:val="22"/>
        </w:rPr>
        <w:t xml:space="preserve"> </w:t>
      </w:r>
      <w:r w:rsidR="00540CF4" w:rsidRPr="00C41814">
        <w:rPr>
          <w:rFonts w:asciiTheme="minorHAnsi" w:hAnsiTheme="minorHAnsi" w:cs="Arial"/>
          <w:szCs w:val="22"/>
        </w:rPr>
        <w:t xml:space="preserve">The </w:t>
      </w:r>
      <w:r w:rsidR="00540CF4" w:rsidRPr="00C41814">
        <w:rPr>
          <w:rFonts w:asciiTheme="minorHAnsi" w:hAnsiTheme="minorHAnsi" w:cs="Arial"/>
          <w:i/>
          <w:iCs/>
          <w:szCs w:val="22"/>
        </w:rPr>
        <w:t xml:space="preserve">Thanet </w:t>
      </w:r>
      <w:r w:rsidR="00540CF4" w:rsidRPr="00C41814">
        <w:rPr>
          <w:rFonts w:asciiTheme="minorHAnsi" w:hAnsiTheme="minorHAnsi" w:cs="Arial"/>
          <w:szCs w:val="22"/>
        </w:rPr>
        <w:t>judgment applied as an illustration to individual cases of negligence could have significant implications for determining the legal standard for reasonable care. However, as shown from our study, divergence from accepted national guidance may be tolerated if there are cogent reasons for doing so.</w:t>
      </w:r>
    </w:p>
    <w:p w14:paraId="330E8DA1" w14:textId="77777777" w:rsidR="00540CF4" w:rsidRPr="00C41814" w:rsidRDefault="00540CF4" w:rsidP="008E5806">
      <w:pPr>
        <w:spacing w:after="200" w:line="360" w:lineRule="auto"/>
        <w:rPr>
          <w:rFonts w:asciiTheme="minorHAnsi" w:hAnsiTheme="minorHAnsi" w:cstheme="minorBidi"/>
          <w:szCs w:val="22"/>
        </w:rPr>
      </w:pPr>
    </w:p>
    <w:p w14:paraId="3FD64AE0" w14:textId="3B225411" w:rsidR="00A95C27" w:rsidRPr="00C41814" w:rsidRDefault="00A50CF6" w:rsidP="008E5806">
      <w:pPr>
        <w:spacing w:after="200" w:line="360" w:lineRule="auto"/>
        <w:jc w:val="center"/>
        <w:rPr>
          <w:rFonts w:asciiTheme="minorHAnsi" w:hAnsiTheme="minorHAnsi" w:cstheme="minorBidi"/>
          <w:i/>
          <w:szCs w:val="22"/>
        </w:rPr>
      </w:pPr>
      <w:r w:rsidRPr="00C41814">
        <w:rPr>
          <w:rFonts w:asciiTheme="minorHAnsi" w:hAnsiTheme="minorHAnsi" w:cstheme="minorBidi"/>
          <w:i/>
          <w:szCs w:val="22"/>
        </w:rPr>
        <w:t>D</w:t>
      </w:r>
      <w:r w:rsidR="00A95C27" w:rsidRPr="00C41814">
        <w:rPr>
          <w:rFonts w:asciiTheme="minorHAnsi" w:hAnsiTheme="minorHAnsi" w:cstheme="minorBidi"/>
          <w:i/>
          <w:szCs w:val="22"/>
        </w:rPr>
        <w:t>. Impact of Clinical Guidelines on judicial decision-making</w:t>
      </w:r>
    </w:p>
    <w:p w14:paraId="58F6D99E" w14:textId="01770ACE" w:rsidR="0078314F" w:rsidRPr="00C41814" w:rsidRDefault="0078314F"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t xml:space="preserve">1. Persuasiveness </w:t>
      </w:r>
    </w:p>
    <w:p w14:paraId="1B03560F" w14:textId="7AFBD47C" w:rsidR="00A95C27" w:rsidRPr="00C41814" w:rsidRDefault="00555C03" w:rsidP="008E5806">
      <w:pPr>
        <w:spacing w:after="200" w:line="360" w:lineRule="auto"/>
        <w:rPr>
          <w:rFonts w:asciiTheme="minorHAnsi" w:hAnsiTheme="minorHAnsi" w:cstheme="minorBidi"/>
          <w:szCs w:val="22"/>
        </w:rPr>
      </w:pPr>
      <w:r w:rsidRPr="00C41814">
        <w:rPr>
          <w:rFonts w:asciiTheme="minorHAnsi" w:hAnsiTheme="minorHAnsi" w:cstheme="minorBidi"/>
          <w:szCs w:val="22"/>
        </w:rPr>
        <w:t>P</w:t>
      </w:r>
      <w:r w:rsidR="00A95C27" w:rsidRPr="00C41814">
        <w:rPr>
          <w:rFonts w:asciiTheme="minorHAnsi" w:hAnsiTheme="minorHAnsi" w:cstheme="minorBidi"/>
          <w:szCs w:val="22"/>
        </w:rPr>
        <w:t xml:space="preserve">articipants </w:t>
      </w:r>
      <w:r w:rsidRPr="00C41814">
        <w:rPr>
          <w:rFonts w:asciiTheme="minorHAnsi" w:hAnsiTheme="minorHAnsi" w:cstheme="minorBidi"/>
          <w:szCs w:val="22"/>
        </w:rPr>
        <w:t>perceived</w:t>
      </w:r>
      <w:r w:rsidR="00A95C27" w:rsidRPr="00C41814">
        <w:rPr>
          <w:rFonts w:asciiTheme="minorHAnsi" w:hAnsiTheme="minorHAnsi" w:cstheme="minorBidi"/>
          <w:szCs w:val="22"/>
        </w:rPr>
        <w:t xml:space="preserve"> guidelines </w:t>
      </w:r>
      <w:r w:rsidRPr="00C41814">
        <w:rPr>
          <w:rFonts w:asciiTheme="minorHAnsi" w:hAnsiTheme="minorHAnsi" w:cstheme="minorBidi"/>
          <w:szCs w:val="22"/>
        </w:rPr>
        <w:t>as being</w:t>
      </w:r>
      <w:r w:rsidR="00A95C27" w:rsidRPr="00C41814">
        <w:rPr>
          <w:rFonts w:asciiTheme="minorHAnsi" w:hAnsiTheme="minorHAnsi" w:cstheme="minorBidi"/>
          <w:szCs w:val="22"/>
        </w:rPr>
        <w:t xml:space="preserve"> particular</w:t>
      </w:r>
      <w:r w:rsidRPr="00C41814">
        <w:rPr>
          <w:rFonts w:asciiTheme="minorHAnsi" w:hAnsiTheme="minorHAnsi" w:cstheme="minorBidi"/>
          <w:szCs w:val="22"/>
        </w:rPr>
        <w:t>ly</w:t>
      </w:r>
      <w:r w:rsidR="00A95C27" w:rsidRPr="00C41814">
        <w:rPr>
          <w:rFonts w:asciiTheme="minorHAnsi" w:hAnsiTheme="minorHAnsi" w:cstheme="minorBidi"/>
          <w:szCs w:val="22"/>
        </w:rPr>
        <w:t xml:space="preserve"> influen</w:t>
      </w:r>
      <w:r w:rsidRPr="00C41814">
        <w:rPr>
          <w:rFonts w:asciiTheme="minorHAnsi" w:hAnsiTheme="minorHAnsi" w:cstheme="minorBidi"/>
          <w:szCs w:val="22"/>
        </w:rPr>
        <w:t xml:space="preserve">tial </w:t>
      </w:r>
      <w:r w:rsidR="00747E1C" w:rsidRPr="00C41814">
        <w:rPr>
          <w:rFonts w:asciiTheme="minorHAnsi" w:hAnsiTheme="minorHAnsi" w:cstheme="minorBidi"/>
          <w:szCs w:val="22"/>
        </w:rPr>
        <w:t>o</w:t>
      </w:r>
      <w:r w:rsidRPr="00C41814">
        <w:rPr>
          <w:rFonts w:asciiTheme="minorHAnsi" w:hAnsiTheme="minorHAnsi" w:cstheme="minorBidi"/>
          <w:szCs w:val="22"/>
        </w:rPr>
        <w:t>n judicial</w:t>
      </w:r>
      <w:r w:rsidR="00A95C27" w:rsidRPr="00C41814">
        <w:rPr>
          <w:rFonts w:asciiTheme="minorHAnsi" w:hAnsiTheme="minorHAnsi" w:cstheme="minorBidi"/>
          <w:szCs w:val="22"/>
        </w:rPr>
        <w:t xml:space="preserve"> decision-making in areas </w:t>
      </w:r>
      <w:r w:rsidRPr="00C41814">
        <w:rPr>
          <w:rFonts w:asciiTheme="minorHAnsi" w:hAnsiTheme="minorHAnsi" w:cstheme="minorBidi"/>
          <w:szCs w:val="22"/>
        </w:rPr>
        <w:t xml:space="preserve">such as </w:t>
      </w:r>
      <w:r w:rsidR="00A95C27" w:rsidRPr="00C41814">
        <w:rPr>
          <w:rFonts w:asciiTheme="minorHAnsi" w:hAnsiTheme="minorHAnsi" w:cstheme="minorBidi"/>
          <w:szCs w:val="22"/>
        </w:rPr>
        <w:t xml:space="preserve">obstetrics and cancer referral.  </w:t>
      </w:r>
      <w:r w:rsidR="00747E1C" w:rsidRPr="00C41814">
        <w:rPr>
          <w:rFonts w:asciiTheme="minorHAnsi" w:hAnsiTheme="minorHAnsi" w:cstheme="minorBidi"/>
          <w:szCs w:val="22"/>
        </w:rPr>
        <w:t>R</w:t>
      </w:r>
      <w:r w:rsidR="00A95C27" w:rsidRPr="00C41814">
        <w:rPr>
          <w:rFonts w:asciiTheme="minorHAnsi" w:hAnsiTheme="minorHAnsi" w:cstheme="minorBidi"/>
          <w:szCs w:val="22"/>
        </w:rPr>
        <w:t>easons</w:t>
      </w:r>
      <w:r w:rsidR="00747E1C" w:rsidRPr="00C41814">
        <w:rPr>
          <w:rFonts w:asciiTheme="minorHAnsi" w:hAnsiTheme="minorHAnsi" w:cstheme="minorBidi"/>
          <w:szCs w:val="22"/>
        </w:rPr>
        <w:t xml:space="preserve"> for such persuasiveness were: f</w:t>
      </w:r>
      <w:r w:rsidR="00A95C27" w:rsidRPr="00C41814">
        <w:rPr>
          <w:rFonts w:asciiTheme="minorHAnsi" w:hAnsiTheme="minorHAnsi" w:cstheme="minorBidi"/>
          <w:szCs w:val="22"/>
        </w:rPr>
        <w:t xml:space="preserve">irst, the provenance of guidance </w:t>
      </w:r>
      <w:r w:rsidR="00747E1C" w:rsidRPr="00C41814">
        <w:rPr>
          <w:rFonts w:asciiTheme="minorHAnsi" w:hAnsiTheme="minorHAnsi" w:cstheme="minorBidi"/>
          <w:szCs w:val="22"/>
        </w:rPr>
        <w:t xml:space="preserve">was usually </w:t>
      </w:r>
      <w:r w:rsidR="00A95C27" w:rsidRPr="00C41814">
        <w:rPr>
          <w:rFonts w:asciiTheme="minorHAnsi" w:hAnsiTheme="minorHAnsi" w:cstheme="minorBidi"/>
          <w:szCs w:val="22"/>
        </w:rPr>
        <w:t xml:space="preserve">from </w:t>
      </w:r>
      <w:r w:rsidR="00F60AFC" w:rsidRPr="00C41814">
        <w:rPr>
          <w:rFonts w:asciiTheme="minorHAnsi" w:hAnsiTheme="minorHAnsi" w:cstheme="minorBidi"/>
          <w:szCs w:val="22"/>
        </w:rPr>
        <w:t>nationally</w:t>
      </w:r>
      <w:r w:rsidR="00747E1C" w:rsidRPr="00C41814">
        <w:rPr>
          <w:rFonts w:asciiTheme="minorHAnsi" w:hAnsiTheme="minorHAnsi" w:cstheme="minorBidi"/>
          <w:szCs w:val="22"/>
        </w:rPr>
        <w:t xml:space="preserve"> respected professional organisations and</w:t>
      </w:r>
      <w:r w:rsidR="00A95C27" w:rsidRPr="00C41814">
        <w:rPr>
          <w:rFonts w:asciiTheme="minorHAnsi" w:hAnsiTheme="minorHAnsi" w:cstheme="minorBidi"/>
          <w:szCs w:val="22"/>
        </w:rPr>
        <w:t xml:space="preserve"> carried greater weight</w:t>
      </w:r>
      <w:r w:rsidR="00747E1C" w:rsidRPr="00C41814">
        <w:rPr>
          <w:rFonts w:asciiTheme="minorHAnsi" w:hAnsiTheme="minorHAnsi" w:cstheme="minorBidi"/>
          <w:szCs w:val="22"/>
        </w:rPr>
        <w:t>;</w:t>
      </w:r>
      <w:r w:rsidR="00A95C27" w:rsidRPr="00C41814">
        <w:rPr>
          <w:rFonts w:asciiTheme="minorHAnsi" w:hAnsiTheme="minorHAnsi" w:cstheme="minorBidi"/>
          <w:szCs w:val="22"/>
        </w:rPr>
        <w:t xml:space="preserve"> second, the content of </w:t>
      </w:r>
      <w:r w:rsidR="00747E1C" w:rsidRPr="00C41814">
        <w:rPr>
          <w:rFonts w:asciiTheme="minorHAnsi" w:hAnsiTheme="minorHAnsi" w:cstheme="minorBidi"/>
          <w:szCs w:val="22"/>
        </w:rPr>
        <w:t xml:space="preserve">the </w:t>
      </w:r>
      <w:r w:rsidR="00A95C27" w:rsidRPr="00C41814">
        <w:rPr>
          <w:rFonts w:asciiTheme="minorHAnsi" w:hAnsiTheme="minorHAnsi" w:cstheme="minorBidi"/>
          <w:szCs w:val="22"/>
        </w:rPr>
        <w:t>guidance</w:t>
      </w:r>
      <w:r w:rsidR="00747E1C" w:rsidRPr="00C41814">
        <w:rPr>
          <w:rFonts w:asciiTheme="minorHAnsi" w:hAnsiTheme="minorHAnsi" w:cstheme="minorBidi"/>
          <w:szCs w:val="22"/>
        </w:rPr>
        <w:t xml:space="preserve"> was</w:t>
      </w:r>
      <w:r w:rsidR="00A95C27" w:rsidRPr="00C41814">
        <w:rPr>
          <w:rFonts w:asciiTheme="minorHAnsi" w:hAnsiTheme="minorHAnsi" w:cstheme="minorBidi"/>
          <w:szCs w:val="22"/>
        </w:rPr>
        <w:t xml:space="preserve"> </w:t>
      </w:r>
      <w:r w:rsidR="00747E1C" w:rsidRPr="00C41814">
        <w:rPr>
          <w:rFonts w:asciiTheme="minorHAnsi" w:hAnsiTheme="minorHAnsi" w:cstheme="minorBidi"/>
          <w:szCs w:val="22"/>
        </w:rPr>
        <w:t xml:space="preserve">perceived </w:t>
      </w:r>
      <w:r w:rsidR="00A95C27" w:rsidRPr="00C41814">
        <w:rPr>
          <w:rFonts w:asciiTheme="minorHAnsi" w:hAnsiTheme="minorHAnsi" w:cstheme="minorBidi"/>
          <w:szCs w:val="22"/>
        </w:rPr>
        <w:t>as</w:t>
      </w:r>
      <w:r w:rsidR="00747E1C" w:rsidRPr="00C41814">
        <w:rPr>
          <w:rFonts w:asciiTheme="minorHAnsi" w:hAnsiTheme="minorHAnsi" w:cstheme="minorBidi"/>
          <w:szCs w:val="22"/>
        </w:rPr>
        <w:t xml:space="preserve"> either</w:t>
      </w:r>
      <w:r w:rsidR="00A95C27" w:rsidRPr="00C41814">
        <w:rPr>
          <w:rFonts w:asciiTheme="minorHAnsi" w:hAnsiTheme="minorHAnsi" w:cstheme="minorBidi"/>
          <w:szCs w:val="22"/>
        </w:rPr>
        <w:t xml:space="preserve"> </w:t>
      </w:r>
      <w:r w:rsidR="00747E1C" w:rsidRPr="00C41814">
        <w:rPr>
          <w:rFonts w:asciiTheme="minorHAnsi" w:hAnsiTheme="minorHAnsi" w:cstheme="minorBidi"/>
          <w:szCs w:val="22"/>
        </w:rPr>
        <w:t>“</w:t>
      </w:r>
      <w:r w:rsidR="00A95C27" w:rsidRPr="00C41814">
        <w:rPr>
          <w:rFonts w:asciiTheme="minorHAnsi" w:hAnsiTheme="minorHAnsi" w:cstheme="minorBidi"/>
          <w:szCs w:val="22"/>
        </w:rPr>
        <w:t>black or white</w:t>
      </w:r>
      <w:r w:rsidR="00747E1C" w:rsidRPr="00C41814">
        <w:rPr>
          <w:rFonts w:asciiTheme="minorHAnsi" w:hAnsiTheme="minorHAnsi" w:cstheme="minorBidi"/>
          <w:szCs w:val="22"/>
        </w:rPr>
        <w:t>”</w:t>
      </w:r>
      <w:r w:rsidR="00A95C27" w:rsidRPr="00C41814">
        <w:rPr>
          <w:rFonts w:asciiTheme="minorHAnsi" w:hAnsiTheme="minorHAnsi" w:cstheme="minorBidi"/>
          <w:szCs w:val="22"/>
        </w:rPr>
        <w:t xml:space="preserve">; third, </w:t>
      </w:r>
      <w:r w:rsidR="00747E1C" w:rsidRPr="00C41814">
        <w:rPr>
          <w:rFonts w:asciiTheme="minorHAnsi" w:hAnsiTheme="minorHAnsi" w:cstheme="minorBidi"/>
          <w:szCs w:val="22"/>
        </w:rPr>
        <w:t>the presentation was in an easily understandable format.</w:t>
      </w:r>
      <w:r w:rsidR="00A95C27" w:rsidRPr="00C41814">
        <w:rPr>
          <w:rFonts w:asciiTheme="minorHAnsi" w:hAnsiTheme="minorHAnsi" w:cstheme="minorBidi"/>
          <w:szCs w:val="22"/>
        </w:rPr>
        <w:t xml:space="preserve"> Clinical guidelines</w:t>
      </w:r>
      <w:r w:rsidR="00747E1C" w:rsidRPr="00C41814">
        <w:rPr>
          <w:rFonts w:asciiTheme="minorHAnsi" w:hAnsiTheme="minorHAnsi" w:cstheme="minorBidi"/>
          <w:szCs w:val="22"/>
        </w:rPr>
        <w:t xml:space="preserve"> in these areas</w:t>
      </w:r>
      <w:r w:rsidR="00A95C27" w:rsidRPr="00C41814">
        <w:rPr>
          <w:rFonts w:asciiTheme="minorHAnsi" w:hAnsiTheme="minorHAnsi" w:cstheme="minorBidi"/>
          <w:szCs w:val="22"/>
        </w:rPr>
        <w:t xml:space="preserve"> were “</w:t>
      </w:r>
      <w:r w:rsidR="00A95C27" w:rsidRPr="00C41814">
        <w:rPr>
          <w:rFonts w:asciiTheme="minorHAnsi" w:hAnsiTheme="minorHAnsi" w:cstheme="minorBidi"/>
          <w:i/>
          <w:szCs w:val="22"/>
        </w:rPr>
        <w:t>typically seen by the judiciary as a benchmark for reasonable clinical care. There is a presumption that care which deviates from evidence-based guidelines would be substandard or negligence, and one needs compelling evidence to justify why a practitioner is still acting reasonably when deviating from the guideline.</w:t>
      </w:r>
      <w:r w:rsidR="00A95C27" w:rsidRPr="00C41814">
        <w:rPr>
          <w:rFonts w:asciiTheme="minorHAnsi" w:hAnsiTheme="minorHAnsi" w:cstheme="minorBidi"/>
          <w:szCs w:val="22"/>
        </w:rPr>
        <w:t>”</w:t>
      </w:r>
      <w:r w:rsidR="00A95C27" w:rsidRPr="00C41814">
        <w:rPr>
          <w:rFonts w:asciiTheme="minorHAnsi" w:hAnsiTheme="minorHAnsi" w:cstheme="minorBidi"/>
          <w:szCs w:val="22"/>
          <w:vertAlign w:val="superscript"/>
        </w:rPr>
        <w:footnoteReference w:id="108"/>
      </w:r>
      <w:r w:rsidR="00A95C27" w:rsidRPr="00C41814">
        <w:rPr>
          <w:rFonts w:asciiTheme="minorHAnsi" w:hAnsiTheme="minorHAnsi" w:cstheme="minorBidi"/>
          <w:szCs w:val="22"/>
        </w:rPr>
        <w:t xml:space="preserve">  </w:t>
      </w:r>
    </w:p>
    <w:p w14:paraId="6A093964" w14:textId="4B28973D"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The potentially persuasive nature of an evidence-based guideline was readily apparent: “</w:t>
      </w:r>
      <w:r w:rsidRPr="00C41814">
        <w:rPr>
          <w:rFonts w:asciiTheme="minorHAnsi" w:hAnsiTheme="minorHAnsi" w:cstheme="minorBidi"/>
          <w:i/>
          <w:szCs w:val="22"/>
        </w:rPr>
        <w:t xml:space="preserve">If one expert is able to point to clinical guidance to support their position, particularly if produced by NICE or the Colleges, then that expert almost gets a casting vote … it generates a sense of ‘well, it’s not just me that’s saying this’ and nine times out of ten a judge will have no experience of that particular area of </w:t>
      </w:r>
      <w:r w:rsidRPr="00C41814">
        <w:rPr>
          <w:rFonts w:asciiTheme="minorHAnsi" w:hAnsiTheme="minorHAnsi" w:cstheme="minorBidi"/>
          <w:i/>
          <w:szCs w:val="22"/>
        </w:rPr>
        <w:lastRenderedPageBreak/>
        <w:t>medicine, and that would be seen as a pretty persuasive piece of evidence.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09"/>
      </w:r>
      <w:r w:rsidRPr="00C41814">
        <w:rPr>
          <w:rFonts w:asciiTheme="minorHAnsi" w:hAnsiTheme="minorHAnsi" w:cstheme="minorBidi"/>
          <w:szCs w:val="22"/>
        </w:rPr>
        <w:t xml:space="preserve"> Others felt that the reason for their influence was due partly to the nature of law and the legal profession in that: “</w:t>
      </w:r>
      <w:r w:rsidRPr="00C41814">
        <w:rPr>
          <w:rFonts w:asciiTheme="minorHAnsi" w:hAnsiTheme="minorHAnsi" w:cstheme="minorBidi"/>
          <w:i/>
          <w:szCs w:val="22"/>
        </w:rPr>
        <w:t>Lawyers are used to dealing with rules, and guidelines seem like rules, and you can confidently infer that evidence-based guidelines are based on research trials and experience. That’s a nice easy presentation for a judge to understand.</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10"/>
      </w:r>
      <w:r w:rsidRPr="00C41814">
        <w:rPr>
          <w:rFonts w:asciiTheme="minorHAnsi" w:hAnsiTheme="minorHAnsi" w:cstheme="minorBidi"/>
          <w:szCs w:val="22"/>
        </w:rPr>
        <w:t xml:space="preserve"> Nevertheless, while the considerable potential of supportive clinic</w:t>
      </w:r>
      <w:r w:rsidR="00361D7E" w:rsidRPr="00C41814">
        <w:rPr>
          <w:rFonts w:asciiTheme="minorHAnsi" w:hAnsiTheme="minorHAnsi" w:cstheme="minorBidi"/>
          <w:szCs w:val="22"/>
        </w:rPr>
        <w:t xml:space="preserve">al guidance is readily apparent, potential </w:t>
      </w:r>
      <w:r w:rsidRPr="00C41814">
        <w:rPr>
          <w:rFonts w:asciiTheme="minorHAnsi" w:hAnsiTheme="minorHAnsi" w:cstheme="minorBidi"/>
          <w:szCs w:val="22"/>
        </w:rPr>
        <w:t>problems caused by forensic dissection of clinical guidance, as though they were instruments of law, has been recognised.</w:t>
      </w:r>
      <w:r w:rsidRPr="00C41814">
        <w:rPr>
          <w:rFonts w:asciiTheme="minorHAnsi" w:hAnsiTheme="minorHAnsi" w:cstheme="minorBidi"/>
          <w:szCs w:val="22"/>
          <w:vertAlign w:val="superscript"/>
        </w:rPr>
        <w:footnoteReference w:id="111"/>
      </w:r>
      <w:r w:rsidRPr="00C41814">
        <w:rPr>
          <w:rFonts w:asciiTheme="minorHAnsi" w:hAnsiTheme="minorHAnsi" w:cstheme="minorBidi"/>
          <w:szCs w:val="22"/>
        </w:rPr>
        <w:t xml:space="preserve"> Guidelines are written </w:t>
      </w:r>
      <w:r w:rsidR="00361D7E" w:rsidRPr="00C41814">
        <w:rPr>
          <w:rFonts w:asciiTheme="minorHAnsi" w:hAnsiTheme="minorHAnsi" w:cstheme="minorBidi"/>
          <w:szCs w:val="22"/>
        </w:rPr>
        <w:t xml:space="preserve">to assist </w:t>
      </w:r>
      <w:r w:rsidRPr="00C41814">
        <w:rPr>
          <w:rFonts w:asciiTheme="minorHAnsi" w:hAnsiTheme="minorHAnsi" w:cstheme="minorBidi"/>
          <w:szCs w:val="22"/>
        </w:rPr>
        <w:t xml:space="preserve">clinicians to make evidence-based decisions rather than to assist judges to decide whether a treatment or intervention was clinically indicated.  A further question concerns whether the courts are </w:t>
      </w:r>
      <w:r w:rsidR="00F60AFC" w:rsidRPr="00C41814">
        <w:rPr>
          <w:rFonts w:asciiTheme="minorHAnsi" w:hAnsiTheme="minorHAnsi" w:cstheme="minorBidi"/>
          <w:szCs w:val="22"/>
        </w:rPr>
        <w:t>truly</w:t>
      </w:r>
      <w:r w:rsidRPr="00C41814">
        <w:rPr>
          <w:rFonts w:asciiTheme="minorHAnsi" w:hAnsiTheme="minorHAnsi" w:cstheme="minorBidi"/>
          <w:szCs w:val="22"/>
        </w:rPr>
        <w:t xml:space="preserve"> appropriately placed to adjudicate on matters of clinical judgement. Even after </w:t>
      </w:r>
      <w:r w:rsidRPr="00C41814">
        <w:rPr>
          <w:rFonts w:asciiTheme="minorHAnsi" w:hAnsiTheme="minorHAnsi" w:cstheme="minorBidi"/>
          <w:i/>
          <w:szCs w:val="22"/>
        </w:rPr>
        <w:t>Bolitho</w:t>
      </w:r>
      <w:r w:rsidRPr="00C41814">
        <w:rPr>
          <w:rFonts w:asciiTheme="minorHAnsi" w:hAnsiTheme="minorHAnsi" w:cstheme="minorBidi"/>
          <w:szCs w:val="22"/>
        </w:rPr>
        <w:t xml:space="preserve"> opportunities for judicial intervention are limited to where clinical opinion is evidently illogical.</w:t>
      </w:r>
      <w:r w:rsidRPr="00C41814">
        <w:rPr>
          <w:rFonts w:asciiTheme="minorHAnsi" w:hAnsiTheme="minorHAnsi" w:cstheme="minorBidi"/>
          <w:szCs w:val="22"/>
          <w:vertAlign w:val="superscript"/>
        </w:rPr>
        <w:footnoteReference w:id="112"/>
      </w:r>
      <w:r w:rsidRPr="00C41814">
        <w:rPr>
          <w:rFonts w:asciiTheme="minorHAnsi" w:hAnsiTheme="minorHAnsi" w:cstheme="minorBidi"/>
          <w:szCs w:val="22"/>
        </w:rPr>
        <w:t xml:space="preserve"> </w:t>
      </w:r>
    </w:p>
    <w:p w14:paraId="7EEB9727" w14:textId="0501101E"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From the participants’ perspective the source of guidance was considered to have principal relevance: “</w:t>
      </w:r>
      <w:r w:rsidRPr="00C41814">
        <w:rPr>
          <w:rFonts w:asciiTheme="minorHAnsi" w:hAnsiTheme="minorHAnsi" w:cstheme="minorBidi"/>
          <w:i/>
          <w:szCs w:val="22"/>
        </w:rPr>
        <w:t>Guidelines produced via NICE, the Royal Colleges and the GMC, will inevitably be seen by a judge as a marker of reasonable clinical care.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13"/>
      </w:r>
      <w:r w:rsidRPr="00C41814">
        <w:rPr>
          <w:rFonts w:asciiTheme="minorHAnsi" w:hAnsiTheme="minorHAnsi" w:cstheme="minorBidi"/>
          <w:szCs w:val="22"/>
        </w:rPr>
        <w:t xml:space="preserve"> Clinical guidelines were seen as part of an overall bundle of persuasive evidence to lay before the court: “</w:t>
      </w:r>
      <w:r w:rsidRPr="00C41814">
        <w:rPr>
          <w:rFonts w:asciiTheme="minorHAnsi" w:hAnsiTheme="minorHAnsi" w:cstheme="minorBidi"/>
          <w:i/>
          <w:szCs w:val="22"/>
        </w:rPr>
        <w:t>I don’t think judges know very much about guidelines, and at the end of the day much depends upon the evidence that is produced in court.</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14"/>
      </w:r>
      <w:r w:rsidRPr="00C41814">
        <w:rPr>
          <w:rFonts w:asciiTheme="minorHAnsi" w:hAnsiTheme="minorHAnsi" w:cstheme="minorBidi"/>
          <w:szCs w:val="22"/>
        </w:rPr>
        <w:t xml:space="preserve"> Nevertheless, lawyers had also seen evidence presented in guidelines as being more authoritative and persuasive compared with sworn in expert testimony in that</w:t>
      </w:r>
      <w:r w:rsidR="004B60A2" w:rsidRPr="00C41814">
        <w:rPr>
          <w:rFonts w:asciiTheme="minorHAnsi" w:hAnsiTheme="minorHAnsi" w:cstheme="minorBidi"/>
          <w:szCs w:val="22"/>
        </w:rPr>
        <w:t xml:space="preserve"> sometimes</w:t>
      </w:r>
      <w:r w:rsidRPr="00C41814">
        <w:rPr>
          <w:rFonts w:asciiTheme="minorHAnsi" w:hAnsiTheme="minorHAnsi" w:cstheme="minorBidi"/>
          <w:szCs w:val="22"/>
        </w:rPr>
        <w:t>: “</w:t>
      </w:r>
      <w:r w:rsidRPr="00C41814">
        <w:rPr>
          <w:rFonts w:asciiTheme="minorHAnsi" w:hAnsiTheme="minorHAnsi" w:cstheme="minorBidi"/>
          <w:i/>
          <w:szCs w:val="22"/>
        </w:rPr>
        <w:t>a defendant expert will say that a certain treatment was defensible, even though it did not follow guidance. Those cases are often difficult because judges can be better persuaded by the black and white content of a guideline.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15"/>
      </w:r>
      <w:r w:rsidRPr="00C41814">
        <w:rPr>
          <w:rFonts w:asciiTheme="minorHAnsi" w:hAnsiTheme="minorHAnsi" w:cstheme="minorBidi"/>
          <w:szCs w:val="22"/>
        </w:rPr>
        <w:t xml:space="preserve"> The potential risk of inequity was also observed: “</w:t>
      </w:r>
      <w:r w:rsidRPr="00C41814">
        <w:rPr>
          <w:rFonts w:asciiTheme="minorHAnsi" w:hAnsiTheme="minorHAnsi" w:cstheme="minorBidi"/>
          <w:i/>
          <w:szCs w:val="22"/>
        </w:rPr>
        <w:t>If a defendant says ‘I followed the guidelines’ he is accused of slavishly following paper guidance; if he says he did not follow the guidelines, it is said that doctors should stop thinking that clinical judgement is better than those of the Guidelines Committee. Judges, by both arguments, would find for the Claimant.</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16"/>
      </w:r>
      <w:r w:rsidRPr="00C41814">
        <w:rPr>
          <w:rFonts w:asciiTheme="minorHAnsi" w:hAnsiTheme="minorHAnsi" w:cstheme="minorBidi"/>
          <w:szCs w:val="22"/>
        </w:rPr>
        <w:t xml:space="preserve"> </w:t>
      </w:r>
    </w:p>
    <w:p w14:paraId="3F1CBDEB" w14:textId="673E6EDF" w:rsidR="00AC29F8" w:rsidRPr="00C41814" w:rsidRDefault="00AC29F8" w:rsidP="008E5806">
      <w:pPr>
        <w:spacing w:after="200" w:line="360" w:lineRule="auto"/>
        <w:rPr>
          <w:rFonts w:asciiTheme="minorHAnsi" w:eastAsia="Times New Roman" w:hAnsiTheme="minorHAnsi" w:cs="Arial"/>
          <w:i/>
          <w:szCs w:val="22"/>
          <w:lang w:val="de-DE"/>
        </w:rPr>
      </w:pPr>
      <w:r w:rsidRPr="00C41814">
        <w:rPr>
          <w:rFonts w:asciiTheme="minorHAnsi" w:eastAsia="Times New Roman" w:hAnsiTheme="minorHAnsi" w:cs="Arial"/>
          <w:i/>
          <w:szCs w:val="22"/>
          <w:lang w:val="de-DE"/>
        </w:rPr>
        <w:t>2. Admissability</w:t>
      </w:r>
    </w:p>
    <w:p w14:paraId="2F12AD9A" w14:textId="79D5D576" w:rsidR="00A95C27" w:rsidRPr="00C41814" w:rsidRDefault="00A95C27" w:rsidP="008E5806">
      <w:pPr>
        <w:spacing w:after="200" w:line="360" w:lineRule="auto"/>
        <w:rPr>
          <w:rFonts w:ascii="Arial" w:eastAsia="Times New Roman" w:hAnsi="Arial" w:cs="Arial"/>
          <w:szCs w:val="22"/>
          <w:lang w:val="en-US"/>
        </w:rPr>
      </w:pPr>
      <w:r w:rsidRPr="00C41814">
        <w:rPr>
          <w:rFonts w:asciiTheme="minorHAnsi" w:eastAsia="Times New Roman" w:hAnsiTheme="minorHAnsi" w:cs="Arial"/>
          <w:szCs w:val="22"/>
          <w:lang w:val="de-DE"/>
        </w:rPr>
        <w:lastRenderedPageBreak/>
        <w:t xml:space="preserve">Perhaps some lessons regarding evaluation of the admissability of guidelines can be drawn from other jurisdictions. In </w:t>
      </w:r>
      <w:r w:rsidRPr="00C41814">
        <w:rPr>
          <w:rFonts w:asciiTheme="minorHAnsi" w:eastAsia="Times New Roman" w:hAnsiTheme="minorHAnsi" w:cs="Arial"/>
          <w:i/>
          <w:szCs w:val="22"/>
          <w:lang w:val="de-DE"/>
        </w:rPr>
        <w:t>Daubert,</w:t>
      </w:r>
      <w:r w:rsidRPr="00C41814">
        <w:rPr>
          <w:rFonts w:asciiTheme="minorHAnsi" w:eastAsia="Times New Roman" w:hAnsiTheme="minorHAnsi" w:cs="Arial"/>
          <w:szCs w:val="22"/>
          <w:vertAlign w:val="superscript"/>
          <w:lang w:val="en-US"/>
        </w:rPr>
        <w:footnoteReference w:id="117"/>
      </w:r>
      <w:r w:rsidRPr="00C41814">
        <w:rPr>
          <w:rFonts w:asciiTheme="minorHAnsi" w:eastAsia="Times New Roman" w:hAnsiTheme="minorHAnsi" w:cs="Arial"/>
          <w:i/>
          <w:szCs w:val="22"/>
          <w:lang w:val="de-DE"/>
        </w:rPr>
        <w:t xml:space="preserve"> </w:t>
      </w:r>
      <w:r w:rsidRPr="00C41814">
        <w:rPr>
          <w:rFonts w:asciiTheme="minorHAnsi" w:eastAsia="Times New Roman" w:hAnsiTheme="minorHAnsi" w:cs="Arial"/>
          <w:szCs w:val="22"/>
          <w:lang w:val="en-US"/>
        </w:rPr>
        <w:t>the United States Supreme Court created standards for judicial evaluation of the reliability and authoritativeness</w:t>
      </w:r>
      <w:r w:rsidRPr="00C41814">
        <w:rPr>
          <w:rFonts w:asciiTheme="minorHAnsi" w:eastAsia="Times New Roman" w:hAnsiTheme="minorHAnsi" w:cs="Arial"/>
          <w:i/>
          <w:szCs w:val="22"/>
          <w:lang w:val="en-US"/>
        </w:rPr>
        <w:t xml:space="preserve"> </w:t>
      </w:r>
      <w:r w:rsidRPr="00C41814">
        <w:rPr>
          <w:rFonts w:asciiTheme="minorHAnsi" w:eastAsia="Times New Roman" w:hAnsiTheme="minorHAnsi" w:cs="Arial"/>
          <w:szCs w:val="22"/>
          <w:lang w:val="en-US"/>
        </w:rPr>
        <w:t>of the scientific foundations that could be permitted as evidence. Solomon</w:t>
      </w:r>
      <w:r w:rsidRPr="00C41814">
        <w:rPr>
          <w:rFonts w:asciiTheme="minorHAnsi" w:eastAsia="Times New Roman" w:hAnsiTheme="minorHAnsi" w:cs="Arial"/>
          <w:szCs w:val="22"/>
          <w:vertAlign w:val="superscript"/>
          <w:lang w:val="en-US"/>
        </w:rPr>
        <w:footnoteReference w:id="118"/>
      </w:r>
      <w:r w:rsidRPr="00C41814">
        <w:rPr>
          <w:rFonts w:asciiTheme="minorHAnsi" w:eastAsia="Times New Roman" w:hAnsiTheme="minorHAnsi" w:cs="Arial"/>
          <w:i/>
          <w:szCs w:val="22"/>
          <w:lang w:val="en-US"/>
        </w:rPr>
        <w:t xml:space="preserve"> </w:t>
      </w:r>
      <w:r w:rsidRPr="00C41814">
        <w:rPr>
          <w:rFonts w:asciiTheme="minorHAnsi" w:eastAsia="Times New Roman" w:hAnsiTheme="minorHAnsi" w:cs="Arial"/>
          <w:szCs w:val="22"/>
          <w:lang w:val="en-US"/>
        </w:rPr>
        <w:t xml:space="preserve">speculates that this </w:t>
      </w:r>
      <w:r w:rsidRPr="00C41814">
        <w:rPr>
          <w:rFonts w:asciiTheme="minorHAnsi" w:eastAsia="Times New Roman" w:hAnsiTheme="minorHAnsi" w:cs="Arial"/>
          <w:szCs w:val="22"/>
        </w:rPr>
        <w:t>might encourage the judiciary to scrutinise the development</w:t>
      </w:r>
      <w:r w:rsidRPr="00C41814">
        <w:rPr>
          <w:rFonts w:asciiTheme="minorHAnsi" w:eastAsia="Times New Roman" w:hAnsiTheme="minorHAnsi" w:cs="Arial"/>
          <w:szCs w:val="22"/>
          <w:lang w:val="en-US"/>
        </w:rPr>
        <w:t xml:space="preserve"> process behind the creation of guidelines as well as the credentials and motivations of their producers.  He contends </w:t>
      </w:r>
      <w:r w:rsidR="00A94AD9" w:rsidRPr="00C41814">
        <w:rPr>
          <w:rFonts w:asciiTheme="minorHAnsi" w:eastAsia="Times New Roman" w:hAnsiTheme="minorHAnsi" w:cs="Arial"/>
          <w:szCs w:val="22"/>
          <w:lang w:val="en-US"/>
        </w:rPr>
        <w:t xml:space="preserve">further </w:t>
      </w:r>
      <w:r w:rsidRPr="00C41814">
        <w:rPr>
          <w:rFonts w:asciiTheme="minorHAnsi" w:eastAsia="Times New Roman" w:hAnsiTheme="minorHAnsi" w:cs="Arial"/>
          <w:szCs w:val="22"/>
          <w:lang w:val="en-US"/>
        </w:rPr>
        <w:t xml:space="preserve">that the National Guidance Clearing House (NGC) inclusion criteria might provide examples of the minimum </w:t>
      </w:r>
      <w:r w:rsidR="000634F9" w:rsidRPr="00C41814">
        <w:rPr>
          <w:rFonts w:asciiTheme="minorHAnsi" w:eastAsia="Times New Roman" w:hAnsiTheme="minorHAnsi" w:cs="Arial"/>
          <w:szCs w:val="22"/>
          <w:lang w:val="en-US"/>
        </w:rPr>
        <w:t xml:space="preserve">set of </w:t>
      </w:r>
      <w:r w:rsidRPr="00C41814">
        <w:rPr>
          <w:rFonts w:asciiTheme="minorHAnsi" w:eastAsia="Times New Roman" w:hAnsiTheme="minorHAnsi" w:cs="Arial"/>
          <w:szCs w:val="22"/>
          <w:lang w:val="en-US"/>
        </w:rPr>
        <w:t>criteria that should be required for guidelines to be admissible.</w:t>
      </w:r>
      <w:r w:rsidRPr="00C41814">
        <w:rPr>
          <w:rFonts w:asciiTheme="minorHAnsi" w:eastAsia="Times New Roman" w:hAnsiTheme="minorHAnsi" w:cs="Arial"/>
          <w:szCs w:val="22"/>
          <w:vertAlign w:val="superscript"/>
          <w:lang w:val="en-US"/>
        </w:rPr>
        <w:footnoteReference w:id="119"/>
      </w:r>
      <w:r w:rsidRPr="00C41814">
        <w:rPr>
          <w:rFonts w:asciiTheme="minorHAnsi" w:eastAsia="Times New Roman" w:hAnsiTheme="minorHAnsi" w:cs="Arial"/>
          <w:szCs w:val="22"/>
          <w:lang w:val="en-US"/>
        </w:rPr>
        <w:t xml:space="preserve"> The NGC project highlight</w:t>
      </w:r>
      <w:r w:rsidR="006471A9" w:rsidRPr="00C41814">
        <w:rPr>
          <w:rFonts w:asciiTheme="minorHAnsi" w:eastAsia="Times New Roman" w:hAnsiTheme="minorHAnsi" w:cs="Arial"/>
          <w:szCs w:val="22"/>
          <w:lang w:val="en-US"/>
        </w:rPr>
        <w:t>ed</w:t>
      </w:r>
      <w:r w:rsidRPr="00C41814">
        <w:rPr>
          <w:rFonts w:asciiTheme="minorHAnsi" w:eastAsia="Times New Roman" w:hAnsiTheme="minorHAnsi" w:cs="Arial"/>
          <w:szCs w:val="22"/>
          <w:lang w:val="en-US"/>
        </w:rPr>
        <w:t xml:space="preserve"> the importance and centrality of evidence-based medicine.  The US jurisprudence demonstrates that standards set down in clinical guidelines represent minimal standards and as such are not a sufficient determinant of reasonable care. In </w:t>
      </w:r>
      <w:r w:rsidRPr="00C41814">
        <w:rPr>
          <w:rFonts w:asciiTheme="minorHAnsi" w:hAnsiTheme="minorHAnsi" w:cstheme="minorBidi"/>
          <w:i/>
          <w:szCs w:val="22"/>
        </w:rPr>
        <w:t>Jewett,</w:t>
      </w:r>
      <w:r w:rsidRPr="00C41814">
        <w:rPr>
          <w:rFonts w:asciiTheme="minorHAnsi" w:eastAsia="Times New Roman" w:hAnsiTheme="minorHAnsi" w:cs="Arial"/>
          <w:szCs w:val="22"/>
          <w:vertAlign w:val="superscript"/>
          <w:lang w:val="en-US"/>
        </w:rPr>
        <w:footnoteReference w:id="120"/>
      </w:r>
      <w:r w:rsidRPr="00C41814">
        <w:rPr>
          <w:rFonts w:asciiTheme="minorHAnsi" w:hAnsiTheme="minorHAnsi" w:cstheme="minorBidi"/>
          <w:szCs w:val="22"/>
        </w:rPr>
        <w:t xml:space="preserve"> for example, it was argued that although the standard of care complied with that of guidance from the American College of Obstetricians and Gynaecologists, that standard was the very minimum and in the circumstances more should have been done by the defendant. </w:t>
      </w:r>
      <w:r w:rsidRPr="00C41814">
        <w:rPr>
          <w:rFonts w:asciiTheme="minorHAnsi" w:eastAsia="Times New Roman" w:hAnsiTheme="minorHAnsi" w:cs="Arial"/>
          <w:szCs w:val="22"/>
          <w:lang w:val="en-US"/>
        </w:rPr>
        <w:t>The NGC also demonstrate</w:t>
      </w:r>
      <w:r w:rsidR="00CA5B8C" w:rsidRPr="00C41814">
        <w:rPr>
          <w:rFonts w:asciiTheme="minorHAnsi" w:eastAsia="Times New Roman" w:hAnsiTheme="minorHAnsi" w:cs="Arial"/>
          <w:szCs w:val="22"/>
          <w:lang w:val="en-US"/>
        </w:rPr>
        <w:t>d</w:t>
      </w:r>
      <w:r w:rsidRPr="00C41814">
        <w:rPr>
          <w:rFonts w:asciiTheme="minorHAnsi" w:eastAsia="Times New Roman" w:hAnsiTheme="minorHAnsi" w:cs="Arial"/>
          <w:szCs w:val="22"/>
          <w:lang w:val="en-US"/>
        </w:rPr>
        <w:t xml:space="preserve"> the real potential for conflicting sets of professional guidelines. In </w:t>
      </w:r>
      <w:r w:rsidRPr="00C41814">
        <w:rPr>
          <w:rFonts w:asciiTheme="minorHAnsi" w:hAnsiTheme="minorHAnsi" w:cstheme="minorBidi"/>
          <w:i/>
          <w:szCs w:val="22"/>
        </w:rPr>
        <w:t>Levine,</w:t>
      </w:r>
      <w:r w:rsidRPr="00C41814">
        <w:rPr>
          <w:rFonts w:asciiTheme="minorHAnsi" w:eastAsia="Times New Roman" w:hAnsiTheme="minorHAnsi" w:cs="Arial"/>
          <w:szCs w:val="22"/>
          <w:vertAlign w:val="superscript"/>
          <w:lang w:val="en-US"/>
        </w:rPr>
        <w:footnoteReference w:id="121"/>
      </w:r>
      <w:r w:rsidRPr="00C41814">
        <w:rPr>
          <w:rFonts w:asciiTheme="minorHAnsi" w:hAnsiTheme="minorHAnsi" w:cstheme="minorBidi"/>
          <w:i/>
          <w:szCs w:val="22"/>
        </w:rPr>
        <w:t xml:space="preserve"> </w:t>
      </w:r>
      <w:r w:rsidRPr="00C41814">
        <w:rPr>
          <w:rFonts w:asciiTheme="minorHAnsi" w:hAnsiTheme="minorHAnsi" w:cstheme="minorBidi"/>
          <w:szCs w:val="22"/>
        </w:rPr>
        <w:t xml:space="preserve">for example, the claimant’s experts relied upon guidance of the American Cancer Society whereas the defendant’s experts raised those of the American College of Obstetricians and Gynaecologists. The court acknowledged that the views of competent bodies may differ. On the facts the defendant’s guidelines were considered more persuasive since the defendant’s conduct was strongly supported by respected professionals.  It seems likely that in cases such as these expert opinion will always be required to assist the court to assess </w:t>
      </w:r>
      <w:r w:rsidRPr="00C41814">
        <w:rPr>
          <w:rFonts w:asciiTheme="minorHAnsi" w:hAnsiTheme="minorHAnsi" w:cstheme="minorBidi"/>
          <w:i/>
          <w:szCs w:val="22"/>
        </w:rPr>
        <w:t>Daubert</w:t>
      </w:r>
      <w:r w:rsidRPr="00C41814">
        <w:rPr>
          <w:rFonts w:asciiTheme="minorHAnsi" w:hAnsiTheme="minorHAnsi" w:cstheme="minorBidi"/>
          <w:szCs w:val="22"/>
        </w:rPr>
        <w:t xml:space="preserve"> validity for the admissibility of guidelines.</w:t>
      </w:r>
      <w:r w:rsidRPr="00C41814">
        <w:rPr>
          <w:rFonts w:asciiTheme="minorHAnsi" w:hAnsiTheme="minorHAnsi" w:cstheme="minorBidi"/>
          <w:szCs w:val="22"/>
          <w:vertAlign w:val="superscript"/>
        </w:rPr>
        <w:footnoteReference w:id="122"/>
      </w:r>
      <w:r w:rsidRPr="00C41814">
        <w:rPr>
          <w:rFonts w:asciiTheme="minorHAnsi" w:hAnsiTheme="minorHAnsi" w:cstheme="minorBidi"/>
          <w:szCs w:val="22"/>
        </w:rPr>
        <w:t xml:space="preserve"> </w:t>
      </w:r>
      <w:r w:rsidRPr="00C41814">
        <w:rPr>
          <w:rFonts w:asciiTheme="minorHAnsi" w:hAnsiTheme="minorHAnsi" w:cstheme="minorBidi"/>
          <w:i/>
          <w:szCs w:val="22"/>
        </w:rPr>
        <w:t xml:space="preserve"> </w:t>
      </w:r>
      <w:r w:rsidRPr="00C41814">
        <w:rPr>
          <w:rFonts w:asciiTheme="minorHAnsi" w:hAnsiTheme="minorHAnsi" w:cstheme="minorBidi"/>
          <w:szCs w:val="22"/>
        </w:rPr>
        <w:t xml:space="preserve">  </w:t>
      </w:r>
      <w:r w:rsidRPr="00C41814">
        <w:rPr>
          <w:rFonts w:asciiTheme="minorHAnsi" w:eastAsia="Times New Roman" w:hAnsiTheme="minorHAnsi" w:cs="Arial"/>
          <w:szCs w:val="22"/>
          <w:lang w:val="en-US"/>
        </w:rPr>
        <w:t>The consensus seems to be that use of guidelines in medical negligence litigation depends upon state evidential practices and decided case</w:t>
      </w:r>
      <w:r w:rsidR="00CA5B8C" w:rsidRPr="00C41814">
        <w:rPr>
          <w:rFonts w:asciiTheme="minorHAnsi" w:eastAsia="Times New Roman" w:hAnsiTheme="minorHAnsi" w:cs="Arial"/>
          <w:szCs w:val="22"/>
          <w:lang w:val="en-US"/>
        </w:rPr>
        <w:t xml:space="preserve"> law</w:t>
      </w:r>
      <w:r w:rsidRPr="00C41814">
        <w:rPr>
          <w:rFonts w:asciiTheme="minorHAnsi" w:eastAsia="Times New Roman" w:hAnsiTheme="minorHAnsi" w:cs="Arial"/>
          <w:szCs w:val="22"/>
          <w:lang w:val="en-US"/>
        </w:rPr>
        <w:t>.</w:t>
      </w:r>
      <w:r w:rsidRPr="00C41814">
        <w:rPr>
          <w:rFonts w:asciiTheme="minorHAnsi" w:eastAsia="Times New Roman" w:hAnsiTheme="minorHAnsi" w:cs="Arial"/>
          <w:szCs w:val="22"/>
          <w:vertAlign w:val="superscript"/>
          <w:lang w:val="en-US"/>
        </w:rPr>
        <w:footnoteReference w:id="123"/>
      </w:r>
      <w:r w:rsidRPr="00C41814">
        <w:rPr>
          <w:rFonts w:ascii="Helvetica" w:hAnsi="Helvetica" w:cs="Helvetica"/>
          <w:szCs w:val="22"/>
          <w:shd w:val="clear" w:color="auto" w:fill="FFFFFF"/>
        </w:rPr>
        <w:t xml:space="preserve"> </w:t>
      </w:r>
      <w:r w:rsidRPr="00C41814">
        <w:rPr>
          <w:rFonts w:asciiTheme="minorHAnsi" w:hAnsiTheme="minorHAnsi" w:cs="Helvetica"/>
          <w:szCs w:val="22"/>
          <w:shd w:val="clear" w:color="auto" w:fill="FFFFFF"/>
        </w:rPr>
        <w:t>More recent calls have been made for the adoption of ‘safe harbours’ for clinicians who follow evidence-based guidance established through comparative effectiveness research,</w:t>
      </w:r>
      <w:r w:rsidRPr="00C41814">
        <w:rPr>
          <w:rFonts w:asciiTheme="minorHAnsi" w:hAnsiTheme="minorHAnsi" w:cs="Helvetica"/>
          <w:szCs w:val="22"/>
          <w:shd w:val="clear" w:color="auto" w:fill="FFFFFF"/>
          <w:vertAlign w:val="superscript"/>
        </w:rPr>
        <w:footnoteReference w:id="124"/>
      </w:r>
      <w:r w:rsidRPr="00C41814">
        <w:rPr>
          <w:rFonts w:asciiTheme="minorHAnsi" w:hAnsiTheme="minorHAnsi" w:cs="Helvetica"/>
          <w:szCs w:val="22"/>
          <w:shd w:val="clear" w:color="auto" w:fill="FFFFFF"/>
        </w:rPr>
        <w:t xml:space="preserve"> although exactly how CGs will be used in this process is not entirely clear.</w:t>
      </w:r>
      <w:r w:rsidRPr="00C41814">
        <w:rPr>
          <w:rFonts w:asciiTheme="minorHAnsi" w:hAnsiTheme="minorHAnsi" w:cs="Helvetica"/>
          <w:szCs w:val="22"/>
          <w:shd w:val="clear" w:color="auto" w:fill="FFFFFF"/>
          <w:vertAlign w:val="superscript"/>
        </w:rPr>
        <w:footnoteReference w:id="125"/>
      </w:r>
      <w:r w:rsidRPr="00C41814">
        <w:rPr>
          <w:rFonts w:asciiTheme="minorHAnsi" w:eastAsia="Times New Roman" w:hAnsiTheme="minorHAnsi" w:cs="Arial"/>
          <w:szCs w:val="22"/>
          <w:lang w:val="en-US"/>
        </w:rPr>
        <w:t xml:space="preserve"> </w:t>
      </w:r>
    </w:p>
    <w:p w14:paraId="43A71576" w14:textId="168A86D9" w:rsidR="0033001F" w:rsidRPr="00C41814" w:rsidRDefault="0033001F" w:rsidP="008E5806">
      <w:pPr>
        <w:spacing w:after="200" w:line="360" w:lineRule="auto"/>
        <w:rPr>
          <w:rFonts w:asciiTheme="minorHAnsi" w:hAnsiTheme="minorHAnsi" w:cstheme="minorBidi"/>
          <w:i/>
          <w:szCs w:val="22"/>
        </w:rPr>
      </w:pPr>
      <w:r w:rsidRPr="00C41814">
        <w:rPr>
          <w:rFonts w:asciiTheme="minorHAnsi" w:hAnsiTheme="minorHAnsi" w:cstheme="minorBidi"/>
          <w:i/>
          <w:szCs w:val="22"/>
        </w:rPr>
        <w:lastRenderedPageBreak/>
        <w:t>3. Expert testimony</w:t>
      </w:r>
      <w:r w:rsidR="00F44091" w:rsidRPr="00C41814">
        <w:rPr>
          <w:rFonts w:asciiTheme="minorHAnsi" w:hAnsiTheme="minorHAnsi" w:cstheme="minorBidi"/>
          <w:i/>
          <w:szCs w:val="22"/>
        </w:rPr>
        <w:t xml:space="preserve"> or CGs</w:t>
      </w:r>
    </w:p>
    <w:p w14:paraId="7A9ABF4A" w14:textId="4CDF0118" w:rsidR="00A95C27" w:rsidRPr="00C41814" w:rsidRDefault="00A95C27"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Participants </w:t>
      </w:r>
      <w:r w:rsidR="005D3848" w:rsidRPr="00C41814">
        <w:rPr>
          <w:rFonts w:asciiTheme="minorHAnsi" w:hAnsiTheme="minorHAnsi" w:cstheme="minorBidi"/>
          <w:szCs w:val="22"/>
        </w:rPr>
        <w:t xml:space="preserve">agreed </w:t>
      </w:r>
      <w:r w:rsidRPr="00C41814">
        <w:rPr>
          <w:rFonts w:asciiTheme="minorHAnsi" w:hAnsiTheme="minorHAnsi" w:cstheme="minorBidi"/>
          <w:szCs w:val="22"/>
        </w:rPr>
        <w:t>unanimously that experts referred to guidelines where these were available, as part of their evidence although this w</w:t>
      </w:r>
      <w:r w:rsidR="005D3848" w:rsidRPr="00C41814">
        <w:rPr>
          <w:rFonts w:asciiTheme="minorHAnsi" w:hAnsiTheme="minorHAnsi" w:cstheme="minorBidi"/>
          <w:szCs w:val="22"/>
        </w:rPr>
        <w:t xml:space="preserve">as </w:t>
      </w:r>
      <w:r w:rsidRPr="00C41814">
        <w:rPr>
          <w:rFonts w:asciiTheme="minorHAnsi" w:hAnsiTheme="minorHAnsi" w:cstheme="minorBidi"/>
          <w:szCs w:val="22"/>
        </w:rPr>
        <w:t>not necessarily determinative o</w:t>
      </w:r>
      <w:r w:rsidR="005D3848" w:rsidRPr="00C41814">
        <w:rPr>
          <w:rFonts w:asciiTheme="minorHAnsi" w:hAnsiTheme="minorHAnsi" w:cstheme="minorBidi"/>
          <w:szCs w:val="22"/>
        </w:rPr>
        <w:t>f</w:t>
      </w:r>
      <w:r w:rsidRPr="00C41814">
        <w:rPr>
          <w:rFonts w:asciiTheme="minorHAnsi" w:hAnsiTheme="minorHAnsi" w:cstheme="minorBidi"/>
          <w:szCs w:val="22"/>
        </w:rPr>
        <w:t xml:space="preserve"> the outcome: “</w:t>
      </w:r>
      <w:r w:rsidRPr="00C41814">
        <w:rPr>
          <w:rFonts w:asciiTheme="minorHAnsi" w:hAnsiTheme="minorHAnsi" w:cstheme="minorBidi"/>
          <w:i/>
          <w:szCs w:val="22"/>
        </w:rPr>
        <w:t>Independent expert opinion is critical to success in clinical negligence cases. That opinion may in part refer to guidelines but that is not usually the deciding factor.</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26"/>
      </w:r>
      <w:r w:rsidRPr="00C41814">
        <w:rPr>
          <w:rFonts w:asciiTheme="minorHAnsi" w:hAnsiTheme="minorHAnsi" w:cstheme="minorBidi"/>
          <w:szCs w:val="22"/>
        </w:rPr>
        <w:t xml:space="preserve"> Guidelines were, however, regarded generally as being highly influential and likely to impact o</w:t>
      </w:r>
      <w:r w:rsidRPr="00C41814">
        <w:rPr>
          <w:rFonts w:asciiTheme="minorHAnsi" w:hAnsiTheme="minorHAnsi" w:cstheme="minorHAnsi"/>
          <w:szCs w:val="22"/>
        </w:rPr>
        <w:t>n judicial decision-making.</w:t>
      </w:r>
      <w:r w:rsidRPr="00C41814">
        <w:rPr>
          <w:rFonts w:asciiTheme="minorHAnsi" w:hAnsiTheme="minorHAnsi" w:cstheme="minorBidi"/>
          <w:szCs w:val="22"/>
        </w:rPr>
        <w:t xml:space="preserve">  One barrister stated that in his experience guidelines held little sway over the actual decision because judges could “</w:t>
      </w:r>
      <w:r w:rsidRPr="00C41814">
        <w:rPr>
          <w:rFonts w:asciiTheme="minorHAnsi" w:hAnsiTheme="minorHAnsi" w:cstheme="minorBidi"/>
          <w:i/>
          <w:szCs w:val="22"/>
        </w:rPr>
        <w:t>buy both arguments [following CGs or not] to find for the claimant.</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27"/>
      </w:r>
      <w:r w:rsidRPr="00C41814">
        <w:rPr>
          <w:rFonts w:asciiTheme="minorHAnsi" w:hAnsiTheme="minorHAnsi" w:cstheme="minorBidi"/>
          <w:szCs w:val="22"/>
        </w:rPr>
        <w:t xml:space="preserve">  It was recognised that on pragmatic grounds: “</w:t>
      </w:r>
      <w:r w:rsidRPr="00C41814">
        <w:rPr>
          <w:rFonts w:asciiTheme="minorHAnsi" w:hAnsiTheme="minorHAnsi" w:cstheme="minorBidi"/>
          <w:i/>
          <w:szCs w:val="22"/>
        </w:rPr>
        <w:t>There can be differences of opinion on guidelines. Experts may differ on their relevance.</w:t>
      </w:r>
      <w:r w:rsidRPr="00C41814">
        <w:rPr>
          <w:rFonts w:asciiTheme="minorHAnsi" w:hAnsiTheme="minorHAnsi" w:cstheme="minorBidi"/>
          <w:szCs w:val="22"/>
        </w:rPr>
        <w:t>”</w:t>
      </w:r>
      <w:r w:rsidRPr="00C41814">
        <w:rPr>
          <w:rFonts w:asciiTheme="minorHAnsi" w:hAnsiTheme="minorHAnsi" w:cstheme="minorBidi"/>
          <w:szCs w:val="22"/>
          <w:vertAlign w:val="superscript"/>
        </w:rPr>
        <w:footnoteReference w:id="128"/>
      </w:r>
      <w:r w:rsidRPr="00C41814">
        <w:rPr>
          <w:rFonts w:asciiTheme="minorHAnsi" w:hAnsiTheme="minorHAnsi" w:cstheme="minorBidi"/>
          <w:szCs w:val="22"/>
        </w:rPr>
        <w:t xml:space="preserve"> Their potential as a ‘deal breaker’ was also recognised: “</w:t>
      </w:r>
      <w:r w:rsidRPr="00C41814">
        <w:rPr>
          <w:rFonts w:asciiTheme="minorHAnsi" w:hAnsiTheme="minorHAnsi" w:cstheme="minorBidi"/>
          <w:i/>
          <w:szCs w:val="22"/>
        </w:rPr>
        <w:t xml:space="preserve">If the expert tells me the specific guidelines are (a) applicable to the scenario under consideration; and (b) that a responsible body of relevant clinicians would consider that the failure to comply with the said guidelines would amount to a </w:t>
      </w:r>
      <w:r w:rsidRPr="00C41814">
        <w:rPr>
          <w:rFonts w:asciiTheme="minorHAnsi" w:hAnsiTheme="minorHAnsi" w:cstheme="minorHAnsi"/>
          <w:i/>
          <w:szCs w:val="22"/>
        </w:rPr>
        <w:t>breach of duty, then that is the end of the debate.</w:t>
      </w:r>
      <w:r w:rsidRPr="00C41814">
        <w:rPr>
          <w:rFonts w:asciiTheme="minorHAnsi" w:hAnsiTheme="minorHAnsi" w:cstheme="minorHAnsi"/>
          <w:szCs w:val="22"/>
        </w:rPr>
        <w:t>”</w:t>
      </w:r>
      <w:r w:rsidRPr="00C41814">
        <w:rPr>
          <w:rFonts w:asciiTheme="minorHAnsi" w:hAnsiTheme="minorHAnsi" w:cstheme="minorHAnsi"/>
          <w:szCs w:val="22"/>
          <w:vertAlign w:val="superscript"/>
        </w:rPr>
        <w:footnoteReference w:id="129"/>
      </w:r>
      <w:r w:rsidRPr="00C41814">
        <w:rPr>
          <w:rFonts w:asciiTheme="minorHAnsi" w:hAnsiTheme="minorHAnsi" w:cstheme="minorHAnsi"/>
          <w:szCs w:val="22"/>
        </w:rPr>
        <w:t xml:space="preserve"> </w:t>
      </w:r>
    </w:p>
    <w:p w14:paraId="1DA96BA0" w14:textId="2CD09589" w:rsidR="00A95C27" w:rsidRPr="00C41814" w:rsidRDefault="007900D9" w:rsidP="008E5806">
      <w:pPr>
        <w:spacing w:after="200" w:line="360" w:lineRule="auto"/>
        <w:rPr>
          <w:rFonts w:asciiTheme="minorHAnsi" w:hAnsiTheme="minorHAnsi" w:cs="Arial"/>
          <w:i/>
          <w:iCs/>
          <w:szCs w:val="22"/>
        </w:rPr>
      </w:pPr>
      <w:r w:rsidRPr="00C41814">
        <w:rPr>
          <w:rFonts w:asciiTheme="minorHAnsi" w:hAnsiTheme="minorHAnsi" w:cstheme="minorBidi"/>
          <w:szCs w:val="22"/>
        </w:rPr>
        <w:t xml:space="preserve">Common </w:t>
      </w:r>
      <w:r w:rsidR="00A95C27" w:rsidRPr="00C41814">
        <w:rPr>
          <w:rFonts w:asciiTheme="minorHAnsi" w:hAnsiTheme="minorHAnsi" w:cstheme="minorBidi"/>
          <w:szCs w:val="22"/>
        </w:rPr>
        <w:t xml:space="preserve">law reveals interesting developments as far as expert testimony is concerned. In </w:t>
      </w:r>
      <w:r w:rsidR="00A95C27" w:rsidRPr="00C41814">
        <w:rPr>
          <w:rFonts w:asciiTheme="minorHAnsi" w:hAnsiTheme="minorHAnsi" w:cs="Arial"/>
          <w:i/>
          <w:szCs w:val="22"/>
        </w:rPr>
        <w:t>KR v Lanarkshire Health Board</w:t>
      </w:r>
      <w:r w:rsidR="00A95C27" w:rsidRPr="00C41814">
        <w:rPr>
          <w:rFonts w:asciiTheme="minorHAnsi" w:hAnsiTheme="minorHAnsi" w:cs="Arial"/>
          <w:i/>
          <w:szCs w:val="22"/>
          <w:vertAlign w:val="superscript"/>
        </w:rPr>
        <w:footnoteReference w:id="130"/>
      </w:r>
      <w:r w:rsidR="00A95C27" w:rsidRPr="00C41814">
        <w:rPr>
          <w:rFonts w:asciiTheme="minorHAnsi" w:hAnsiTheme="minorHAnsi" w:cs="Arial"/>
          <w:i/>
          <w:szCs w:val="22"/>
        </w:rPr>
        <w:t xml:space="preserve"> </w:t>
      </w:r>
      <w:r w:rsidR="00A95C27" w:rsidRPr="00C41814">
        <w:rPr>
          <w:rFonts w:asciiTheme="minorHAnsi" w:hAnsiTheme="minorHAnsi" w:cs="Arial"/>
          <w:szCs w:val="22"/>
        </w:rPr>
        <w:t xml:space="preserve">allegations were raised in respect of </w:t>
      </w:r>
      <w:r w:rsidR="004370E2" w:rsidRPr="00C41814">
        <w:rPr>
          <w:rFonts w:asciiTheme="minorHAnsi" w:hAnsiTheme="minorHAnsi" w:cs="Arial"/>
          <w:szCs w:val="22"/>
        </w:rPr>
        <w:t xml:space="preserve">medical </w:t>
      </w:r>
      <w:r w:rsidR="00A95C27" w:rsidRPr="00C41814">
        <w:rPr>
          <w:rFonts w:asciiTheme="minorHAnsi" w:hAnsiTheme="minorHAnsi" w:cs="Arial"/>
          <w:szCs w:val="22"/>
        </w:rPr>
        <w:t>negligence and failure to obtain informed consent prior to an emergency caesarean section. Following prolonged deceleration of foetal heart rate the pursuer argued that the baby should have been delivered urgently and referred to guidelines published by NICE and the Royal College of Obstetricians in support of these arguments.  Since the attendant Registrar had been aware of these guidelines it was argued that there was no just cause for not following them. While a more experienced doctor might reasonably use clinical discretion to divert from evidence-based guidelines, juniors ought not. The defendant argued that in</w:t>
      </w:r>
      <w:r w:rsidR="00A95C27" w:rsidRPr="00C41814">
        <w:rPr>
          <w:rFonts w:asciiTheme="minorHAnsi" w:eastAsia="Times New Roman" w:hAnsiTheme="minorHAnsi" w:cs="Arial"/>
          <w:szCs w:val="22"/>
          <w:lang w:eastAsia="en-GB"/>
        </w:rPr>
        <w:t xml:space="preserve"> determining whether there had been negligence, the court could not simply prefer one body of expert evidence over another; instead the court had to examine the defend</w:t>
      </w:r>
      <w:r w:rsidR="000634F9" w:rsidRPr="00C41814">
        <w:rPr>
          <w:rFonts w:asciiTheme="minorHAnsi" w:eastAsia="Times New Roman" w:hAnsiTheme="minorHAnsi" w:cs="Arial"/>
          <w:szCs w:val="22"/>
          <w:lang w:eastAsia="en-GB"/>
        </w:rPr>
        <w:t xml:space="preserve">ant’s </w:t>
      </w:r>
      <w:r w:rsidR="00A95C27" w:rsidRPr="00C41814">
        <w:rPr>
          <w:rFonts w:asciiTheme="minorHAnsi" w:eastAsia="Times New Roman" w:hAnsiTheme="minorHAnsi" w:cs="Arial"/>
          <w:szCs w:val="22"/>
          <w:lang w:eastAsia="en-GB"/>
        </w:rPr>
        <w:t>evidence to decide whether or not it withstood logical analysis.  In reaching these conclusions the court considered the status of NICE and RCOG guidelines, both of which recommended that in the presence of clear evidence of acute distress, the baby should have been delivered as a matter of</w:t>
      </w:r>
      <w:r w:rsidR="00A95C27" w:rsidRPr="00C41814">
        <w:rPr>
          <w:rFonts w:ascii="Arial" w:eastAsia="Times New Roman" w:hAnsi="Arial" w:cs="Arial"/>
          <w:szCs w:val="22"/>
          <w:lang w:eastAsia="en-GB"/>
        </w:rPr>
        <w:t xml:space="preserve"> </w:t>
      </w:r>
      <w:r w:rsidR="00A95C27" w:rsidRPr="00C41814">
        <w:rPr>
          <w:rFonts w:asciiTheme="minorHAnsi" w:eastAsia="Times New Roman" w:hAnsiTheme="minorHAnsi" w:cs="Arial"/>
          <w:szCs w:val="22"/>
          <w:lang w:eastAsia="en-GB"/>
        </w:rPr>
        <w:t xml:space="preserve">urgency rather than taking foetal blood samples. While recognising that guidelines were not mandatory and would always be subject to clinical discretion, both experts accepted that the extent to which these could be departed from would depend upon the experience of the doctor concerned. The registrar was relatively inexperienced and ought to have prepared for immediate assisted vaginal delivery. Instead, she had arranged for further </w:t>
      </w:r>
      <w:r w:rsidR="00A95C27" w:rsidRPr="00C41814">
        <w:rPr>
          <w:rFonts w:asciiTheme="minorHAnsi" w:eastAsia="Times New Roman" w:hAnsiTheme="minorHAnsi" w:cs="Arial"/>
          <w:szCs w:val="22"/>
          <w:lang w:eastAsia="en-GB"/>
        </w:rPr>
        <w:lastRenderedPageBreak/>
        <w:t>blood samples to be taken in breach of current guidance.  The court considered that the views of the defendant’s experts lacked a logical basis since both parties accepted that the reasonableness of departing from the guidelines depended on clinical acumen and experience.</w:t>
      </w:r>
      <w:r w:rsidR="00A95C27" w:rsidRPr="00C41814">
        <w:rPr>
          <w:rFonts w:asciiTheme="minorHAnsi" w:eastAsia="Times New Roman" w:hAnsiTheme="minorHAnsi" w:cs="Arial"/>
          <w:szCs w:val="22"/>
          <w:vertAlign w:val="superscript"/>
          <w:lang w:eastAsia="en-GB"/>
        </w:rPr>
        <w:footnoteReference w:id="131"/>
      </w:r>
      <w:r w:rsidR="00A95C27" w:rsidRPr="00C41814">
        <w:rPr>
          <w:rFonts w:asciiTheme="minorHAnsi" w:eastAsia="Times New Roman" w:hAnsiTheme="minorHAnsi" w:cs="Arial"/>
          <w:szCs w:val="22"/>
          <w:lang w:eastAsia="en-GB"/>
        </w:rPr>
        <w:t xml:space="preserve"> </w:t>
      </w:r>
    </w:p>
    <w:p w14:paraId="2E615891" w14:textId="345C5069" w:rsidR="00BC1428" w:rsidRPr="00C41814" w:rsidRDefault="00A95C27" w:rsidP="00D2165E">
      <w:pPr>
        <w:autoSpaceDE w:val="0"/>
        <w:autoSpaceDN w:val="0"/>
        <w:adjustRightInd w:val="0"/>
        <w:spacing w:line="360" w:lineRule="auto"/>
        <w:rPr>
          <w:rFonts w:asciiTheme="minorHAnsi" w:hAnsiTheme="minorHAnsi"/>
        </w:rPr>
      </w:pPr>
      <w:r w:rsidRPr="00C41814">
        <w:rPr>
          <w:rFonts w:asciiTheme="minorHAnsi" w:eastAsia="Times New Roman" w:hAnsiTheme="minorHAnsi" w:cs="Arial"/>
          <w:szCs w:val="22"/>
          <w:lang w:val="en-US"/>
        </w:rPr>
        <w:t xml:space="preserve">Standard practice presented in guidelines was departed from and yet the deviation was endorsed as reasonable care in </w:t>
      </w:r>
      <w:r w:rsidRPr="00C41814">
        <w:rPr>
          <w:rFonts w:asciiTheme="minorHAnsi" w:eastAsia="Times New Roman" w:hAnsiTheme="minorHAnsi" w:cs="Arial"/>
          <w:i/>
          <w:szCs w:val="22"/>
          <w:lang w:val="en-US"/>
        </w:rPr>
        <w:t>Vernon,</w:t>
      </w:r>
      <w:r w:rsidRPr="00C41814">
        <w:rPr>
          <w:rFonts w:asciiTheme="minorHAnsi" w:eastAsia="Times New Roman" w:hAnsiTheme="minorHAnsi" w:cs="Arial"/>
          <w:szCs w:val="22"/>
          <w:vertAlign w:val="superscript"/>
          <w:lang w:val="en-US"/>
        </w:rPr>
        <w:footnoteReference w:id="132"/>
      </w:r>
      <w:r w:rsidRPr="00C41814">
        <w:rPr>
          <w:rFonts w:asciiTheme="minorHAnsi" w:eastAsia="Times New Roman" w:hAnsiTheme="minorHAnsi" w:cs="Arial"/>
          <w:i/>
          <w:szCs w:val="22"/>
          <w:lang w:val="en-US"/>
        </w:rPr>
        <w:t xml:space="preserve"> </w:t>
      </w:r>
      <w:r w:rsidRPr="00C41814">
        <w:rPr>
          <w:rFonts w:asciiTheme="minorHAnsi" w:eastAsia="Times New Roman" w:hAnsiTheme="minorHAnsi" w:cs="Arial"/>
          <w:iCs/>
          <w:szCs w:val="22"/>
          <w:lang w:val="en-US"/>
        </w:rPr>
        <w:t xml:space="preserve">a decision undoubtedly influenced by expert evidence. </w:t>
      </w:r>
      <w:r w:rsidRPr="00C41814">
        <w:rPr>
          <w:rFonts w:asciiTheme="minorHAnsi" w:eastAsia="Times New Roman" w:hAnsiTheme="minorHAnsi" w:cs="Arial"/>
          <w:szCs w:val="22"/>
          <w:lang w:val="en-US"/>
        </w:rPr>
        <w:t>The Claimant had received considerably higher doses of a drug than those recommended by several authorities including the Product Datasheet, the British National Formulary and Martindale’s Extra Pharmacopoeia. The Claimant suffered bilateral vestibular damage and loss of balance as a result.  The court heard compelling evidence from several experts with all but one agreeing that they would have prescribed at the same dose as the defendant. The judge accepted that the dosage was proper and that the doctors were not negligent in prescribing it. The court held that the manufacturers and prescribers’ guidelines were too conservative and erred on the side of caution. It might be argued that manufacturers’ guidelines or dosages indicated in pharmacopeia might err on the side of caution for partisan reasons for purpose</w:t>
      </w:r>
      <w:r w:rsidR="005D3848" w:rsidRPr="00C41814">
        <w:rPr>
          <w:rFonts w:asciiTheme="minorHAnsi" w:eastAsia="Times New Roman" w:hAnsiTheme="minorHAnsi" w:cs="Arial"/>
          <w:szCs w:val="22"/>
          <w:lang w:val="en-US"/>
        </w:rPr>
        <w:t>s</w:t>
      </w:r>
      <w:r w:rsidRPr="00C41814">
        <w:rPr>
          <w:rFonts w:asciiTheme="minorHAnsi" w:eastAsia="Times New Roman" w:hAnsiTheme="minorHAnsi" w:cs="Arial"/>
          <w:szCs w:val="22"/>
          <w:lang w:val="en-US"/>
        </w:rPr>
        <w:t xml:space="preserve"> of </w:t>
      </w:r>
      <w:r w:rsidRPr="00C41814">
        <w:rPr>
          <w:rFonts w:asciiTheme="minorHAnsi" w:hAnsiTheme="minorHAnsi" w:cstheme="minorBidi"/>
          <w:szCs w:val="22"/>
        </w:rPr>
        <w:t xml:space="preserve">limiting potential liability. Manufacturer guidance on dosage addressed to prescribers will normally discharge the duty of care to the patient where drugs are prescribed. Although difficult to determine retrospectively, in </w:t>
      </w:r>
      <w:r w:rsidRPr="00C41814">
        <w:rPr>
          <w:rFonts w:asciiTheme="minorHAnsi" w:eastAsia="Times New Roman" w:hAnsiTheme="minorHAnsi" w:cs="Arial"/>
          <w:i/>
          <w:szCs w:val="22"/>
          <w:lang w:val="en-US"/>
        </w:rPr>
        <w:t>Vernon</w:t>
      </w:r>
      <w:r w:rsidRPr="00C41814">
        <w:rPr>
          <w:rFonts w:asciiTheme="minorHAnsi" w:hAnsiTheme="minorHAnsi" w:cstheme="minorBidi"/>
          <w:szCs w:val="22"/>
        </w:rPr>
        <w:t xml:space="preserve"> it was significant that expert witnesses were prepared to endorse the prescribing practice of the defendant. On the facts it is not clear </w:t>
      </w:r>
      <w:r w:rsidR="00BC1428" w:rsidRPr="00C41814">
        <w:rPr>
          <w:rFonts w:asciiTheme="minorHAnsi" w:hAnsiTheme="minorHAnsi" w:cstheme="minorBidi"/>
          <w:szCs w:val="22"/>
        </w:rPr>
        <w:t xml:space="preserve">whether </w:t>
      </w:r>
      <w:r w:rsidRPr="00C41814">
        <w:rPr>
          <w:rFonts w:asciiTheme="minorHAnsi" w:hAnsiTheme="minorHAnsi" w:cstheme="minorBidi"/>
          <w:szCs w:val="22"/>
        </w:rPr>
        <w:t xml:space="preserve">the judge had merely deferred to expert evidence.   </w:t>
      </w:r>
      <w:r w:rsidR="00F902A5" w:rsidRPr="00C41814">
        <w:rPr>
          <w:rFonts w:asciiTheme="minorHAnsi" w:hAnsiTheme="minorHAnsi" w:cstheme="minorBidi"/>
          <w:szCs w:val="22"/>
        </w:rPr>
        <w:t>A</w:t>
      </w:r>
      <w:r w:rsidR="00BC1428" w:rsidRPr="00C41814">
        <w:rPr>
          <w:rFonts w:asciiTheme="minorHAnsi" w:hAnsiTheme="minorHAnsi"/>
        </w:rPr>
        <w:t>lternative</w:t>
      </w:r>
      <w:r w:rsidR="00F902A5" w:rsidRPr="00C41814">
        <w:rPr>
          <w:rFonts w:asciiTheme="minorHAnsi" w:hAnsiTheme="minorHAnsi"/>
        </w:rPr>
        <w:t xml:space="preserve">ly, </w:t>
      </w:r>
      <w:r w:rsidR="00BC1428" w:rsidRPr="00C41814">
        <w:rPr>
          <w:rFonts w:asciiTheme="minorHAnsi" w:hAnsiTheme="minorHAnsi"/>
        </w:rPr>
        <w:t xml:space="preserve">this decision need not be seen as deferential to expert </w:t>
      </w:r>
      <w:r w:rsidR="00FB5625" w:rsidRPr="00C41814">
        <w:rPr>
          <w:rFonts w:asciiTheme="minorHAnsi" w:hAnsiTheme="minorHAnsi"/>
        </w:rPr>
        <w:t xml:space="preserve">evidence </w:t>
      </w:r>
      <w:r w:rsidR="00BC1428" w:rsidRPr="00C41814">
        <w:rPr>
          <w:rFonts w:asciiTheme="minorHAnsi" w:hAnsiTheme="minorHAnsi"/>
        </w:rPr>
        <w:t xml:space="preserve">but as an assertive court utilising all available evidence and weighing the coherence of testimony. </w:t>
      </w:r>
      <w:r w:rsidR="0005630C" w:rsidRPr="00C41814">
        <w:rPr>
          <w:rFonts w:asciiTheme="minorHAnsi" w:hAnsiTheme="minorHAnsi"/>
        </w:rPr>
        <w:t>T</w:t>
      </w:r>
      <w:r w:rsidR="00BC1428" w:rsidRPr="00C41814">
        <w:rPr>
          <w:rFonts w:asciiTheme="minorHAnsi" w:hAnsiTheme="minorHAnsi"/>
        </w:rPr>
        <w:t xml:space="preserve">he experts and the defendant could explain their departure from </w:t>
      </w:r>
      <w:r w:rsidR="00FB5625" w:rsidRPr="00C41814">
        <w:rPr>
          <w:rFonts w:asciiTheme="minorHAnsi" w:hAnsiTheme="minorHAnsi"/>
        </w:rPr>
        <w:t>the guidance</w:t>
      </w:r>
      <w:r w:rsidR="00BC1428" w:rsidRPr="00C41814">
        <w:rPr>
          <w:rFonts w:asciiTheme="minorHAnsi" w:hAnsiTheme="minorHAnsi"/>
        </w:rPr>
        <w:t>. The court adjudged this to be reasonable in the circumstances</w:t>
      </w:r>
      <w:r w:rsidR="00F902A5" w:rsidRPr="00C41814">
        <w:rPr>
          <w:rFonts w:asciiTheme="minorHAnsi" w:hAnsiTheme="minorHAnsi"/>
        </w:rPr>
        <w:t xml:space="preserve"> </w:t>
      </w:r>
      <w:r w:rsidR="00BC1428" w:rsidRPr="00C41814">
        <w:rPr>
          <w:rFonts w:asciiTheme="minorHAnsi" w:hAnsiTheme="minorHAnsi"/>
        </w:rPr>
        <w:t xml:space="preserve">and made a sophisticated </w:t>
      </w:r>
      <w:r w:rsidR="00FB5625" w:rsidRPr="00C41814">
        <w:rPr>
          <w:rFonts w:asciiTheme="minorHAnsi" w:hAnsiTheme="minorHAnsi"/>
        </w:rPr>
        <w:t>ruling</w:t>
      </w:r>
      <w:r w:rsidR="00BC1428" w:rsidRPr="00C41814">
        <w:rPr>
          <w:rFonts w:asciiTheme="minorHAnsi" w:hAnsiTheme="minorHAnsi"/>
        </w:rPr>
        <w:t xml:space="preserve"> </w:t>
      </w:r>
      <w:r w:rsidR="00F44091" w:rsidRPr="00C41814">
        <w:rPr>
          <w:rFonts w:asciiTheme="minorHAnsi" w:hAnsiTheme="minorHAnsi"/>
        </w:rPr>
        <w:t>that</w:t>
      </w:r>
      <w:r w:rsidR="00BC1428" w:rsidRPr="00C41814">
        <w:rPr>
          <w:rFonts w:asciiTheme="minorHAnsi" w:hAnsiTheme="minorHAnsi"/>
        </w:rPr>
        <w:t xml:space="preserve"> d</w:t>
      </w:r>
      <w:r w:rsidR="00F902A5" w:rsidRPr="00C41814">
        <w:rPr>
          <w:rFonts w:asciiTheme="minorHAnsi" w:hAnsiTheme="minorHAnsi"/>
        </w:rPr>
        <w:t xml:space="preserve">id </w:t>
      </w:r>
      <w:r w:rsidR="00BC1428" w:rsidRPr="00C41814">
        <w:rPr>
          <w:rFonts w:asciiTheme="minorHAnsi" w:hAnsiTheme="minorHAnsi"/>
        </w:rPr>
        <w:t xml:space="preserve">not overly constrain clinical </w:t>
      </w:r>
      <w:r w:rsidR="00FB5625" w:rsidRPr="00C41814">
        <w:rPr>
          <w:rFonts w:asciiTheme="minorHAnsi" w:hAnsiTheme="minorHAnsi"/>
        </w:rPr>
        <w:t>discretion</w:t>
      </w:r>
      <w:r w:rsidR="00BC1428" w:rsidRPr="00C41814">
        <w:rPr>
          <w:rFonts w:asciiTheme="minorHAnsi" w:hAnsiTheme="minorHAnsi"/>
        </w:rPr>
        <w:t>.</w:t>
      </w:r>
    </w:p>
    <w:p w14:paraId="0792A8C7" w14:textId="66E83122" w:rsidR="00A95C27" w:rsidRPr="00C41814" w:rsidRDefault="00A95C27" w:rsidP="008E5806">
      <w:pPr>
        <w:spacing w:after="200" w:line="360" w:lineRule="auto"/>
        <w:rPr>
          <w:rFonts w:asciiTheme="minorHAnsi" w:eastAsia="Times New Roman" w:hAnsiTheme="minorHAnsi" w:cs="Arial"/>
          <w:szCs w:val="22"/>
          <w:lang w:val="en-US"/>
        </w:rPr>
      </w:pPr>
    </w:p>
    <w:p w14:paraId="4F9F98BF" w14:textId="1D648AF5" w:rsidR="00CB1189" w:rsidRPr="00C41814" w:rsidRDefault="00A50CF6" w:rsidP="008E5806">
      <w:pPr>
        <w:spacing w:after="200" w:line="360" w:lineRule="auto"/>
        <w:jc w:val="center"/>
        <w:rPr>
          <w:rFonts w:asciiTheme="minorHAnsi" w:hAnsiTheme="minorHAnsi" w:cstheme="minorHAnsi"/>
          <w:i/>
          <w:szCs w:val="22"/>
        </w:rPr>
      </w:pPr>
      <w:r w:rsidRPr="00C41814">
        <w:rPr>
          <w:rFonts w:asciiTheme="minorHAnsi" w:hAnsiTheme="minorHAnsi" w:cstheme="minorBidi"/>
          <w:i/>
          <w:szCs w:val="22"/>
        </w:rPr>
        <w:t>E</w:t>
      </w:r>
      <w:r w:rsidR="00CB1189" w:rsidRPr="00C41814">
        <w:rPr>
          <w:rFonts w:asciiTheme="minorHAnsi" w:hAnsiTheme="minorHAnsi" w:cstheme="minorBidi"/>
          <w:i/>
          <w:szCs w:val="22"/>
        </w:rPr>
        <w:t xml:space="preserve">. </w:t>
      </w:r>
      <w:r w:rsidR="007D151C" w:rsidRPr="00C41814">
        <w:rPr>
          <w:rFonts w:asciiTheme="minorHAnsi" w:hAnsiTheme="minorHAnsi" w:cstheme="minorBidi"/>
          <w:i/>
          <w:szCs w:val="22"/>
        </w:rPr>
        <w:t>S</w:t>
      </w:r>
      <w:r w:rsidR="00CB1189" w:rsidRPr="00C41814">
        <w:rPr>
          <w:rFonts w:asciiTheme="minorHAnsi" w:hAnsiTheme="minorHAnsi" w:cstheme="minorBidi"/>
          <w:i/>
          <w:szCs w:val="22"/>
        </w:rPr>
        <w:t>ettlement of claims</w:t>
      </w:r>
    </w:p>
    <w:p w14:paraId="38B3A730" w14:textId="59ADE833" w:rsidR="00CB1189" w:rsidRPr="00C41814" w:rsidRDefault="00CB1189" w:rsidP="008E5806">
      <w:pPr>
        <w:spacing w:after="200" w:line="360" w:lineRule="auto"/>
        <w:rPr>
          <w:rFonts w:asciiTheme="minorHAnsi" w:hAnsiTheme="minorHAnsi" w:cstheme="minorBidi"/>
          <w:szCs w:val="22"/>
        </w:rPr>
      </w:pPr>
      <w:r w:rsidRPr="00C41814">
        <w:rPr>
          <w:rFonts w:asciiTheme="minorHAnsi" w:hAnsiTheme="minorHAnsi" w:cstheme="minorBidi"/>
          <w:szCs w:val="22"/>
        </w:rPr>
        <w:t xml:space="preserve">All participants acknowledged that the reported case law represents only a very small subset of the totality of </w:t>
      </w:r>
      <w:r w:rsidR="004370E2" w:rsidRPr="00C41814">
        <w:rPr>
          <w:rFonts w:asciiTheme="minorHAnsi" w:hAnsiTheme="minorHAnsi" w:cstheme="minorBidi"/>
          <w:szCs w:val="22"/>
        </w:rPr>
        <w:t xml:space="preserve">medical </w:t>
      </w:r>
      <w:r w:rsidRPr="00C41814">
        <w:rPr>
          <w:rFonts w:asciiTheme="minorHAnsi" w:hAnsiTheme="minorHAnsi" w:cstheme="minorBidi"/>
          <w:szCs w:val="22"/>
        </w:rPr>
        <w:t xml:space="preserve">negligence disputes. Case law </w:t>
      </w:r>
      <w:r w:rsidR="00DD5E7C" w:rsidRPr="00C41814">
        <w:rPr>
          <w:rFonts w:asciiTheme="minorHAnsi" w:hAnsiTheme="minorHAnsi" w:cstheme="minorBidi"/>
          <w:szCs w:val="22"/>
        </w:rPr>
        <w:t>comprises</w:t>
      </w:r>
      <w:r w:rsidRPr="00C41814">
        <w:rPr>
          <w:rFonts w:asciiTheme="minorHAnsi" w:hAnsiTheme="minorHAnsi" w:cstheme="minorBidi"/>
          <w:szCs w:val="22"/>
        </w:rPr>
        <w:t xml:space="preserve"> the few </w:t>
      </w:r>
      <w:r w:rsidR="004441FC" w:rsidRPr="00C41814">
        <w:rPr>
          <w:rFonts w:asciiTheme="minorHAnsi" w:hAnsiTheme="minorHAnsi" w:cstheme="minorBidi"/>
          <w:szCs w:val="22"/>
        </w:rPr>
        <w:t xml:space="preserve">disputes </w:t>
      </w:r>
      <w:r w:rsidRPr="00C41814">
        <w:rPr>
          <w:rFonts w:asciiTheme="minorHAnsi" w:hAnsiTheme="minorHAnsi" w:cstheme="minorBidi"/>
          <w:szCs w:val="22"/>
        </w:rPr>
        <w:t xml:space="preserve">(of very many) that go to </w:t>
      </w:r>
      <w:r w:rsidR="004441FC" w:rsidRPr="00C41814">
        <w:rPr>
          <w:rFonts w:asciiTheme="minorHAnsi" w:hAnsiTheme="minorHAnsi" w:cstheme="minorBidi"/>
          <w:szCs w:val="22"/>
        </w:rPr>
        <w:t xml:space="preserve">trial </w:t>
      </w:r>
      <w:r w:rsidRPr="00C41814">
        <w:rPr>
          <w:rFonts w:asciiTheme="minorHAnsi" w:hAnsiTheme="minorHAnsi" w:cstheme="minorBidi"/>
          <w:szCs w:val="22"/>
        </w:rPr>
        <w:t>with judgment</w:t>
      </w:r>
      <w:r w:rsidR="004441FC" w:rsidRPr="00C41814">
        <w:rPr>
          <w:rFonts w:asciiTheme="minorHAnsi" w:hAnsiTheme="minorHAnsi" w:cstheme="minorBidi"/>
          <w:szCs w:val="22"/>
        </w:rPr>
        <w:t>.</w:t>
      </w:r>
      <w:r w:rsidRPr="00C41814">
        <w:rPr>
          <w:rFonts w:asciiTheme="minorHAnsi" w:hAnsiTheme="minorHAnsi" w:cstheme="minorBidi"/>
          <w:szCs w:val="22"/>
        </w:rPr>
        <w:t xml:space="preserve"> Decisions to abandon or settle claims may be made by parties at any stage of the litigation process: “</w:t>
      </w:r>
      <w:r w:rsidRPr="00C41814">
        <w:rPr>
          <w:rFonts w:asciiTheme="minorHAnsi" w:hAnsiTheme="minorHAnsi" w:cstheme="minorBidi"/>
          <w:i/>
          <w:szCs w:val="22"/>
        </w:rPr>
        <w:t>The vast majority of clinical negligence cases don’t go to trial and guidelines are often relevant to the decision about whether to settle the case out of court, as well as about how to present the case in court</w:t>
      </w:r>
      <w:r w:rsidR="00905703" w:rsidRPr="00C41814">
        <w:rPr>
          <w:rFonts w:asciiTheme="minorHAnsi" w:hAnsiTheme="minorHAnsi" w:cstheme="minorBidi"/>
          <w:i/>
          <w:szCs w:val="22"/>
        </w:rPr>
        <w:t>.</w:t>
      </w:r>
      <w:r w:rsidRPr="00C41814">
        <w:rPr>
          <w:rFonts w:asciiTheme="minorHAnsi" w:hAnsiTheme="minorHAnsi" w:cstheme="minorBidi"/>
          <w:szCs w:val="22"/>
        </w:rPr>
        <w:t>”</w:t>
      </w:r>
      <w:r w:rsidR="00905703" w:rsidRPr="00C41814">
        <w:rPr>
          <w:rStyle w:val="FootnoteReference"/>
          <w:rFonts w:asciiTheme="minorHAnsi" w:hAnsiTheme="minorHAnsi" w:cstheme="minorBidi"/>
          <w:szCs w:val="22"/>
        </w:rPr>
        <w:footnoteReference w:id="133"/>
      </w:r>
      <w:r w:rsidRPr="00C41814">
        <w:rPr>
          <w:rFonts w:asciiTheme="minorHAnsi" w:hAnsiTheme="minorHAnsi" w:cstheme="minorBidi"/>
          <w:szCs w:val="22"/>
        </w:rPr>
        <w:t xml:space="preserve"> </w:t>
      </w:r>
    </w:p>
    <w:p w14:paraId="5F21A112" w14:textId="2839466A" w:rsidR="00CB1189" w:rsidRPr="00C41814" w:rsidRDefault="00CB1189" w:rsidP="008E5806">
      <w:pPr>
        <w:spacing w:after="200" w:line="360" w:lineRule="auto"/>
        <w:rPr>
          <w:rFonts w:asciiTheme="minorHAnsi" w:hAnsiTheme="minorHAnsi" w:cstheme="minorBidi"/>
          <w:szCs w:val="22"/>
        </w:rPr>
      </w:pPr>
      <w:r w:rsidRPr="00C41814">
        <w:rPr>
          <w:rFonts w:asciiTheme="minorHAnsi" w:hAnsiTheme="minorHAnsi" w:cstheme="minorBidi"/>
          <w:szCs w:val="22"/>
        </w:rPr>
        <w:lastRenderedPageBreak/>
        <w:t xml:space="preserve">Several participants believed that </w:t>
      </w:r>
      <w:r w:rsidR="00DD5E7C" w:rsidRPr="00C41814">
        <w:rPr>
          <w:rFonts w:asciiTheme="minorHAnsi" w:hAnsiTheme="minorHAnsi" w:cstheme="minorBidi"/>
          <w:szCs w:val="22"/>
        </w:rPr>
        <w:t>following</w:t>
      </w:r>
      <w:r w:rsidRPr="00C41814">
        <w:rPr>
          <w:rFonts w:asciiTheme="minorHAnsi" w:hAnsiTheme="minorHAnsi" w:cstheme="minorBidi"/>
          <w:szCs w:val="22"/>
        </w:rPr>
        <w:t xml:space="preserve"> evidence-based guidelines in relevant circumstances was an important factor behind decision</w:t>
      </w:r>
      <w:r w:rsidR="00DB640E" w:rsidRPr="00C41814">
        <w:rPr>
          <w:rFonts w:asciiTheme="minorHAnsi" w:hAnsiTheme="minorHAnsi" w:cstheme="minorBidi"/>
          <w:szCs w:val="22"/>
        </w:rPr>
        <w:t>s</w:t>
      </w:r>
      <w:r w:rsidRPr="00C41814">
        <w:rPr>
          <w:rFonts w:asciiTheme="minorHAnsi" w:hAnsiTheme="minorHAnsi" w:cstheme="minorBidi"/>
          <w:szCs w:val="22"/>
        </w:rPr>
        <w:t xml:space="preserve"> </w:t>
      </w:r>
      <w:r w:rsidR="00DB640E" w:rsidRPr="00C41814">
        <w:rPr>
          <w:rFonts w:asciiTheme="minorHAnsi" w:hAnsiTheme="minorHAnsi" w:cstheme="minorBidi"/>
          <w:szCs w:val="22"/>
        </w:rPr>
        <w:t xml:space="preserve">whether </w:t>
      </w:r>
      <w:r w:rsidRPr="00C41814">
        <w:rPr>
          <w:rFonts w:asciiTheme="minorHAnsi" w:hAnsiTheme="minorHAnsi" w:cstheme="minorBidi"/>
          <w:szCs w:val="22"/>
        </w:rPr>
        <w:t xml:space="preserve">to settle </w:t>
      </w:r>
      <w:r w:rsidR="006F7723" w:rsidRPr="00C41814">
        <w:rPr>
          <w:rFonts w:asciiTheme="minorHAnsi" w:hAnsiTheme="minorHAnsi" w:cstheme="minorBidi"/>
          <w:szCs w:val="22"/>
        </w:rPr>
        <w:t xml:space="preserve">early. </w:t>
      </w:r>
      <w:r w:rsidRPr="00C41814">
        <w:rPr>
          <w:rFonts w:asciiTheme="minorHAnsi" w:hAnsiTheme="minorHAnsi" w:cstheme="minorBidi"/>
          <w:szCs w:val="22"/>
        </w:rPr>
        <w:t>Failure to follow CGs appeared to promote early settlement before, as well as during, court proceedings: “</w:t>
      </w:r>
      <w:r w:rsidR="00DB640E" w:rsidRPr="00C41814">
        <w:rPr>
          <w:rFonts w:asciiTheme="minorHAnsi" w:hAnsiTheme="minorHAnsi" w:cstheme="minorBidi"/>
          <w:i/>
          <w:szCs w:val="22"/>
        </w:rPr>
        <w:t>C</w:t>
      </w:r>
      <w:r w:rsidRPr="00C41814">
        <w:rPr>
          <w:rFonts w:asciiTheme="minorHAnsi" w:hAnsiTheme="minorHAnsi" w:cstheme="minorBidi"/>
          <w:i/>
          <w:szCs w:val="22"/>
        </w:rPr>
        <w:t>linical guidelines are not determinative but in practice they are often seen as determinative, and if there has been a clear failure to follow a guideline that case will usually settle</w:t>
      </w:r>
      <w:r w:rsidR="00322703" w:rsidRPr="00C41814">
        <w:rPr>
          <w:rFonts w:asciiTheme="minorHAnsi" w:hAnsiTheme="minorHAnsi" w:cstheme="minorBidi"/>
          <w:i/>
          <w:szCs w:val="22"/>
        </w:rPr>
        <w:t>.</w:t>
      </w:r>
      <w:r w:rsidRPr="00C41814">
        <w:rPr>
          <w:rFonts w:asciiTheme="minorHAnsi" w:hAnsiTheme="minorHAnsi" w:cstheme="minorBidi"/>
          <w:szCs w:val="22"/>
        </w:rPr>
        <w:t>”</w:t>
      </w:r>
      <w:r w:rsidR="00322703" w:rsidRPr="00C41814">
        <w:rPr>
          <w:rStyle w:val="FootnoteReference"/>
          <w:rFonts w:asciiTheme="minorHAnsi" w:hAnsiTheme="minorHAnsi" w:cstheme="minorBidi"/>
          <w:szCs w:val="22"/>
        </w:rPr>
        <w:footnoteReference w:id="134"/>
      </w:r>
      <w:r w:rsidRPr="00C41814">
        <w:rPr>
          <w:rFonts w:asciiTheme="minorHAnsi" w:hAnsiTheme="minorHAnsi" w:cstheme="minorBidi"/>
          <w:szCs w:val="22"/>
        </w:rPr>
        <w:t xml:space="preserve"> </w:t>
      </w:r>
      <w:r w:rsidR="00A94AD9" w:rsidRPr="00C41814">
        <w:rPr>
          <w:rFonts w:asciiTheme="minorHAnsi" w:hAnsiTheme="minorHAnsi" w:cstheme="minorBidi"/>
          <w:szCs w:val="22"/>
        </w:rPr>
        <w:t>F</w:t>
      </w:r>
      <w:r w:rsidRPr="00C41814">
        <w:rPr>
          <w:rFonts w:asciiTheme="minorHAnsi" w:hAnsiTheme="minorHAnsi" w:cstheme="minorBidi"/>
          <w:szCs w:val="22"/>
        </w:rPr>
        <w:t>ailure to follow authoritative guidance was perceived to be “</w:t>
      </w:r>
      <w:r w:rsidRPr="00C41814">
        <w:rPr>
          <w:rFonts w:asciiTheme="minorHAnsi" w:hAnsiTheme="minorHAnsi" w:cstheme="minorBidi"/>
          <w:i/>
          <w:szCs w:val="22"/>
        </w:rPr>
        <w:t>more serious</w:t>
      </w:r>
      <w:r w:rsidRPr="00C41814">
        <w:rPr>
          <w:rFonts w:asciiTheme="minorHAnsi" w:hAnsiTheme="minorHAnsi" w:cstheme="minorBidi"/>
          <w:szCs w:val="22"/>
        </w:rPr>
        <w:t>” and potentially “</w:t>
      </w:r>
      <w:r w:rsidRPr="00C41814">
        <w:rPr>
          <w:rFonts w:asciiTheme="minorHAnsi" w:hAnsiTheme="minorHAnsi" w:cstheme="minorBidi"/>
          <w:i/>
          <w:szCs w:val="22"/>
        </w:rPr>
        <w:t>negligent</w:t>
      </w:r>
      <w:r w:rsidRPr="00C41814">
        <w:rPr>
          <w:rFonts w:asciiTheme="minorHAnsi" w:hAnsiTheme="minorHAnsi" w:cstheme="minorBidi"/>
          <w:szCs w:val="22"/>
        </w:rPr>
        <w:t>” even though “</w:t>
      </w:r>
      <w:r w:rsidRPr="00C41814">
        <w:rPr>
          <w:rFonts w:asciiTheme="minorHAnsi" w:hAnsiTheme="minorHAnsi" w:cstheme="minorBidi"/>
          <w:i/>
          <w:szCs w:val="22"/>
        </w:rPr>
        <w:t>clinical common sense and practice</w:t>
      </w:r>
      <w:r w:rsidRPr="00C41814">
        <w:rPr>
          <w:rFonts w:asciiTheme="minorHAnsi" w:hAnsiTheme="minorHAnsi" w:cstheme="minorBidi"/>
          <w:szCs w:val="22"/>
        </w:rPr>
        <w:t>” might support the defendant’s action</w:t>
      </w:r>
      <w:r w:rsidR="00332D9C" w:rsidRPr="00C41814">
        <w:rPr>
          <w:rFonts w:asciiTheme="minorHAnsi" w:hAnsiTheme="minorHAnsi" w:cstheme="minorBidi"/>
          <w:szCs w:val="22"/>
        </w:rPr>
        <w:t>.</w:t>
      </w:r>
      <w:r w:rsidR="00F03AF5" w:rsidRPr="00C41814">
        <w:rPr>
          <w:rStyle w:val="FootnoteReference"/>
          <w:rFonts w:asciiTheme="minorHAnsi" w:hAnsiTheme="minorHAnsi" w:cstheme="minorBidi"/>
          <w:szCs w:val="22"/>
        </w:rPr>
        <w:footnoteReference w:id="135"/>
      </w:r>
      <w:r w:rsidRPr="00C41814">
        <w:rPr>
          <w:rFonts w:asciiTheme="minorHAnsi" w:hAnsiTheme="minorHAnsi" w:cstheme="minorBidi"/>
          <w:szCs w:val="22"/>
        </w:rPr>
        <w:t xml:space="preserve"> </w:t>
      </w:r>
    </w:p>
    <w:p w14:paraId="282D1811" w14:textId="5456DA1B" w:rsidR="00CB1189" w:rsidRPr="00C41814" w:rsidRDefault="00CB1189" w:rsidP="008E5806">
      <w:pPr>
        <w:spacing w:after="200" w:line="360" w:lineRule="auto"/>
        <w:rPr>
          <w:rFonts w:asciiTheme="minorHAnsi" w:hAnsiTheme="minorHAnsi" w:cstheme="minorBidi"/>
          <w:szCs w:val="22"/>
        </w:rPr>
      </w:pPr>
      <w:r w:rsidRPr="00C41814">
        <w:rPr>
          <w:rFonts w:asciiTheme="minorHAnsi" w:hAnsiTheme="minorHAnsi" w:cstheme="minorBidi"/>
          <w:szCs w:val="22"/>
        </w:rPr>
        <w:t>Even where the evidence was strong that treatment outside of guidance had been appropriate</w:t>
      </w:r>
      <w:r w:rsidR="00332D9C" w:rsidRPr="00C41814">
        <w:rPr>
          <w:rFonts w:asciiTheme="minorHAnsi" w:hAnsiTheme="minorHAnsi" w:cstheme="minorBidi"/>
          <w:szCs w:val="22"/>
        </w:rPr>
        <w:t>,</w:t>
      </w:r>
      <w:r w:rsidRPr="00C41814">
        <w:rPr>
          <w:rFonts w:asciiTheme="minorHAnsi" w:hAnsiTheme="minorHAnsi" w:cstheme="minorBidi"/>
          <w:szCs w:val="22"/>
        </w:rPr>
        <w:t xml:space="preserve"> such cases were not always defended</w:t>
      </w:r>
      <w:r w:rsidR="00584D6A" w:rsidRPr="00C41814">
        <w:rPr>
          <w:rFonts w:asciiTheme="minorHAnsi" w:hAnsiTheme="minorHAnsi" w:cstheme="minorBidi"/>
          <w:szCs w:val="22"/>
        </w:rPr>
        <w:t xml:space="preserve">, </w:t>
      </w:r>
      <w:r w:rsidRPr="00C41814">
        <w:rPr>
          <w:rFonts w:asciiTheme="minorHAnsi" w:hAnsiTheme="minorHAnsi" w:cstheme="minorBidi"/>
          <w:szCs w:val="22"/>
        </w:rPr>
        <w:t>although it was recognised that “</w:t>
      </w:r>
      <w:r w:rsidRPr="00C41814">
        <w:rPr>
          <w:rFonts w:asciiTheme="minorHAnsi" w:hAnsiTheme="minorHAnsi" w:cstheme="minorBidi"/>
          <w:i/>
          <w:szCs w:val="22"/>
        </w:rPr>
        <w:t>regard must be had as to how longstanding the guideline is and whether any reasonable practitioner would have been aware of it</w:t>
      </w:r>
      <w:r w:rsidR="009044C6" w:rsidRPr="00C41814">
        <w:rPr>
          <w:rFonts w:asciiTheme="minorHAnsi" w:hAnsiTheme="minorHAnsi" w:cstheme="minorBidi"/>
          <w:i/>
          <w:szCs w:val="22"/>
        </w:rPr>
        <w:t>.</w:t>
      </w:r>
      <w:r w:rsidRPr="00C41814">
        <w:rPr>
          <w:rFonts w:asciiTheme="minorHAnsi" w:hAnsiTheme="minorHAnsi" w:cstheme="minorBidi"/>
          <w:szCs w:val="22"/>
        </w:rPr>
        <w:t>”</w:t>
      </w:r>
      <w:r w:rsidR="009044C6" w:rsidRPr="00C41814">
        <w:rPr>
          <w:rStyle w:val="FootnoteReference"/>
          <w:rFonts w:asciiTheme="minorHAnsi" w:hAnsiTheme="minorHAnsi" w:cstheme="minorBidi"/>
          <w:szCs w:val="22"/>
        </w:rPr>
        <w:footnoteReference w:id="136"/>
      </w:r>
      <w:r w:rsidRPr="00C41814">
        <w:rPr>
          <w:rFonts w:asciiTheme="minorHAnsi" w:hAnsiTheme="minorHAnsi" w:cstheme="minorBidi"/>
          <w:szCs w:val="22"/>
        </w:rPr>
        <w:t xml:space="preserve"> Unjustified assumptions about “negligence” by some legal teams, whether defendant or claimant, particularly in the early stages of proceedings, meant that some claims were not considered to be worthy of defending: “</w:t>
      </w:r>
      <w:r w:rsidRPr="00C41814">
        <w:rPr>
          <w:rFonts w:asciiTheme="minorHAnsi" w:hAnsiTheme="minorHAnsi" w:cstheme="minorBidi"/>
          <w:i/>
          <w:szCs w:val="22"/>
        </w:rPr>
        <w:t>Cases tend to settle on the proposition that medical professionals should not depart from national guidelines without cogent reason</w:t>
      </w:r>
      <w:r w:rsidR="008955F2" w:rsidRPr="00C41814">
        <w:rPr>
          <w:rFonts w:asciiTheme="minorHAnsi" w:hAnsiTheme="minorHAnsi" w:cstheme="minorBidi"/>
          <w:i/>
          <w:szCs w:val="22"/>
        </w:rPr>
        <w:t>.</w:t>
      </w:r>
      <w:r w:rsidRPr="00C41814">
        <w:rPr>
          <w:rFonts w:asciiTheme="minorHAnsi" w:hAnsiTheme="minorHAnsi" w:cstheme="minorBidi"/>
          <w:szCs w:val="22"/>
        </w:rPr>
        <w:t>”</w:t>
      </w:r>
      <w:r w:rsidR="008955F2" w:rsidRPr="00C41814">
        <w:rPr>
          <w:rStyle w:val="FootnoteReference"/>
          <w:rFonts w:asciiTheme="minorHAnsi" w:hAnsiTheme="minorHAnsi" w:cstheme="minorBidi"/>
          <w:szCs w:val="22"/>
        </w:rPr>
        <w:footnoteReference w:id="137"/>
      </w:r>
      <w:r w:rsidRPr="00C41814">
        <w:rPr>
          <w:rFonts w:asciiTheme="minorHAnsi" w:hAnsiTheme="minorHAnsi" w:cstheme="minorBidi"/>
          <w:szCs w:val="22"/>
        </w:rPr>
        <w:t xml:space="preserve"> These situations were more likely to arise where evidence-based guidance from NICE or the Royal Colleges was available in obstetric cases and with delayed cancer referrals from primary care.  </w:t>
      </w:r>
    </w:p>
    <w:p w14:paraId="6501068F" w14:textId="6153B123" w:rsidR="00CB1189" w:rsidRPr="00C41814" w:rsidRDefault="00DD5E7C" w:rsidP="008E5806">
      <w:pPr>
        <w:spacing w:after="200" w:line="360" w:lineRule="auto"/>
        <w:rPr>
          <w:rFonts w:asciiTheme="minorHAnsi" w:hAnsiTheme="minorHAnsi" w:cstheme="minorBidi"/>
          <w:szCs w:val="22"/>
        </w:rPr>
      </w:pPr>
      <w:r w:rsidRPr="00C41814">
        <w:rPr>
          <w:rFonts w:asciiTheme="minorHAnsi" w:hAnsiTheme="minorHAnsi" w:cstheme="minorBidi"/>
          <w:szCs w:val="22"/>
        </w:rPr>
        <w:t>Our</w:t>
      </w:r>
      <w:r w:rsidR="00CB1189" w:rsidRPr="00C41814">
        <w:rPr>
          <w:rFonts w:asciiTheme="minorHAnsi" w:hAnsiTheme="minorHAnsi" w:cstheme="minorBidi"/>
          <w:szCs w:val="22"/>
        </w:rPr>
        <w:t xml:space="preserve"> findings indicate a divergence in the way CGs </w:t>
      </w:r>
      <w:r w:rsidR="00C600A8" w:rsidRPr="00C41814">
        <w:rPr>
          <w:rFonts w:asciiTheme="minorHAnsi" w:hAnsiTheme="minorHAnsi" w:cstheme="minorBidi"/>
          <w:szCs w:val="22"/>
        </w:rPr>
        <w:t xml:space="preserve">are </w:t>
      </w:r>
      <w:r w:rsidR="00CB1189" w:rsidRPr="00C41814">
        <w:rPr>
          <w:rFonts w:asciiTheme="minorHAnsi" w:hAnsiTheme="minorHAnsi" w:cstheme="minorBidi"/>
          <w:szCs w:val="22"/>
        </w:rPr>
        <w:t xml:space="preserve">regarded in respect of the </w:t>
      </w:r>
      <w:r w:rsidR="00CB1189" w:rsidRPr="00C41814">
        <w:rPr>
          <w:rFonts w:asciiTheme="minorHAnsi" w:hAnsiTheme="minorHAnsi" w:cstheme="minorBidi"/>
          <w:i/>
          <w:szCs w:val="22"/>
        </w:rPr>
        <w:t>legal standard for breach of duty</w:t>
      </w:r>
      <w:r w:rsidR="00CB1189" w:rsidRPr="00C41814">
        <w:rPr>
          <w:rFonts w:asciiTheme="minorHAnsi" w:hAnsiTheme="minorHAnsi" w:cstheme="minorBidi"/>
          <w:szCs w:val="22"/>
        </w:rPr>
        <w:t xml:space="preserve"> </w:t>
      </w:r>
      <w:r w:rsidR="00CB1189" w:rsidRPr="00C41814">
        <w:rPr>
          <w:rFonts w:asciiTheme="minorHAnsi" w:hAnsiTheme="minorHAnsi" w:cstheme="minorBidi"/>
          <w:i/>
          <w:szCs w:val="22"/>
        </w:rPr>
        <w:t>in law</w:t>
      </w:r>
      <w:r w:rsidR="00CB1189" w:rsidRPr="00C41814">
        <w:rPr>
          <w:rFonts w:asciiTheme="minorHAnsi" w:hAnsiTheme="minorHAnsi" w:cstheme="minorBidi"/>
          <w:szCs w:val="22"/>
        </w:rPr>
        <w:t xml:space="preserve">, compared to how CGs are regarded as a </w:t>
      </w:r>
      <w:r w:rsidR="00CB1189" w:rsidRPr="00C41814">
        <w:rPr>
          <w:rFonts w:asciiTheme="minorHAnsi" w:hAnsiTheme="minorHAnsi" w:cstheme="minorBidi"/>
          <w:i/>
          <w:szCs w:val="22"/>
        </w:rPr>
        <w:t>standard in practice for settling or defending</w:t>
      </w:r>
      <w:r w:rsidR="00CB1189" w:rsidRPr="00C41814">
        <w:rPr>
          <w:rFonts w:asciiTheme="minorHAnsi" w:hAnsiTheme="minorHAnsi" w:cstheme="minorBidi"/>
          <w:szCs w:val="22"/>
        </w:rPr>
        <w:t xml:space="preserve"> a claim in the litigation process. In practice, </w:t>
      </w:r>
      <w:r w:rsidR="00C600A8" w:rsidRPr="00C41814">
        <w:rPr>
          <w:rFonts w:asciiTheme="minorHAnsi" w:hAnsiTheme="minorHAnsi" w:cstheme="minorBidi"/>
          <w:szCs w:val="22"/>
        </w:rPr>
        <w:t xml:space="preserve">there seems to be at least </w:t>
      </w:r>
      <w:r w:rsidR="00CB1189" w:rsidRPr="00C41814">
        <w:rPr>
          <w:rFonts w:asciiTheme="minorHAnsi" w:hAnsiTheme="minorHAnsi" w:cstheme="minorBidi"/>
          <w:szCs w:val="22"/>
        </w:rPr>
        <w:t xml:space="preserve">two important points. First, failure to follow </w:t>
      </w:r>
      <w:r w:rsidR="00C600A8" w:rsidRPr="00C41814">
        <w:rPr>
          <w:rFonts w:asciiTheme="minorHAnsi" w:hAnsiTheme="minorHAnsi" w:cstheme="minorBidi"/>
          <w:szCs w:val="22"/>
        </w:rPr>
        <w:t xml:space="preserve">guidance </w:t>
      </w:r>
      <w:r w:rsidR="00CB1189" w:rsidRPr="00C41814">
        <w:rPr>
          <w:rFonts w:asciiTheme="minorHAnsi" w:hAnsiTheme="minorHAnsi" w:cstheme="minorBidi"/>
          <w:szCs w:val="22"/>
        </w:rPr>
        <w:t xml:space="preserve">could </w:t>
      </w:r>
      <w:r w:rsidR="00C600A8" w:rsidRPr="00C41814">
        <w:rPr>
          <w:rFonts w:asciiTheme="minorHAnsi" w:hAnsiTheme="minorHAnsi" w:cstheme="minorBidi"/>
          <w:szCs w:val="22"/>
        </w:rPr>
        <w:t xml:space="preserve">prompt </w:t>
      </w:r>
      <w:r w:rsidR="00CB1189" w:rsidRPr="00C41814">
        <w:rPr>
          <w:rFonts w:asciiTheme="minorHAnsi" w:hAnsiTheme="minorHAnsi" w:cstheme="minorBidi"/>
          <w:szCs w:val="22"/>
        </w:rPr>
        <w:t>a “suspicion” of negligence. The misgiving would seem stronger if the CG in question is an established or recognised guideline from a</w:t>
      </w:r>
      <w:r w:rsidR="003C2E9B" w:rsidRPr="00C41814">
        <w:rPr>
          <w:rFonts w:asciiTheme="minorHAnsi" w:hAnsiTheme="minorHAnsi" w:cstheme="minorBidi"/>
          <w:szCs w:val="22"/>
        </w:rPr>
        <w:t xml:space="preserve">n authoritative </w:t>
      </w:r>
      <w:r w:rsidR="00CB1189" w:rsidRPr="00C41814">
        <w:rPr>
          <w:rFonts w:asciiTheme="minorHAnsi" w:hAnsiTheme="minorHAnsi" w:cstheme="minorBidi"/>
          <w:szCs w:val="22"/>
        </w:rPr>
        <w:t xml:space="preserve">source such as NICE or the Royal Colleges. Second, there appears to be a reticence to defend a case if the defendant has </w:t>
      </w:r>
      <w:r w:rsidR="001F686D" w:rsidRPr="00C41814">
        <w:rPr>
          <w:rFonts w:asciiTheme="minorHAnsi" w:hAnsiTheme="minorHAnsi" w:cstheme="minorBidi"/>
          <w:szCs w:val="22"/>
        </w:rPr>
        <w:t xml:space="preserve">not complied </w:t>
      </w:r>
      <w:r w:rsidR="00CB1189" w:rsidRPr="00C41814">
        <w:rPr>
          <w:rFonts w:asciiTheme="minorHAnsi" w:hAnsiTheme="minorHAnsi" w:cstheme="minorBidi"/>
          <w:szCs w:val="22"/>
        </w:rPr>
        <w:t xml:space="preserve">with a guideline. One reason for such reluctance may be because of advice from expert witnesses. Experts have often stated that they see their position as being somewhat compromised if CGs have </w:t>
      </w:r>
      <w:r w:rsidR="00CB1189" w:rsidRPr="00C41814">
        <w:rPr>
          <w:rFonts w:asciiTheme="minorHAnsi" w:hAnsiTheme="minorHAnsi" w:cstheme="minorBidi"/>
          <w:i/>
          <w:szCs w:val="22"/>
        </w:rPr>
        <w:t>not</w:t>
      </w:r>
      <w:r w:rsidR="00CB1189" w:rsidRPr="00C41814">
        <w:rPr>
          <w:rFonts w:asciiTheme="minorHAnsi" w:hAnsiTheme="minorHAnsi" w:cstheme="minorBidi"/>
          <w:szCs w:val="22"/>
        </w:rPr>
        <w:t xml:space="preserve"> been followed, even though the basis for non-compliance may be perfectly plausible </w:t>
      </w:r>
      <w:r w:rsidR="0027163E" w:rsidRPr="00C41814">
        <w:rPr>
          <w:rFonts w:asciiTheme="minorHAnsi" w:hAnsiTheme="minorHAnsi" w:cstheme="minorBidi"/>
          <w:szCs w:val="22"/>
        </w:rPr>
        <w:t xml:space="preserve">clinically </w:t>
      </w:r>
      <w:r w:rsidR="00CB1189" w:rsidRPr="00C41814">
        <w:rPr>
          <w:rFonts w:asciiTheme="minorHAnsi" w:hAnsiTheme="minorHAnsi" w:cstheme="minorBidi"/>
          <w:szCs w:val="22"/>
        </w:rPr>
        <w:t>(AS, direct communication</w:t>
      </w:r>
      <w:r w:rsidR="00454C8C" w:rsidRPr="00C41814">
        <w:rPr>
          <w:rFonts w:asciiTheme="minorHAnsi" w:hAnsiTheme="minorHAnsi" w:cstheme="minorBidi"/>
          <w:szCs w:val="22"/>
        </w:rPr>
        <w:t>s</w:t>
      </w:r>
      <w:r w:rsidR="00CB1189" w:rsidRPr="00C41814">
        <w:rPr>
          <w:rFonts w:asciiTheme="minorHAnsi" w:hAnsiTheme="minorHAnsi" w:cstheme="minorBidi"/>
          <w:szCs w:val="22"/>
        </w:rPr>
        <w:t xml:space="preserve">). They </w:t>
      </w:r>
      <w:r w:rsidR="001F686D" w:rsidRPr="00C41814">
        <w:rPr>
          <w:rFonts w:asciiTheme="minorHAnsi" w:hAnsiTheme="minorHAnsi" w:cstheme="minorBidi"/>
          <w:szCs w:val="22"/>
        </w:rPr>
        <w:t xml:space="preserve">perceive </w:t>
      </w:r>
      <w:r w:rsidR="00CB1189" w:rsidRPr="00C41814">
        <w:rPr>
          <w:rFonts w:asciiTheme="minorHAnsi" w:hAnsiTheme="minorHAnsi" w:cstheme="minorBidi"/>
          <w:szCs w:val="22"/>
        </w:rPr>
        <w:t xml:space="preserve">themselves </w:t>
      </w:r>
      <w:r w:rsidR="001F686D" w:rsidRPr="00C41814">
        <w:rPr>
          <w:rFonts w:asciiTheme="minorHAnsi" w:hAnsiTheme="minorHAnsi" w:cstheme="minorBidi"/>
          <w:szCs w:val="22"/>
        </w:rPr>
        <w:t xml:space="preserve">as </w:t>
      </w:r>
      <w:r w:rsidR="00CB1189" w:rsidRPr="00C41814">
        <w:rPr>
          <w:rFonts w:asciiTheme="minorHAnsi" w:hAnsiTheme="minorHAnsi" w:cstheme="minorBidi"/>
          <w:szCs w:val="22"/>
        </w:rPr>
        <w:t>being placed in an invidious p</w:t>
      </w:r>
      <w:r w:rsidR="001F686D" w:rsidRPr="00C41814">
        <w:rPr>
          <w:rFonts w:asciiTheme="minorHAnsi" w:hAnsiTheme="minorHAnsi" w:cstheme="minorBidi"/>
          <w:szCs w:val="22"/>
        </w:rPr>
        <w:t xml:space="preserve">osition </w:t>
      </w:r>
      <w:r w:rsidR="00CB1189" w:rsidRPr="00C41814">
        <w:rPr>
          <w:rFonts w:asciiTheme="minorHAnsi" w:hAnsiTheme="minorHAnsi" w:cstheme="minorBidi"/>
          <w:szCs w:val="22"/>
        </w:rPr>
        <w:t xml:space="preserve">should proceedings progress.  Such a view is unfortunate because it creates a </w:t>
      </w:r>
      <w:r w:rsidR="0027163E" w:rsidRPr="00C41814">
        <w:rPr>
          <w:rFonts w:asciiTheme="minorHAnsi" w:hAnsiTheme="minorHAnsi" w:cstheme="minorBidi"/>
          <w:szCs w:val="22"/>
        </w:rPr>
        <w:t>requirement to comply with</w:t>
      </w:r>
      <w:r w:rsidR="00CB1189" w:rsidRPr="00C41814">
        <w:rPr>
          <w:rFonts w:asciiTheme="minorHAnsi" w:hAnsiTheme="minorHAnsi" w:cstheme="minorBidi"/>
          <w:szCs w:val="22"/>
        </w:rPr>
        <w:t xml:space="preserve"> </w:t>
      </w:r>
      <w:r w:rsidR="00454C8C" w:rsidRPr="00C41814">
        <w:rPr>
          <w:rFonts w:asciiTheme="minorHAnsi" w:hAnsiTheme="minorHAnsi" w:cstheme="minorBidi"/>
          <w:szCs w:val="22"/>
        </w:rPr>
        <w:t>guidance,</w:t>
      </w:r>
      <w:r w:rsidR="0027163E" w:rsidRPr="00C41814">
        <w:rPr>
          <w:rFonts w:asciiTheme="minorHAnsi" w:hAnsiTheme="minorHAnsi" w:cstheme="minorBidi"/>
          <w:szCs w:val="22"/>
        </w:rPr>
        <w:t xml:space="preserve"> although such compliance </w:t>
      </w:r>
      <w:r w:rsidR="00454C8C" w:rsidRPr="00C41814">
        <w:rPr>
          <w:rFonts w:asciiTheme="minorHAnsi" w:hAnsiTheme="minorHAnsi" w:cstheme="minorBidi"/>
          <w:szCs w:val="22"/>
        </w:rPr>
        <w:t xml:space="preserve">will </w:t>
      </w:r>
      <w:r w:rsidR="00CB1189" w:rsidRPr="00C41814">
        <w:rPr>
          <w:rFonts w:asciiTheme="minorHAnsi" w:hAnsiTheme="minorHAnsi" w:cstheme="minorBidi"/>
          <w:szCs w:val="22"/>
        </w:rPr>
        <w:t>not necessarily vindicate the defendant in an action</w:t>
      </w:r>
      <w:r w:rsidR="00454C8C" w:rsidRPr="00C41814">
        <w:rPr>
          <w:rFonts w:asciiTheme="minorHAnsi" w:hAnsiTheme="minorHAnsi" w:cstheme="minorBidi"/>
          <w:szCs w:val="22"/>
        </w:rPr>
        <w:t>.</w:t>
      </w:r>
    </w:p>
    <w:p w14:paraId="7365999A" w14:textId="3F02CF92" w:rsidR="00CB1189" w:rsidRPr="00C41814" w:rsidRDefault="00574FD2" w:rsidP="008E5806">
      <w:pPr>
        <w:spacing w:after="200" w:line="360" w:lineRule="auto"/>
        <w:rPr>
          <w:rFonts w:asciiTheme="minorHAnsi" w:hAnsiTheme="minorHAnsi" w:cstheme="minorHAnsi"/>
          <w:szCs w:val="22"/>
        </w:rPr>
      </w:pPr>
      <w:r w:rsidRPr="00C41814">
        <w:rPr>
          <w:rFonts w:asciiTheme="minorHAnsi" w:hAnsiTheme="minorHAnsi" w:cstheme="minorHAnsi"/>
          <w:szCs w:val="22"/>
        </w:rPr>
        <w:lastRenderedPageBreak/>
        <w:t>A</w:t>
      </w:r>
      <w:r w:rsidR="00CB1189" w:rsidRPr="00C41814">
        <w:rPr>
          <w:rFonts w:asciiTheme="minorHAnsi" w:hAnsiTheme="minorHAnsi" w:cstheme="minorHAnsi"/>
          <w:szCs w:val="22"/>
        </w:rPr>
        <w:t xml:space="preserve">nalysis of the number of claims and quantum based on figures </w:t>
      </w:r>
      <w:r w:rsidR="00454C8C" w:rsidRPr="00C41814">
        <w:rPr>
          <w:rFonts w:asciiTheme="minorHAnsi" w:hAnsiTheme="minorHAnsi" w:cstheme="minorHAnsi"/>
          <w:szCs w:val="22"/>
        </w:rPr>
        <w:t xml:space="preserve">from </w:t>
      </w:r>
      <w:r w:rsidR="00CB1189" w:rsidRPr="00C41814">
        <w:rPr>
          <w:rFonts w:asciiTheme="minorHAnsi" w:hAnsiTheme="minorHAnsi" w:cstheme="minorHAnsi"/>
          <w:szCs w:val="22"/>
        </w:rPr>
        <w:t xml:space="preserve">NHS Resolution shows that between 2007/08 to 2016/17 the number of claims </w:t>
      </w:r>
      <w:r w:rsidR="00454C8C" w:rsidRPr="00C41814">
        <w:rPr>
          <w:rFonts w:asciiTheme="minorHAnsi" w:hAnsiTheme="minorHAnsi" w:cstheme="minorHAnsi"/>
          <w:szCs w:val="22"/>
        </w:rPr>
        <w:t xml:space="preserve">almost </w:t>
      </w:r>
      <w:r w:rsidR="00CB1189" w:rsidRPr="00C41814">
        <w:rPr>
          <w:rFonts w:asciiTheme="minorHAnsi" w:hAnsiTheme="minorHAnsi" w:cstheme="minorHAnsi"/>
          <w:szCs w:val="22"/>
        </w:rPr>
        <w:t xml:space="preserve">doubled. Although the proportion of claims settled with damages (approximately 60%) has not altered, damages paid for those settled with court proceedings/trial has risen nearly threefold from £554 million to £1.34 billion over this period. For cases settled without proceedings there has been an approximately two-fold rise from £45.4 million to £97.5 million. </w:t>
      </w:r>
    </w:p>
    <w:p w14:paraId="1BC29A3D" w14:textId="08003978" w:rsidR="00CB1189" w:rsidRPr="00C41814" w:rsidRDefault="00CB1189" w:rsidP="008E5806">
      <w:pPr>
        <w:spacing w:after="200" w:line="360" w:lineRule="auto"/>
        <w:rPr>
          <w:rFonts w:asciiTheme="minorHAnsi" w:hAnsiTheme="minorHAnsi" w:cstheme="minorHAnsi"/>
          <w:szCs w:val="22"/>
        </w:rPr>
      </w:pPr>
      <w:r w:rsidRPr="00C41814">
        <w:rPr>
          <w:rFonts w:asciiTheme="minorHAnsi" w:hAnsiTheme="minorHAnsi" w:cstheme="minorHAnsi"/>
          <w:szCs w:val="22"/>
        </w:rPr>
        <w:t xml:space="preserve">The astronomical rise in quantum is on account of the considerably larger awards </w:t>
      </w:r>
      <w:r w:rsidR="001563EA" w:rsidRPr="00C41814">
        <w:rPr>
          <w:rFonts w:asciiTheme="minorHAnsi" w:hAnsiTheme="minorHAnsi" w:cstheme="minorHAnsi"/>
          <w:szCs w:val="22"/>
        </w:rPr>
        <w:t xml:space="preserve">for </w:t>
      </w:r>
      <w:r w:rsidRPr="00C41814">
        <w:rPr>
          <w:rFonts w:asciiTheme="minorHAnsi" w:hAnsiTheme="minorHAnsi" w:cstheme="minorHAnsi"/>
          <w:szCs w:val="22"/>
        </w:rPr>
        <w:t xml:space="preserve">cases at the </w:t>
      </w:r>
      <w:r w:rsidR="001563EA" w:rsidRPr="00C41814">
        <w:rPr>
          <w:rFonts w:asciiTheme="minorHAnsi" w:hAnsiTheme="minorHAnsi" w:cstheme="minorHAnsi"/>
          <w:szCs w:val="22"/>
        </w:rPr>
        <w:t>‘</w:t>
      </w:r>
      <w:r w:rsidRPr="00C41814">
        <w:rPr>
          <w:rFonts w:asciiTheme="minorHAnsi" w:hAnsiTheme="minorHAnsi" w:cstheme="minorHAnsi"/>
          <w:szCs w:val="22"/>
        </w:rPr>
        <w:t>high end</w:t>
      </w:r>
      <w:r w:rsidR="001563EA" w:rsidRPr="00C41814">
        <w:rPr>
          <w:rFonts w:asciiTheme="minorHAnsi" w:hAnsiTheme="minorHAnsi" w:cstheme="minorHAnsi"/>
          <w:szCs w:val="22"/>
        </w:rPr>
        <w:t>’</w:t>
      </w:r>
      <w:r w:rsidRPr="00C41814">
        <w:rPr>
          <w:rFonts w:asciiTheme="minorHAnsi" w:hAnsiTheme="minorHAnsi" w:cstheme="minorHAnsi"/>
          <w:szCs w:val="22"/>
        </w:rPr>
        <w:t xml:space="preserve"> of </w:t>
      </w:r>
      <w:r w:rsidR="004370E2" w:rsidRPr="00C41814">
        <w:rPr>
          <w:rFonts w:asciiTheme="minorHAnsi" w:hAnsiTheme="minorHAnsi" w:cstheme="minorHAnsi"/>
          <w:szCs w:val="22"/>
        </w:rPr>
        <w:t xml:space="preserve">medical </w:t>
      </w:r>
      <w:r w:rsidRPr="00C41814">
        <w:rPr>
          <w:rFonts w:asciiTheme="minorHAnsi" w:hAnsiTheme="minorHAnsi" w:cstheme="minorHAnsi"/>
          <w:szCs w:val="22"/>
        </w:rPr>
        <w:t>negligence, particularly those that proceed to trial</w:t>
      </w:r>
      <w:r w:rsidR="001563EA" w:rsidRPr="00C41814">
        <w:rPr>
          <w:rFonts w:asciiTheme="minorHAnsi" w:hAnsiTheme="minorHAnsi" w:cstheme="minorHAnsi"/>
          <w:szCs w:val="22"/>
        </w:rPr>
        <w:t>.</w:t>
      </w:r>
      <w:r w:rsidRPr="00C41814">
        <w:rPr>
          <w:rFonts w:asciiTheme="minorHAnsi" w:hAnsiTheme="minorHAnsi" w:cstheme="minorHAnsi"/>
          <w:szCs w:val="22"/>
        </w:rPr>
        <w:t xml:space="preserve"> For settlements without court proceedings, there was a twofold rise between 2007/08 and 2016/17. During th</w:t>
      </w:r>
      <w:r w:rsidR="001563EA" w:rsidRPr="00C41814">
        <w:rPr>
          <w:rFonts w:asciiTheme="minorHAnsi" w:hAnsiTheme="minorHAnsi" w:cstheme="minorHAnsi"/>
          <w:szCs w:val="22"/>
        </w:rPr>
        <w:t xml:space="preserve">is </w:t>
      </w:r>
      <w:r w:rsidRPr="00C41814">
        <w:rPr>
          <w:rFonts w:asciiTheme="minorHAnsi" w:hAnsiTheme="minorHAnsi" w:cstheme="minorHAnsi"/>
          <w:szCs w:val="22"/>
        </w:rPr>
        <w:t xml:space="preserve">period there was a doubling of claims, but a constant proportion progressed to court proceedings or trial.  Some of these cases (without court proceedings) may have been abandoned, </w:t>
      </w:r>
      <w:r w:rsidR="00382EEE" w:rsidRPr="00C41814">
        <w:rPr>
          <w:rFonts w:asciiTheme="minorHAnsi" w:hAnsiTheme="minorHAnsi" w:cstheme="minorHAnsi"/>
          <w:szCs w:val="22"/>
        </w:rPr>
        <w:t xml:space="preserve">or perhaps settled without </w:t>
      </w:r>
      <w:r w:rsidRPr="00C41814">
        <w:rPr>
          <w:rFonts w:asciiTheme="minorHAnsi" w:hAnsiTheme="minorHAnsi" w:cstheme="minorHAnsi"/>
          <w:szCs w:val="22"/>
        </w:rPr>
        <w:t>compensation</w:t>
      </w:r>
      <w:r w:rsidR="00382EEE" w:rsidRPr="00C41814">
        <w:rPr>
          <w:rFonts w:asciiTheme="minorHAnsi" w:hAnsiTheme="minorHAnsi" w:cstheme="minorHAnsi"/>
          <w:szCs w:val="22"/>
        </w:rPr>
        <w:t xml:space="preserve">. They may have been </w:t>
      </w:r>
      <w:r w:rsidRPr="00C41814">
        <w:rPr>
          <w:rFonts w:asciiTheme="minorHAnsi" w:hAnsiTheme="minorHAnsi" w:cstheme="minorHAnsi"/>
          <w:szCs w:val="22"/>
        </w:rPr>
        <w:t>disposed of through other channels.  An unadjusted calculation would suggest that the per capita payment in this cohort would be roughly unaltered over an approximate ten</w:t>
      </w:r>
      <w:r w:rsidR="00454C8C" w:rsidRPr="00C41814">
        <w:rPr>
          <w:rFonts w:asciiTheme="minorHAnsi" w:hAnsiTheme="minorHAnsi" w:cstheme="minorHAnsi"/>
          <w:szCs w:val="22"/>
        </w:rPr>
        <w:t>-</w:t>
      </w:r>
      <w:r w:rsidRPr="00C41814">
        <w:rPr>
          <w:rFonts w:asciiTheme="minorHAnsi" w:hAnsiTheme="minorHAnsi" w:cstheme="minorHAnsi"/>
          <w:szCs w:val="22"/>
        </w:rPr>
        <w:t xml:space="preserve">year period. It is therefore conceivable that the relative lack of rise </w:t>
      </w:r>
      <w:r w:rsidRPr="00C41814">
        <w:rPr>
          <w:rFonts w:asciiTheme="minorHAnsi" w:hAnsiTheme="minorHAnsi" w:cstheme="minorHAnsi"/>
          <w:i/>
          <w:szCs w:val="22"/>
        </w:rPr>
        <w:t>per capita</w:t>
      </w:r>
      <w:r w:rsidRPr="00C41814">
        <w:rPr>
          <w:rFonts w:asciiTheme="minorHAnsi" w:hAnsiTheme="minorHAnsi" w:cstheme="minorHAnsi"/>
          <w:szCs w:val="22"/>
        </w:rPr>
        <w:t xml:space="preserve"> over a period of a decade might seem an attractive proposition in litigation for the early settlement of cases </w:t>
      </w:r>
      <w:r w:rsidR="001563EA" w:rsidRPr="00C41814">
        <w:rPr>
          <w:rFonts w:asciiTheme="minorHAnsi" w:hAnsiTheme="minorHAnsi" w:cstheme="minorHAnsi"/>
          <w:szCs w:val="22"/>
        </w:rPr>
        <w:t xml:space="preserve">characterised by </w:t>
      </w:r>
      <w:r w:rsidRPr="00C41814">
        <w:rPr>
          <w:rFonts w:asciiTheme="minorHAnsi" w:hAnsiTheme="minorHAnsi" w:cstheme="minorHAnsi"/>
          <w:szCs w:val="22"/>
        </w:rPr>
        <w:t xml:space="preserve">non-compliance </w:t>
      </w:r>
      <w:r w:rsidR="001563EA" w:rsidRPr="00C41814">
        <w:rPr>
          <w:rFonts w:asciiTheme="minorHAnsi" w:hAnsiTheme="minorHAnsi" w:cstheme="minorHAnsi"/>
          <w:szCs w:val="22"/>
        </w:rPr>
        <w:t xml:space="preserve">with </w:t>
      </w:r>
      <w:r w:rsidRPr="00C41814">
        <w:rPr>
          <w:rFonts w:asciiTheme="minorHAnsi" w:hAnsiTheme="minorHAnsi" w:cstheme="minorHAnsi"/>
          <w:szCs w:val="22"/>
        </w:rPr>
        <w:t xml:space="preserve">CGs. </w:t>
      </w:r>
    </w:p>
    <w:p w14:paraId="13A3E237" w14:textId="683C957E" w:rsidR="00CB1189" w:rsidRPr="00C41814" w:rsidRDefault="00CB1189" w:rsidP="008E5806">
      <w:pPr>
        <w:spacing w:after="200" w:line="360" w:lineRule="auto"/>
        <w:rPr>
          <w:rFonts w:asciiTheme="minorHAnsi" w:hAnsiTheme="minorHAnsi" w:cstheme="minorBidi"/>
          <w:szCs w:val="22"/>
        </w:rPr>
      </w:pPr>
      <w:r w:rsidRPr="00C41814">
        <w:rPr>
          <w:rFonts w:asciiTheme="minorHAnsi" w:hAnsiTheme="minorHAnsi" w:cstheme="minorHAnsi"/>
          <w:szCs w:val="22"/>
        </w:rPr>
        <w:t xml:space="preserve">The frequency of the use of CGs </w:t>
      </w:r>
      <w:r w:rsidR="001563EA" w:rsidRPr="00C41814">
        <w:rPr>
          <w:rFonts w:asciiTheme="minorHAnsi" w:hAnsiTheme="minorHAnsi" w:cstheme="minorHAnsi"/>
          <w:szCs w:val="22"/>
        </w:rPr>
        <w:t xml:space="preserve">as a determinant for </w:t>
      </w:r>
      <w:r w:rsidRPr="00C41814">
        <w:rPr>
          <w:rFonts w:asciiTheme="minorHAnsi" w:hAnsiTheme="minorHAnsi" w:cstheme="minorHAnsi"/>
          <w:szCs w:val="22"/>
        </w:rPr>
        <w:t>the early settlement of cases</w:t>
      </w:r>
      <w:r w:rsidR="00D163DB" w:rsidRPr="00C41814">
        <w:rPr>
          <w:rFonts w:asciiTheme="minorHAnsi" w:hAnsiTheme="minorHAnsi" w:cstheme="minorHAnsi"/>
          <w:szCs w:val="22"/>
        </w:rPr>
        <w:t>,</w:t>
      </w:r>
      <w:r w:rsidRPr="00C41814">
        <w:rPr>
          <w:rFonts w:asciiTheme="minorHAnsi" w:hAnsiTheme="minorHAnsi" w:cstheme="minorHAnsi"/>
          <w:szCs w:val="22"/>
        </w:rPr>
        <w:t xml:space="preserve"> </w:t>
      </w:r>
      <w:r w:rsidR="001563EA" w:rsidRPr="00C41814">
        <w:rPr>
          <w:rFonts w:asciiTheme="minorHAnsi" w:hAnsiTheme="minorHAnsi" w:cstheme="minorHAnsi"/>
          <w:szCs w:val="22"/>
        </w:rPr>
        <w:t xml:space="preserve">is </w:t>
      </w:r>
      <w:r w:rsidRPr="00C41814">
        <w:rPr>
          <w:rFonts w:asciiTheme="minorHAnsi" w:hAnsiTheme="minorHAnsi" w:cstheme="minorHAnsi"/>
          <w:szCs w:val="22"/>
        </w:rPr>
        <w:t xml:space="preserve">not </w:t>
      </w:r>
      <w:r w:rsidR="00D163DB" w:rsidRPr="00C41814">
        <w:rPr>
          <w:rFonts w:asciiTheme="minorHAnsi" w:hAnsiTheme="minorHAnsi" w:cstheme="minorHAnsi"/>
          <w:szCs w:val="22"/>
        </w:rPr>
        <w:t xml:space="preserve">a </w:t>
      </w:r>
      <w:r w:rsidRPr="00C41814">
        <w:rPr>
          <w:rFonts w:asciiTheme="minorHAnsi" w:hAnsiTheme="minorHAnsi" w:cstheme="minorHAnsi"/>
          <w:szCs w:val="22"/>
        </w:rPr>
        <w:t xml:space="preserve">routine </w:t>
      </w:r>
      <w:r w:rsidR="00D163DB" w:rsidRPr="00C41814">
        <w:rPr>
          <w:rFonts w:asciiTheme="minorHAnsi" w:hAnsiTheme="minorHAnsi" w:cstheme="minorHAnsi"/>
          <w:szCs w:val="22"/>
        </w:rPr>
        <w:t xml:space="preserve">aspect </w:t>
      </w:r>
      <w:r w:rsidRPr="00C41814">
        <w:rPr>
          <w:rFonts w:asciiTheme="minorHAnsi" w:hAnsiTheme="minorHAnsi" w:cstheme="minorHAnsi"/>
          <w:szCs w:val="22"/>
        </w:rPr>
        <w:t>of metric collection by NHS Resolution, and would require qualitative analysis through scrutiny of files.</w:t>
      </w:r>
      <w:r w:rsidR="00620473" w:rsidRPr="00C41814">
        <w:rPr>
          <w:rStyle w:val="FootnoteReference"/>
          <w:rFonts w:asciiTheme="minorHAnsi" w:hAnsiTheme="minorHAnsi" w:cstheme="minorHAnsi"/>
          <w:szCs w:val="22"/>
        </w:rPr>
        <w:footnoteReference w:id="138"/>
      </w:r>
      <w:r w:rsidRPr="00C41814">
        <w:rPr>
          <w:rFonts w:asciiTheme="minorHAnsi" w:hAnsiTheme="minorHAnsi" w:cstheme="minorHAnsi"/>
          <w:szCs w:val="22"/>
        </w:rPr>
        <w:t xml:space="preserve"> </w:t>
      </w:r>
      <w:r w:rsidR="00D163DB" w:rsidRPr="00C41814">
        <w:rPr>
          <w:rFonts w:asciiTheme="minorHAnsi" w:hAnsiTheme="minorHAnsi" w:cstheme="minorHAnsi"/>
          <w:szCs w:val="22"/>
        </w:rPr>
        <w:t xml:space="preserve"> </w:t>
      </w:r>
      <w:r w:rsidR="001563EA" w:rsidRPr="00C41814">
        <w:rPr>
          <w:rFonts w:asciiTheme="minorHAnsi" w:hAnsiTheme="minorHAnsi" w:cstheme="minorHAnsi"/>
          <w:szCs w:val="22"/>
        </w:rPr>
        <w:t>Based on data from our survey and interviews</w:t>
      </w:r>
      <w:r w:rsidR="00454C8C" w:rsidRPr="00C41814">
        <w:rPr>
          <w:rFonts w:asciiTheme="minorHAnsi" w:hAnsiTheme="minorHAnsi" w:cstheme="minorHAnsi"/>
          <w:szCs w:val="22"/>
        </w:rPr>
        <w:t>,</w:t>
      </w:r>
      <w:r w:rsidR="001563EA" w:rsidRPr="00C41814">
        <w:rPr>
          <w:rFonts w:asciiTheme="minorHAnsi" w:hAnsiTheme="minorHAnsi" w:cstheme="minorHAnsi"/>
          <w:szCs w:val="22"/>
        </w:rPr>
        <w:t xml:space="preserve"> </w:t>
      </w:r>
      <w:r w:rsidRPr="00C41814">
        <w:rPr>
          <w:rFonts w:asciiTheme="minorHAnsi" w:hAnsiTheme="minorHAnsi" w:cstheme="minorHAnsi"/>
          <w:szCs w:val="22"/>
        </w:rPr>
        <w:t xml:space="preserve">CGs </w:t>
      </w:r>
      <w:r w:rsidR="001563EA" w:rsidRPr="00C41814">
        <w:rPr>
          <w:rFonts w:asciiTheme="minorHAnsi" w:hAnsiTheme="minorHAnsi" w:cstheme="minorHAnsi"/>
          <w:szCs w:val="22"/>
        </w:rPr>
        <w:t xml:space="preserve">are used </w:t>
      </w:r>
      <w:r w:rsidRPr="00C41814">
        <w:rPr>
          <w:rFonts w:asciiTheme="minorHAnsi" w:hAnsiTheme="minorHAnsi" w:cstheme="minorHAnsi"/>
          <w:szCs w:val="22"/>
        </w:rPr>
        <w:t xml:space="preserve">in </w:t>
      </w:r>
      <w:r w:rsidR="001563EA" w:rsidRPr="00C41814">
        <w:rPr>
          <w:rFonts w:asciiTheme="minorHAnsi" w:hAnsiTheme="minorHAnsi" w:cstheme="minorHAnsi"/>
          <w:szCs w:val="22"/>
        </w:rPr>
        <w:t xml:space="preserve">the </w:t>
      </w:r>
      <w:r w:rsidRPr="00C41814">
        <w:rPr>
          <w:rFonts w:asciiTheme="minorHAnsi" w:hAnsiTheme="minorHAnsi" w:cstheme="minorHAnsi"/>
          <w:szCs w:val="22"/>
        </w:rPr>
        <w:t xml:space="preserve">pre-trial </w:t>
      </w:r>
      <w:r w:rsidR="001563EA" w:rsidRPr="00C41814">
        <w:rPr>
          <w:rFonts w:asciiTheme="minorHAnsi" w:hAnsiTheme="minorHAnsi" w:cstheme="minorHAnsi"/>
          <w:szCs w:val="22"/>
        </w:rPr>
        <w:t xml:space="preserve">stage and </w:t>
      </w:r>
      <w:r w:rsidRPr="00C41814">
        <w:rPr>
          <w:rFonts w:asciiTheme="minorHAnsi" w:hAnsiTheme="minorHAnsi" w:cstheme="minorHAnsi"/>
          <w:szCs w:val="22"/>
        </w:rPr>
        <w:t>influenc</w:t>
      </w:r>
      <w:r w:rsidR="001563EA" w:rsidRPr="00C41814">
        <w:rPr>
          <w:rFonts w:asciiTheme="minorHAnsi" w:hAnsiTheme="minorHAnsi" w:cstheme="minorHAnsi"/>
          <w:szCs w:val="22"/>
        </w:rPr>
        <w:t xml:space="preserve">e </w:t>
      </w:r>
      <w:r w:rsidRPr="00C41814">
        <w:rPr>
          <w:rFonts w:asciiTheme="minorHAnsi" w:hAnsiTheme="minorHAnsi" w:cstheme="minorHAnsi"/>
          <w:szCs w:val="22"/>
        </w:rPr>
        <w:t>decision</w:t>
      </w:r>
      <w:r w:rsidR="00D163DB" w:rsidRPr="00C41814">
        <w:rPr>
          <w:rFonts w:asciiTheme="minorHAnsi" w:hAnsiTheme="minorHAnsi" w:cstheme="minorHAnsi"/>
          <w:szCs w:val="22"/>
        </w:rPr>
        <w:t>s</w:t>
      </w:r>
      <w:r w:rsidRPr="00C41814">
        <w:rPr>
          <w:rFonts w:asciiTheme="minorHAnsi" w:hAnsiTheme="minorHAnsi" w:cstheme="minorHAnsi"/>
          <w:szCs w:val="22"/>
        </w:rPr>
        <w:t xml:space="preserve"> to </w:t>
      </w:r>
      <w:r w:rsidR="00D163DB" w:rsidRPr="00C41814">
        <w:rPr>
          <w:rFonts w:asciiTheme="minorHAnsi" w:hAnsiTheme="minorHAnsi" w:cstheme="minorHAnsi"/>
          <w:szCs w:val="22"/>
        </w:rPr>
        <w:t xml:space="preserve">settle </w:t>
      </w:r>
      <w:r w:rsidR="001563EA" w:rsidRPr="00C41814">
        <w:rPr>
          <w:rFonts w:asciiTheme="minorHAnsi" w:hAnsiTheme="minorHAnsi" w:cstheme="minorHAnsi"/>
          <w:szCs w:val="22"/>
        </w:rPr>
        <w:t xml:space="preserve">claims </w:t>
      </w:r>
      <w:r w:rsidRPr="00C41814">
        <w:rPr>
          <w:rFonts w:asciiTheme="minorHAnsi" w:hAnsiTheme="minorHAnsi" w:cstheme="minorHAnsi"/>
          <w:szCs w:val="22"/>
        </w:rPr>
        <w:t xml:space="preserve">early </w:t>
      </w:r>
      <w:r w:rsidR="001563EA" w:rsidRPr="00C41814">
        <w:rPr>
          <w:rFonts w:asciiTheme="minorHAnsi" w:hAnsiTheme="minorHAnsi" w:cstheme="minorHAnsi"/>
          <w:szCs w:val="22"/>
        </w:rPr>
        <w:t>if guidance was not complied with</w:t>
      </w:r>
      <w:r w:rsidRPr="00C41814">
        <w:rPr>
          <w:rFonts w:asciiTheme="minorHAnsi" w:hAnsiTheme="minorHAnsi" w:cstheme="minorHAnsi"/>
          <w:szCs w:val="22"/>
        </w:rPr>
        <w:t xml:space="preserve">. The importance of this issue cannot be overstressed as it </w:t>
      </w:r>
      <w:r w:rsidR="00561C60" w:rsidRPr="00C41814">
        <w:rPr>
          <w:rFonts w:asciiTheme="minorHAnsi" w:hAnsiTheme="minorHAnsi" w:cstheme="minorHAnsi"/>
          <w:szCs w:val="22"/>
        </w:rPr>
        <w:t xml:space="preserve">has </w:t>
      </w:r>
      <w:r w:rsidRPr="00C41814">
        <w:rPr>
          <w:rFonts w:asciiTheme="minorHAnsi" w:hAnsiTheme="minorHAnsi" w:cstheme="minorHAnsi"/>
          <w:szCs w:val="22"/>
        </w:rPr>
        <w:t xml:space="preserve">relevance to </w:t>
      </w:r>
      <w:r w:rsidR="00561C60" w:rsidRPr="00C41814">
        <w:rPr>
          <w:rFonts w:asciiTheme="minorHAnsi" w:hAnsiTheme="minorHAnsi" w:cstheme="minorHAnsi"/>
          <w:szCs w:val="22"/>
        </w:rPr>
        <w:t xml:space="preserve">cost </w:t>
      </w:r>
      <w:r w:rsidRPr="00C41814">
        <w:rPr>
          <w:rFonts w:asciiTheme="minorHAnsi" w:hAnsiTheme="minorHAnsi" w:cstheme="minorHAnsi"/>
          <w:szCs w:val="22"/>
        </w:rPr>
        <w:t xml:space="preserve">containment in </w:t>
      </w:r>
      <w:r w:rsidR="004370E2" w:rsidRPr="00C41814">
        <w:rPr>
          <w:rFonts w:asciiTheme="minorHAnsi" w:hAnsiTheme="minorHAnsi" w:cstheme="minorHAnsi"/>
          <w:szCs w:val="22"/>
        </w:rPr>
        <w:t xml:space="preserve">medical </w:t>
      </w:r>
      <w:r w:rsidRPr="00C41814">
        <w:rPr>
          <w:rFonts w:asciiTheme="minorHAnsi" w:hAnsiTheme="minorHAnsi" w:cstheme="minorHAnsi"/>
          <w:szCs w:val="22"/>
        </w:rPr>
        <w:t xml:space="preserve">negligence litigation. Clinical guidelines may also </w:t>
      </w:r>
      <w:r w:rsidR="00561C60" w:rsidRPr="00C41814">
        <w:rPr>
          <w:rFonts w:asciiTheme="minorHAnsi" w:hAnsiTheme="minorHAnsi" w:cstheme="minorHAnsi"/>
          <w:szCs w:val="22"/>
        </w:rPr>
        <w:t xml:space="preserve">play </w:t>
      </w:r>
      <w:r w:rsidRPr="00C41814">
        <w:rPr>
          <w:rFonts w:asciiTheme="minorHAnsi" w:hAnsiTheme="minorHAnsi" w:cstheme="minorHAnsi"/>
          <w:szCs w:val="22"/>
        </w:rPr>
        <w:t>a role in decisions to settle through routes alternative to court proceedings.  Since l</w:t>
      </w:r>
      <w:r w:rsidRPr="00C41814">
        <w:rPr>
          <w:rFonts w:asciiTheme="minorHAnsi" w:hAnsiTheme="minorHAnsi" w:cstheme="minorBidi"/>
          <w:szCs w:val="22"/>
        </w:rPr>
        <w:t xml:space="preserve">itigation in this area </w:t>
      </w:r>
      <w:r w:rsidR="00561C60" w:rsidRPr="00C41814">
        <w:rPr>
          <w:rFonts w:asciiTheme="minorHAnsi" w:hAnsiTheme="minorHAnsi" w:cstheme="minorBidi"/>
          <w:szCs w:val="22"/>
        </w:rPr>
        <w:t xml:space="preserve">is </w:t>
      </w:r>
      <w:r w:rsidRPr="00C41814">
        <w:rPr>
          <w:rFonts w:asciiTheme="minorHAnsi" w:hAnsiTheme="minorHAnsi" w:cstheme="minorBidi"/>
          <w:szCs w:val="22"/>
        </w:rPr>
        <w:t>costly, lengthy, and stressful with uncertain outcomes,</w:t>
      </w:r>
      <w:r w:rsidR="00D631A4" w:rsidRPr="00C41814">
        <w:rPr>
          <w:rStyle w:val="FootnoteReference"/>
          <w:rFonts w:asciiTheme="minorHAnsi" w:hAnsiTheme="minorHAnsi" w:cstheme="minorBidi"/>
          <w:szCs w:val="22"/>
        </w:rPr>
        <w:footnoteReference w:id="139"/>
      </w:r>
      <w:r w:rsidRPr="00C41814">
        <w:rPr>
          <w:rFonts w:asciiTheme="minorHAnsi" w:hAnsiTheme="minorHAnsi" w:cstheme="minorBidi"/>
          <w:szCs w:val="22"/>
        </w:rPr>
        <w:t xml:space="preserve"> some form of alternative dispute resolution might be pursued with efficiency outcomes for all parties</w:t>
      </w:r>
      <w:r w:rsidR="00DD5E7C" w:rsidRPr="00C41814">
        <w:rPr>
          <w:rFonts w:asciiTheme="minorHAnsi" w:hAnsiTheme="minorHAnsi" w:cstheme="minorBidi"/>
          <w:szCs w:val="22"/>
        </w:rPr>
        <w:t xml:space="preserve"> </w:t>
      </w:r>
      <w:r w:rsidR="00561C60" w:rsidRPr="00C41814">
        <w:rPr>
          <w:rFonts w:asciiTheme="minorHAnsi" w:hAnsiTheme="minorHAnsi" w:cstheme="minorBidi"/>
          <w:szCs w:val="22"/>
        </w:rPr>
        <w:t xml:space="preserve">dependant on whether guidelines </w:t>
      </w:r>
      <w:r w:rsidR="00454C8C" w:rsidRPr="00C41814">
        <w:rPr>
          <w:rFonts w:asciiTheme="minorHAnsi" w:hAnsiTheme="minorHAnsi" w:cstheme="minorBidi"/>
          <w:szCs w:val="22"/>
        </w:rPr>
        <w:t xml:space="preserve">had been </w:t>
      </w:r>
      <w:r w:rsidR="00561C60" w:rsidRPr="00C41814">
        <w:rPr>
          <w:rFonts w:asciiTheme="minorHAnsi" w:hAnsiTheme="minorHAnsi" w:cstheme="minorBidi"/>
          <w:szCs w:val="22"/>
        </w:rPr>
        <w:t xml:space="preserve">followed. </w:t>
      </w:r>
    </w:p>
    <w:p w14:paraId="688BFF4F" w14:textId="77777777" w:rsidR="00060ECC" w:rsidRPr="00C41814" w:rsidRDefault="00060ECC" w:rsidP="008E5806">
      <w:pPr>
        <w:spacing w:after="200" w:line="360" w:lineRule="auto"/>
        <w:rPr>
          <w:rFonts w:asciiTheme="minorHAnsi" w:hAnsiTheme="minorHAnsi" w:cstheme="minorHAnsi"/>
          <w:szCs w:val="22"/>
        </w:rPr>
      </w:pPr>
    </w:p>
    <w:p w14:paraId="6F8DE02F" w14:textId="019F7061" w:rsidR="00E906C4" w:rsidRPr="00C41814" w:rsidRDefault="00A50CF6" w:rsidP="008E5806">
      <w:pPr>
        <w:spacing w:line="360" w:lineRule="auto"/>
        <w:jc w:val="center"/>
        <w:rPr>
          <w:i/>
        </w:rPr>
      </w:pPr>
      <w:r w:rsidRPr="00C41814">
        <w:rPr>
          <w:i/>
        </w:rPr>
        <w:t>F</w:t>
      </w:r>
      <w:r w:rsidR="00E906C4" w:rsidRPr="00C41814">
        <w:rPr>
          <w:i/>
        </w:rPr>
        <w:t>. Potential barriers to the use of Clinical Guidelines</w:t>
      </w:r>
    </w:p>
    <w:p w14:paraId="1E8ECE90" w14:textId="77777777" w:rsidR="00DB5744" w:rsidRPr="00C41814" w:rsidRDefault="00DB5744" w:rsidP="008E5806">
      <w:pPr>
        <w:spacing w:line="360" w:lineRule="auto"/>
        <w:rPr>
          <w:b/>
        </w:rPr>
      </w:pPr>
    </w:p>
    <w:p w14:paraId="30DE5C98" w14:textId="5EE16A4C" w:rsidR="00E906C4" w:rsidRPr="00C41814" w:rsidRDefault="00E906C4" w:rsidP="008E5806">
      <w:pPr>
        <w:spacing w:line="360" w:lineRule="auto"/>
      </w:pPr>
      <w:r w:rsidRPr="00C41814">
        <w:rPr>
          <w:lang w:val="en"/>
        </w:rPr>
        <w:lastRenderedPageBreak/>
        <w:t>Direct communication and discussion</w:t>
      </w:r>
      <w:r w:rsidR="00472258" w:rsidRPr="00C41814">
        <w:rPr>
          <w:rStyle w:val="FootnoteReference"/>
          <w:lang w:val="en"/>
        </w:rPr>
        <w:footnoteReference w:id="140"/>
      </w:r>
      <w:r w:rsidRPr="00C41814">
        <w:rPr>
          <w:lang w:val="en"/>
        </w:rPr>
        <w:t xml:space="preserve"> with </w:t>
      </w:r>
      <w:r w:rsidRPr="00C41814">
        <w:rPr>
          <w:rFonts w:cstheme="minorHAnsi"/>
        </w:rPr>
        <w:t>experienced</w:t>
      </w:r>
      <w:r w:rsidR="00416C01" w:rsidRPr="00C41814">
        <w:rPr>
          <w:rFonts w:cstheme="minorHAnsi"/>
        </w:rPr>
        <w:t xml:space="preserve"> health professionals </w:t>
      </w:r>
      <w:r w:rsidRPr="00C41814">
        <w:rPr>
          <w:rFonts w:cstheme="minorHAnsi"/>
        </w:rPr>
        <w:t xml:space="preserve">identified three principal potential barriers to the routine use of CGs. </w:t>
      </w:r>
      <w:r w:rsidRPr="00C41814">
        <w:t>These were</w:t>
      </w:r>
      <w:r w:rsidR="00A94AD9" w:rsidRPr="00C41814">
        <w:t>:</w:t>
      </w:r>
      <w:r w:rsidRPr="00C41814">
        <w:t xml:space="preserve"> limit</w:t>
      </w:r>
      <w:r w:rsidR="00A94AD9" w:rsidRPr="00C41814">
        <w:t xml:space="preserve">ed </w:t>
      </w:r>
      <w:r w:rsidRPr="00C41814">
        <w:t>resources</w:t>
      </w:r>
      <w:r w:rsidR="00A94AD9" w:rsidRPr="00C41814">
        <w:t xml:space="preserve">; </w:t>
      </w:r>
      <w:r w:rsidRPr="00C41814">
        <w:t>the need for employ</w:t>
      </w:r>
      <w:r w:rsidR="00454C8C" w:rsidRPr="00C41814">
        <w:t xml:space="preserve">ers </w:t>
      </w:r>
      <w:r w:rsidRPr="00C41814">
        <w:t xml:space="preserve">to </w:t>
      </w:r>
      <w:r w:rsidR="00454C8C" w:rsidRPr="00C41814">
        <w:t xml:space="preserve">facilitate optimal </w:t>
      </w:r>
      <w:r w:rsidRPr="00C41814">
        <w:t>use of CGs</w:t>
      </w:r>
      <w:r w:rsidR="00DD5E7C" w:rsidRPr="00C41814">
        <w:t xml:space="preserve">; </w:t>
      </w:r>
      <w:r w:rsidRPr="00C41814">
        <w:t xml:space="preserve">and concerns </w:t>
      </w:r>
      <w:r w:rsidR="00DD5E7C" w:rsidRPr="00C41814">
        <w:t>about</w:t>
      </w:r>
      <w:r w:rsidRPr="00C41814">
        <w:t xml:space="preserve"> CGs constraining clinical autonomy. </w:t>
      </w:r>
      <w:r w:rsidR="001F2A84" w:rsidRPr="00C41814">
        <w:t xml:space="preserve">These themes were </w:t>
      </w:r>
      <w:r w:rsidRPr="00C41814">
        <w:rPr>
          <w:rFonts w:cstheme="minorHAnsi"/>
        </w:rPr>
        <w:t xml:space="preserve">explored during a consensus discussion group (CDG) </w:t>
      </w:r>
      <w:r w:rsidR="001F2A84" w:rsidRPr="00C41814">
        <w:rPr>
          <w:rFonts w:cstheme="minorHAnsi"/>
        </w:rPr>
        <w:t xml:space="preserve">with </w:t>
      </w:r>
      <w:r w:rsidRPr="00C41814">
        <w:rPr>
          <w:rFonts w:cstheme="minorHAnsi"/>
        </w:rPr>
        <w:t xml:space="preserve">participants from </w:t>
      </w:r>
      <w:r w:rsidRPr="00C41814">
        <w:t>legal, medical and other allied healthcare professions.</w:t>
      </w:r>
    </w:p>
    <w:p w14:paraId="01B18A10" w14:textId="77777777" w:rsidR="00472258" w:rsidRPr="00C41814" w:rsidRDefault="00472258" w:rsidP="008E5806">
      <w:pPr>
        <w:spacing w:line="360" w:lineRule="auto"/>
        <w:rPr>
          <w:rFonts w:cstheme="minorHAnsi"/>
        </w:rPr>
      </w:pPr>
    </w:p>
    <w:p w14:paraId="45BCDCC4" w14:textId="61429631" w:rsidR="001B6A23" w:rsidRPr="00C41814" w:rsidRDefault="00472258" w:rsidP="008E5806">
      <w:pPr>
        <w:spacing w:line="360" w:lineRule="auto"/>
      </w:pPr>
      <w:r w:rsidRPr="00C41814">
        <w:rPr>
          <w:rFonts w:cstheme="minorHAnsi"/>
        </w:rPr>
        <w:t xml:space="preserve">Participants considered that </w:t>
      </w:r>
      <w:r w:rsidR="00E906C4" w:rsidRPr="00C41814">
        <w:t xml:space="preserve">shortage of resources </w:t>
      </w:r>
      <w:r w:rsidR="00A94AD9" w:rsidRPr="00C41814">
        <w:t xml:space="preserve">should </w:t>
      </w:r>
      <w:r w:rsidRPr="00C41814">
        <w:t xml:space="preserve">not </w:t>
      </w:r>
      <w:r w:rsidR="00A94AD9" w:rsidRPr="00C41814">
        <w:t xml:space="preserve">be </w:t>
      </w:r>
      <w:r w:rsidRPr="00C41814">
        <w:t xml:space="preserve">considered </w:t>
      </w:r>
      <w:r w:rsidR="00A94AD9" w:rsidRPr="00C41814">
        <w:t xml:space="preserve">as </w:t>
      </w:r>
      <w:r w:rsidR="00E906C4" w:rsidRPr="00C41814">
        <w:t xml:space="preserve">a blanket defence for decisions </w:t>
      </w:r>
      <w:r w:rsidRPr="00C41814">
        <w:t xml:space="preserve">not to follow relevant guidance.  </w:t>
      </w:r>
      <w:r w:rsidR="00E906C4" w:rsidRPr="00C41814">
        <w:t>Concern</w:t>
      </w:r>
      <w:r w:rsidR="00454C8C" w:rsidRPr="00C41814">
        <w:t xml:space="preserve"> was </w:t>
      </w:r>
      <w:r w:rsidR="00E906C4" w:rsidRPr="00C41814">
        <w:t>expressed that limitation of resources</w:t>
      </w:r>
      <w:r w:rsidRPr="00C41814">
        <w:t>,</w:t>
      </w:r>
      <w:r w:rsidR="00E906C4" w:rsidRPr="00C41814">
        <w:t xml:space="preserve"> as</w:t>
      </w:r>
      <w:r w:rsidRPr="00C41814">
        <w:t xml:space="preserve"> a</w:t>
      </w:r>
      <w:r w:rsidR="00E906C4" w:rsidRPr="00C41814">
        <w:t xml:space="preserve"> </w:t>
      </w:r>
      <w:r w:rsidRPr="00C41814">
        <w:rPr>
          <w:i/>
        </w:rPr>
        <w:t>bona fide</w:t>
      </w:r>
      <w:r w:rsidRPr="00C41814">
        <w:t xml:space="preserve"> </w:t>
      </w:r>
      <w:r w:rsidR="00E906C4" w:rsidRPr="00C41814">
        <w:t xml:space="preserve">defence, might lead to a ubiquitous lowering of standards within clinical practice.  The majority view was that </w:t>
      </w:r>
      <w:r w:rsidR="00733DDB" w:rsidRPr="00C41814">
        <w:t xml:space="preserve">resource </w:t>
      </w:r>
      <w:r w:rsidR="00454C8C" w:rsidRPr="00C41814">
        <w:t xml:space="preserve">limitations </w:t>
      </w:r>
      <w:r w:rsidR="00E906C4" w:rsidRPr="00C41814">
        <w:t>should be transparent</w:t>
      </w:r>
      <w:r w:rsidR="00454C8C" w:rsidRPr="00C41814">
        <w:t xml:space="preserve"> and acknowledged</w:t>
      </w:r>
      <w:r w:rsidR="00E906C4" w:rsidRPr="00C41814">
        <w:t xml:space="preserve">, particularly </w:t>
      </w:r>
      <w:r w:rsidR="00733DDB" w:rsidRPr="00C41814">
        <w:t xml:space="preserve">where </w:t>
      </w:r>
      <w:r w:rsidR="00E906C4" w:rsidRPr="00C41814">
        <w:t xml:space="preserve">local guidelines had been developed to accommodate such constraints. </w:t>
      </w:r>
      <w:r w:rsidR="00E906C4" w:rsidRPr="00C41814">
        <w:rPr>
          <w:rFonts w:cstheme="minorHAnsi"/>
        </w:rPr>
        <w:t xml:space="preserve">Most </w:t>
      </w:r>
      <w:r w:rsidR="00FE1091" w:rsidRPr="00C41814">
        <w:rPr>
          <w:rFonts w:cstheme="minorHAnsi"/>
        </w:rPr>
        <w:t>thought</w:t>
      </w:r>
      <w:r w:rsidRPr="00C41814">
        <w:rPr>
          <w:rFonts w:cstheme="minorHAnsi"/>
        </w:rPr>
        <w:t xml:space="preserve"> t</w:t>
      </w:r>
      <w:r w:rsidR="00E906C4" w:rsidRPr="00C41814">
        <w:t>hat liability for negligence due to</w:t>
      </w:r>
      <w:r w:rsidR="00FE1091" w:rsidRPr="00C41814">
        <w:t xml:space="preserve"> resource limited </w:t>
      </w:r>
      <w:r w:rsidR="00E906C4" w:rsidRPr="00C41814">
        <w:t>non-compliance with guid</w:t>
      </w:r>
      <w:r w:rsidR="00733DDB" w:rsidRPr="00C41814">
        <w:t xml:space="preserve">ance </w:t>
      </w:r>
      <w:r w:rsidR="00E906C4" w:rsidRPr="00C41814">
        <w:t>should lie with organisation</w:t>
      </w:r>
      <w:r w:rsidR="00454C8C" w:rsidRPr="00C41814">
        <w:t>s</w:t>
      </w:r>
      <w:r w:rsidR="00E906C4" w:rsidRPr="00C41814">
        <w:t xml:space="preserve"> rather than individual</w:t>
      </w:r>
      <w:r w:rsidR="00454C8C" w:rsidRPr="00C41814">
        <w:t>s</w:t>
      </w:r>
      <w:r w:rsidR="00E906C4" w:rsidRPr="00C41814">
        <w:t xml:space="preserve">. </w:t>
      </w:r>
      <w:r w:rsidR="001B6A23" w:rsidRPr="00C41814">
        <w:t xml:space="preserve">This view chimes with the powerful dissent of </w:t>
      </w:r>
      <w:r w:rsidR="00BC603F" w:rsidRPr="00C41814">
        <w:t xml:space="preserve">Sir Nicolas </w:t>
      </w:r>
      <w:r w:rsidR="001B6A23" w:rsidRPr="00C41814">
        <w:t xml:space="preserve">Browne-Wilkinson </w:t>
      </w:r>
      <w:r w:rsidR="00BC603F" w:rsidRPr="00C41814">
        <w:t xml:space="preserve">V-C (as he then was) </w:t>
      </w:r>
      <w:r w:rsidR="001B6A23" w:rsidRPr="00C41814">
        <w:t>i</w:t>
      </w:r>
      <w:r w:rsidR="00BC603F" w:rsidRPr="00C41814">
        <w:t>n</w:t>
      </w:r>
      <w:r w:rsidR="001B6A23" w:rsidRPr="00C41814">
        <w:t xml:space="preserve"> </w:t>
      </w:r>
      <w:r w:rsidR="001B6A23" w:rsidRPr="00C41814">
        <w:rPr>
          <w:i/>
        </w:rPr>
        <w:t xml:space="preserve">Wilsher </w:t>
      </w:r>
      <w:r w:rsidR="001B6A23" w:rsidRPr="00C41814">
        <w:t>who considered that “A health authority which so conducts its hospital that it fails to provide doctors of sufficient skill and experience to give the treatment offered at the hospital may be directly liable in negligence to the patient</w:t>
      </w:r>
      <w:r w:rsidR="00FE1091" w:rsidRPr="00C41814">
        <w:t>.</w:t>
      </w:r>
      <w:r w:rsidR="001B6A23" w:rsidRPr="00C41814">
        <w:t>”</w:t>
      </w:r>
      <w:r w:rsidR="001B6A23" w:rsidRPr="00C41814">
        <w:rPr>
          <w:rStyle w:val="FootnoteReference"/>
        </w:rPr>
        <w:footnoteReference w:id="141"/>
      </w:r>
      <w:r w:rsidR="001B6A23" w:rsidRPr="00C41814">
        <w:t xml:space="preserve"> </w:t>
      </w:r>
    </w:p>
    <w:p w14:paraId="54E66F2C" w14:textId="77777777" w:rsidR="00DB5744" w:rsidRPr="00C41814" w:rsidRDefault="00DB5744" w:rsidP="008E5806">
      <w:pPr>
        <w:spacing w:line="360" w:lineRule="auto"/>
      </w:pPr>
    </w:p>
    <w:p w14:paraId="35B2CE23" w14:textId="0AC355BA" w:rsidR="00E906C4" w:rsidRPr="00C41814" w:rsidRDefault="00E906C4" w:rsidP="008E5806">
      <w:pPr>
        <w:spacing w:line="360" w:lineRule="auto"/>
      </w:pPr>
      <w:r w:rsidRPr="00C41814">
        <w:t xml:space="preserve">Participants agreed that employing organizations should facilitate use of CGs by </w:t>
      </w:r>
      <w:r w:rsidR="00733DDB" w:rsidRPr="00C41814">
        <w:t xml:space="preserve">updating and making these </w:t>
      </w:r>
      <w:r w:rsidR="00FE1091" w:rsidRPr="00C41814">
        <w:t>readily</w:t>
      </w:r>
      <w:r w:rsidRPr="00C41814">
        <w:t xml:space="preserve"> accessible</w:t>
      </w:r>
      <w:r w:rsidR="00FE1091" w:rsidRPr="00C41814">
        <w:t>.</w:t>
      </w:r>
      <w:r w:rsidRPr="00C41814">
        <w:t xml:space="preserve"> Organisational accountability was considered </w:t>
      </w:r>
      <w:r w:rsidR="00DD5E7C" w:rsidRPr="00C41814">
        <w:t>as</w:t>
      </w:r>
      <w:r w:rsidRPr="00C41814">
        <w:t xml:space="preserve"> of paramount importance for enabling practitioners to use guidelines more widely and consistently. </w:t>
      </w:r>
      <w:r w:rsidR="00FE1091" w:rsidRPr="00C41814">
        <w:t>M</w:t>
      </w:r>
      <w:r w:rsidRPr="00C41814">
        <w:t>ediators for enablement included appropriate induction and education of staff, ease of accessibility, IT support, regular updating of guidelines, audit of us</w:t>
      </w:r>
      <w:r w:rsidR="000A2B17" w:rsidRPr="00C41814">
        <w:t>e</w:t>
      </w:r>
      <w:r w:rsidRPr="00C41814">
        <w:t xml:space="preserve"> and dissemination strategies to share best practice. </w:t>
      </w:r>
    </w:p>
    <w:p w14:paraId="02FB5A56" w14:textId="77777777" w:rsidR="00DB5744" w:rsidRPr="00C41814" w:rsidRDefault="00DB5744" w:rsidP="008E5806">
      <w:pPr>
        <w:spacing w:line="360" w:lineRule="auto"/>
      </w:pPr>
    </w:p>
    <w:p w14:paraId="7BA50770" w14:textId="5C3A9137" w:rsidR="00E906C4" w:rsidRPr="00C41814" w:rsidRDefault="00FE1091" w:rsidP="008E5806">
      <w:pPr>
        <w:spacing w:line="360" w:lineRule="auto"/>
      </w:pPr>
      <w:r w:rsidRPr="00C41814">
        <w:t>C</w:t>
      </w:r>
      <w:r w:rsidR="00AF2F7E" w:rsidRPr="00C41814">
        <w:t xml:space="preserve">oncern </w:t>
      </w:r>
      <w:r w:rsidR="00E906C4" w:rsidRPr="00C41814">
        <w:t>was</w:t>
      </w:r>
      <w:r w:rsidRPr="00C41814">
        <w:t xml:space="preserve"> expressed</w:t>
      </w:r>
      <w:r w:rsidR="00E906C4" w:rsidRPr="00C41814">
        <w:t xml:space="preserve"> that guidelines </w:t>
      </w:r>
      <w:r w:rsidR="00885CA5" w:rsidRPr="00C41814">
        <w:t xml:space="preserve">might </w:t>
      </w:r>
      <w:r w:rsidR="00E906C4" w:rsidRPr="00C41814">
        <w:t xml:space="preserve">constrain clinical autonomy and discretion. Clinical autonomy, judgement and discretion are essential </w:t>
      </w:r>
      <w:r w:rsidR="00454C8C" w:rsidRPr="00C41814">
        <w:t xml:space="preserve">prerequisites </w:t>
      </w:r>
      <w:r w:rsidR="00E906C4" w:rsidRPr="00C41814">
        <w:t xml:space="preserve">for </w:t>
      </w:r>
      <w:r w:rsidR="00472258" w:rsidRPr="00C41814">
        <w:t xml:space="preserve">personalised </w:t>
      </w:r>
      <w:r w:rsidR="00E906C4" w:rsidRPr="00C41814">
        <w:t>patient care</w:t>
      </w:r>
      <w:r w:rsidR="00885CA5" w:rsidRPr="00C41814">
        <w:t xml:space="preserve"> although the </w:t>
      </w:r>
      <w:r w:rsidR="00B277B5" w:rsidRPr="00C41814">
        <w:t xml:space="preserve">potentially </w:t>
      </w:r>
      <w:r w:rsidR="00E906C4" w:rsidRPr="00C41814">
        <w:t xml:space="preserve">stifling effect </w:t>
      </w:r>
      <w:r w:rsidR="00B277B5" w:rsidRPr="00C41814">
        <w:t xml:space="preserve">of </w:t>
      </w:r>
      <w:r w:rsidR="00E906C4" w:rsidRPr="00C41814">
        <w:t xml:space="preserve">CGs on clinical autonomy </w:t>
      </w:r>
      <w:r w:rsidR="00885CA5" w:rsidRPr="00C41814">
        <w:t xml:space="preserve">is often </w:t>
      </w:r>
      <w:r w:rsidR="00E906C4" w:rsidRPr="00C41814">
        <w:t>over-rated</w:t>
      </w:r>
      <w:r w:rsidRPr="00C41814">
        <w:t xml:space="preserve">. </w:t>
      </w:r>
      <w:r w:rsidR="00454C8C" w:rsidRPr="00C41814">
        <w:t xml:space="preserve"> </w:t>
      </w:r>
      <w:r w:rsidRPr="00C41814">
        <w:t>A</w:t>
      </w:r>
      <w:r w:rsidR="00E906C4" w:rsidRPr="00C41814">
        <w:t>s</w:t>
      </w:r>
      <w:r w:rsidR="00E906C4" w:rsidRPr="00C41814">
        <w:rPr>
          <w:lang w:val="en"/>
        </w:rPr>
        <w:t xml:space="preserve"> in </w:t>
      </w:r>
      <w:r w:rsidR="00E906C4" w:rsidRPr="00C41814">
        <w:rPr>
          <w:i/>
          <w:lang w:val="en"/>
        </w:rPr>
        <w:t>Hunter v Hanley</w:t>
      </w:r>
      <w:r w:rsidRPr="00C41814">
        <w:rPr>
          <w:i/>
          <w:lang w:val="en"/>
        </w:rPr>
        <w:t>,</w:t>
      </w:r>
      <w:r w:rsidR="00E906C4" w:rsidRPr="00C41814">
        <w:rPr>
          <w:rStyle w:val="FootnoteReference"/>
          <w:lang w:val="en"/>
        </w:rPr>
        <w:footnoteReference w:id="142"/>
      </w:r>
      <w:r w:rsidR="00AB12C7" w:rsidRPr="00C41814">
        <w:rPr>
          <w:lang w:val="en"/>
        </w:rPr>
        <w:t xml:space="preserve"> </w:t>
      </w:r>
      <w:r w:rsidR="00995F8B" w:rsidRPr="00C41814">
        <w:rPr>
          <w:lang w:val="en"/>
        </w:rPr>
        <w:t>there is ample scope for genuine differences of opinion i</w:t>
      </w:r>
      <w:r w:rsidR="00E906C4" w:rsidRPr="00C41814">
        <w:rPr>
          <w:lang w:val="en"/>
        </w:rPr>
        <w:t xml:space="preserve">n the delivery of responsible clinical care. A doctor </w:t>
      </w:r>
      <w:r w:rsidR="00995F8B" w:rsidRPr="00C41814">
        <w:rPr>
          <w:lang w:val="en"/>
        </w:rPr>
        <w:t>is</w:t>
      </w:r>
      <w:r w:rsidR="00E906C4" w:rsidRPr="00C41814">
        <w:rPr>
          <w:lang w:val="en"/>
        </w:rPr>
        <w:t xml:space="preserve"> not</w:t>
      </w:r>
      <w:r w:rsidR="00995F8B" w:rsidRPr="00C41814">
        <w:rPr>
          <w:lang w:val="en"/>
        </w:rPr>
        <w:t xml:space="preserve"> </w:t>
      </w:r>
      <w:r w:rsidR="00995F8B" w:rsidRPr="00C41814">
        <w:rPr>
          <w:i/>
          <w:lang w:val="en"/>
        </w:rPr>
        <w:t>prima facie</w:t>
      </w:r>
      <w:r w:rsidR="00E906C4" w:rsidRPr="00C41814">
        <w:rPr>
          <w:lang w:val="en"/>
        </w:rPr>
        <w:t xml:space="preserve"> negligent merely because her </w:t>
      </w:r>
      <w:r w:rsidR="00995F8B" w:rsidRPr="00C41814">
        <w:rPr>
          <w:lang w:val="en"/>
        </w:rPr>
        <w:t>clinical decision</w:t>
      </w:r>
      <w:r w:rsidR="00E906C4" w:rsidRPr="00C41814">
        <w:rPr>
          <w:lang w:val="en"/>
        </w:rPr>
        <w:t xml:space="preserve"> differ</w:t>
      </w:r>
      <w:r w:rsidR="00995F8B" w:rsidRPr="00C41814">
        <w:rPr>
          <w:lang w:val="en"/>
        </w:rPr>
        <w:t>s</w:t>
      </w:r>
      <w:r w:rsidR="00E906C4" w:rsidRPr="00C41814">
        <w:rPr>
          <w:lang w:val="en"/>
        </w:rPr>
        <w:t xml:space="preserve"> from those of her peers. The law has no authority to force one expert’s opinion over another where those opinions are responsible and honestly and truthfully held.</w:t>
      </w:r>
      <w:r w:rsidR="00E906C4" w:rsidRPr="00C41814">
        <w:rPr>
          <w:rStyle w:val="FootnoteReference"/>
          <w:lang w:val="en"/>
        </w:rPr>
        <w:footnoteReference w:id="143"/>
      </w:r>
      <w:r w:rsidR="00E906C4" w:rsidRPr="00C41814">
        <w:rPr>
          <w:lang w:val="en"/>
        </w:rPr>
        <w:t xml:space="preserve"> Evidence-based </w:t>
      </w:r>
      <w:r w:rsidR="00AC749B" w:rsidRPr="00C41814">
        <w:rPr>
          <w:lang w:val="en"/>
        </w:rPr>
        <w:t xml:space="preserve">CGs </w:t>
      </w:r>
      <w:r w:rsidR="00E906C4" w:rsidRPr="00C41814">
        <w:rPr>
          <w:lang w:val="en"/>
        </w:rPr>
        <w:t xml:space="preserve">can be useful evidence of </w:t>
      </w:r>
      <w:r w:rsidR="00995F8B" w:rsidRPr="00C41814">
        <w:rPr>
          <w:lang w:val="en"/>
        </w:rPr>
        <w:t xml:space="preserve">expected </w:t>
      </w:r>
      <w:r w:rsidR="00E906C4" w:rsidRPr="00C41814">
        <w:rPr>
          <w:lang w:val="en"/>
        </w:rPr>
        <w:t xml:space="preserve">professional practice particularly </w:t>
      </w:r>
      <w:r w:rsidR="00424E0F" w:rsidRPr="00C41814">
        <w:rPr>
          <w:lang w:val="en"/>
        </w:rPr>
        <w:t xml:space="preserve">where </w:t>
      </w:r>
      <w:r w:rsidR="00E906C4" w:rsidRPr="00C41814">
        <w:rPr>
          <w:lang w:val="en"/>
        </w:rPr>
        <w:t xml:space="preserve">adopted by most reasonable and responsible </w:t>
      </w:r>
      <w:r w:rsidR="00E906C4" w:rsidRPr="00C41814">
        <w:rPr>
          <w:lang w:val="en"/>
        </w:rPr>
        <w:lastRenderedPageBreak/>
        <w:t>practitioners</w:t>
      </w:r>
      <w:r w:rsidR="00995F8B" w:rsidRPr="00C41814">
        <w:rPr>
          <w:lang w:val="en"/>
        </w:rPr>
        <w:t>.</w:t>
      </w:r>
      <w:r w:rsidR="00E906C4" w:rsidRPr="00C41814">
        <w:rPr>
          <w:lang w:val="en"/>
        </w:rPr>
        <w:t xml:space="preserve"> </w:t>
      </w:r>
      <w:r w:rsidR="00995F8B" w:rsidRPr="00C41814">
        <w:rPr>
          <w:lang w:val="en"/>
        </w:rPr>
        <w:t>T</w:t>
      </w:r>
      <w:r w:rsidR="00E906C4" w:rsidRPr="00C41814">
        <w:rPr>
          <w:lang w:val="en"/>
        </w:rPr>
        <w:t xml:space="preserve">he court confronted by experts who disagree about good practice may be able to use evidence-based guidance as </w:t>
      </w:r>
      <w:r w:rsidR="00995F8B" w:rsidRPr="00C41814">
        <w:rPr>
          <w:lang w:val="en"/>
        </w:rPr>
        <w:t>an indicator of</w:t>
      </w:r>
      <w:r w:rsidR="00E906C4" w:rsidRPr="00C41814">
        <w:rPr>
          <w:lang w:val="en"/>
        </w:rPr>
        <w:t xml:space="preserve"> a ‘gold standard.’</w:t>
      </w:r>
      <w:r w:rsidR="00E906C4" w:rsidRPr="00C41814">
        <w:rPr>
          <w:rStyle w:val="FootnoteReference"/>
        </w:rPr>
        <w:footnoteReference w:id="144"/>
      </w:r>
      <w:r w:rsidR="00E906C4" w:rsidRPr="00C41814">
        <w:t xml:space="preserve">  </w:t>
      </w:r>
    </w:p>
    <w:p w14:paraId="154DB23E" w14:textId="77777777" w:rsidR="00A60AB8" w:rsidRPr="00C41814" w:rsidRDefault="00A60AB8" w:rsidP="008E5806">
      <w:pPr>
        <w:spacing w:line="360" w:lineRule="auto"/>
      </w:pPr>
    </w:p>
    <w:p w14:paraId="1A5117DD" w14:textId="4F47F449" w:rsidR="00A60AB8" w:rsidRPr="00C41814" w:rsidRDefault="00A60AB8" w:rsidP="008E5806">
      <w:pPr>
        <w:spacing w:line="360" w:lineRule="auto"/>
      </w:pPr>
      <w:r w:rsidRPr="00C41814">
        <w:t xml:space="preserve">An additional factor raised tangentially during the CDG, was that of the expertise and acumen of the guideline producing consortia and the quality of the underpinning research which is expected to be robust.  </w:t>
      </w:r>
      <w:r w:rsidR="009400FF" w:rsidRPr="00C41814">
        <w:t xml:space="preserve">At times </w:t>
      </w:r>
      <w:r w:rsidRPr="00C41814">
        <w:t xml:space="preserve">history </w:t>
      </w:r>
      <w:r w:rsidR="009400FF" w:rsidRPr="00C41814">
        <w:t xml:space="preserve">has </w:t>
      </w:r>
      <w:r w:rsidRPr="00C41814">
        <w:t>reveal</w:t>
      </w:r>
      <w:r w:rsidR="009400FF" w:rsidRPr="00C41814">
        <w:t xml:space="preserve">ed </w:t>
      </w:r>
      <w:r w:rsidRPr="00C41814">
        <w:t xml:space="preserve">that this cannot be taken for granted. Inaccurate reports have been published in high-profile and influential journals across the world even about critical global </w:t>
      </w:r>
      <w:r w:rsidR="009400FF" w:rsidRPr="00C41814">
        <w:t xml:space="preserve">emergencies </w:t>
      </w:r>
      <w:r w:rsidRPr="00C41814">
        <w:t>such as the Covid-19 pandemic.</w:t>
      </w:r>
      <w:r w:rsidRPr="00C41814">
        <w:rPr>
          <w:rStyle w:val="FootnoteReference"/>
        </w:rPr>
        <w:footnoteReference w:id="145"/>
      </w:r>
      <w:r w:rsidRPr="00C41814">
        <w:t xml:space="preserve"> Another example is the 2009 European Society of Cardiology guidelines </w:t>
      </w:r>
      <w:r w:rsidR="009400FF" w:rsidRPr="00C41814">
        <w:t xml:space="preserve">that </w:t>
      </w:r>
      <w:r w:rsidRPr="00C41814">
        <w:t>recommend</w:t>
      </w:r>
      <w:r w:rsidR="009400FF" w:rsidRPr="00C41814">
        <w:t xml:space="preserve">ed </w:t>
      </w:r>
      <w:r w:rsidRPr="00C41814">
        <w:t>the benefits of pre-operative beta blockade in patients with ischaemic heart disease, principally supported by two studies which were later discredited due to research misconduct.</w:t>
      </w:r>
      <w:r w:rsidRPr="00C41814">
        <w:rPr>
          <w:rStyle w:val="FootnoteReference"/>
        </w:rPr>
        <w:footnoteReference w:id="146"/>
      </w:r>
      <w:r w:rsidRPr="00C41814">
        <w:t xml:space="preserve">  It is estimated that over ten thousand deaths were caused due to the impact of this (mal</w:t>
      </w:r>
      <w:r w:rsidR="009400FF" w:rsidRPr="00C41814">
        <w:t>) research</w:t>
      </w:r>
      <w:r w:rsidRPr="00C41814">
        <w:t xml:space="preserve"> on guidelines and national policies.</w:t>
      </w:r>
      <w:r w:rsidRPr="00C41814">
        <w:rPr>
          <w:rStyle w:val="FootnoteReference"/>
        </w:rPr>
        <w:footnoteReference w:id="147"/>
      </w:r>
      <w:r w:rsidRPr="00C41814">
        <w:t xml:space="preserve"> Leung cautions that by influencing evidence-based guidance, fraudulent and misleading research findings could influence judicial </w:t>
      </w:r>
      <w:r w:rsidR="00D42926" w:rsidRPr="00C41814">
        <w:t xml:space="preserve">decisions </w:t>
      </w:r>
      <w:r w:rsidRPr="00C41814">
        <w:t>indirectly.</w:t>
      </w:r>
      <w:r w:rsidRPr="00C41814">
        <w:rPr>
          <w:rStyle w:val="FootnoteReference"/>
        </w:rPr>
        <w:footnoteReference w:id="148"/>
      </w:r>
      <w:r w:rsidRPr="00C41814">
        <w:t xml:space="preserve"> </w:t>
      </w:r>
    </w:p>
    <w:p w14:paraId="340D3F58" w14:textId="77777777" w:rsidR="00A60AB8" w:rsidRPr="00C41814" w:rsidRDefault="00A60AB8" w:rsidP="008E5806">
      <w:pPr>
        <w:spacing w:line="360" w:lineRule="auto"/>
      </w:pPr>
    </w:p>
    <w:p w14:paraId="108B8231" w14:textId="6D3D3EAE" w:rsidR="00BB13CA" w:rsidRPr="00C41814" w:rsidRDefault="006106C4" w:rsidP="008E5806">
      <w:pPr>
        <w:spacing w:after="200" w:line="360" w:lineRule="auto"/>
        <w:jc w:val="center"/>
        <w:rPr>
          <w:rFonts w:asciiTheme="minorHAnsi" w:hAnsiTheme="minorHAnsi" w:cstheme="minorBidi"/>
          <w:b/>
          <w:szCs w:val="22"/>
        </w:rPr>
      </w:pPr>
      <w:r w:rsidRPr="00C41814">
        <w:rPr>
          <w:rFonts w:asciiTheme="minorHAnsi" w:hAnsiTheme="minorHAnsi" w:cstheme="minorBidi"/>
          <w:b/>
          <w:szCs w:val="22"/>
        </w:rPr>
        <w:t>IV. CONCLUSION</w:t>
      </w:r>
    </w:p>
    <w:p w14:paraId="3E564EB3" w14:textId="44588792" w:rsidR="00E4164B" w:rsidRPr="00C41814" w:rsidRDefault="003853DC" w:rsidP="008E5806">
      <w:pPr>
        <w:spacing w:line="360" w:lineRule="auto"/>
        <w:rPr>
          <w:szCs w:val="22"/>
        </w:rPr>
      </w:pPr>
      <w:r w:rsidRPr="00C41814">
        <w:rPr>
          <w:szCs w:val="22"/>
        </w:rPr>
        <w:t xml:space="preserve">The current study shows that </w:t>
      </w:r>
      <w:r w:rsidR="009400FF" w:rsidRPr="00C41814">
        <w:rPr>
          <w:szCs w:val="22"/>
        </w:rPr>
        <w:t xml:space="preserve">CGs </w:t>
      </w:r>
      <w:r w:rsidRPr="00C41814">
        <w:rPr>
          <w:szCs w:val="22"/>
        </w:rPr>
        <w:t>in a variety of ways</w:t>
      </w:r>
      <w:r w:rsidR="000F1819" w:rsidRPr="00C41814">
        <w:rPr>
          <w:szCs w:val="22"/>
        </w:rPr>
        <w:t xml:space="preserve"> </w:t>
      </w:r>
      <w:r w:rsidR="00B946A4" w:rsidRPr="00C41814">
        <w:rPr>
          <w:szCs w:val="22"/>
        </w:rPr>
        <w:t>and</w:t>
      </w:r>
      <w:r w:rsidR="007111C3" w:rsidRPr="00C41814">
        <w:rPr>
          <w:szCs w:val="22"/>
        </w:rPr>
        <w:t xml:space="preserve"> widely across the range of medical litigation, and by claimant</w:t>
      </w:r>
      <w:r w:rsidR="009400FF" w:rsidRPr="00C41814">
        <w:rPr>
          <w:szCs w:val="22"/>
        </w:rPr>
        <w:t>s a</w:t>
      </w:r>
      <w:r w:rsidR="007111C3" w:rsidRPr="00C41814">
        <w:rPr>
          <w:szCs w:val="22"/>
        </w:rPr>
        <w:t xml:space="preserve">s well as </w:t>
      </w:r>
      <w:r w:rsidR="009400FF" w:rsidRPr="00C41814">
        <w:rPr>
          <w:szCs w:val="22"/>
        </w:rPr>
        <w:t xml:space="preserve">by </w:t>
      </w:r>
      <w:r w:rsidR="007111C3" w:rsidRPr="00C41814">
        <w:rPr>
          <w:szCs w:val="22"/>
        </w:rPr>
        <w:t>defendant</w:t>
      </w:r>
      <w:r w:rsidR="009400FF" w:rsidRPr="00C41814">
        <w:rPr>
          <w:szCs w:val="22"/>
        </w:rPr>
        <w:t>s</w:t>
      </w:r>
      <w:r w:rsidR="007111C3" w:rsidRPr="00C41814">
        <w:rPr>
          <w:szCs w:val="22"/>
        </w:rPr>
        <w:t xml:space="preserve">. </w:t>
      </w:r>
      <w:r w:rsidR="00B946A4" w:rsidRPr="00C41814">
        <w:rPr>
          <w:szCs w:val="22"/>
        </w:rPr>
        <w:t xml:space="preserve">Although not dispositive, CGs can be persuasive or influential upon judicial decision-making.  </w:t>
      </w:r>
      <w:r w:rsidR="000F1819" w:rsidRPr="00C41814">
        <w:rPr>
          <w:szCs w:val="22"/>
        </w:rPr>
        <w:t>A</w:t>
      </w:r>
      <w:r w:rsidR="00B946A4" w:rsidRPr="00C41814">
        <w:rPr>
          <w:szCs w:val="22"/>
        </w:rPr>
        <w:t>nother</w:t>
      </w:r>
      <w:r w:rsidR="000F1819" w:rsidRPr="00C41814">
        <w:rPr>
          <w:szCs w:val="22"/>
        </w:rPr>
        <w:t xml:space="preserve"> key finding is that </w:t>
      </w:r>
      <w:r w:rsidR="009400FF" w:rsidRPr="00C41814">
        <w:rPr>
          <w:szCs w:val="22"/>
        </w:rPr>
        <w:t xml:space="preserve">guidance </w:t>
      </w:r>
      <w:r w:rsidR="000F1819" w:rsidRPr="00C41814">
        <w:rPr>
          <w:szCs w:val="22"/>
        </w:rPr>
        <w:t xml:space="preserve">can </w:t>
      </w:r>
      <w:r w:rsidR="00B946A4" w:rsidRPr="00C41814">
        <w:rPr>
          <w:szCs w:val="22"/>
        </w:rPr>
        <w:t>weight</w:t>
      </w:r>
      <w:r w:rsidR="000F1819" w:rsidRPr="00C41814">
        <w:rPr>
          <w:szCs w:val="22"/>
        </w:rPr>
        <w:t xml:space="preserve"> decision</w:t>
      </w:r>
      <w:r w:rsidR="009400FF" w:rsidRPr="00C41814">
        <w:rPr>
          <w:szCs w:val="22"/>
        </w:rPr>
        <w:t>s</w:t>
      </w:r>
      <w:r w:rsidR="000F1819" w:rsidRPr="00C41814">
        <w:rPr>
          <w:szCs w:val="22"/>
        </w:rPr>
        <w:t xml:space="preserve"> whether to abandon or settle a claim at an early stage. This is premised on the proposition that clinicians should follow nationally endorsed and authoritative guidelines unless there are cogent reasons for not doing so. </w:t>
      </w:r>
      <w:r w:rsidR="007111C3" w:rsidRPr="00C41814">
        <w:rPr>
          <w:szCs w:val="22"/>
        </w:rPr>
        <w:t>A</w:t>
      </w:r>
      <w:r w:rsidR="000F1819" w:rsidRPr="00C41814">
        <w:rPr>
          <w:szCs w:val="22"/>
        </w:rPr>
        <w:t xml:space="preserve"> shift in the role of CGs </w:t>
      </w:r>
      <w:r w:rsidR="007111C3" w:rsidRPr="00C41814">
        <w:rPr>
          <w:szCs w:val="22"/>
        </w:rPr>
        <w:t xml:space="preserve">engaging in pre-trial stages as well as at trial, and for settlements out of court, </w:t>
      </w:r>
      <w:r w:rsidR="000F1819" w:rsidRPr="00C41814">
        <w:rPr>
          <w:szCs w:val="22"/>
        </w:rPr>
        <w:t>could h</w:t>
      </w:r>
      <w:r w:rsidR="007111C3" w:rsidRPr="00C41814">
        <w:rPr>
          <w:szCs w:val="22"/>
        </w:rPr>
        <w:t>ave implications for</w:t>
      </w:r>
      <w:r w:rsidR="000F1819" w:rsidRPr="00C41814">
        <w:rPr>
          <w:szCs w:val="22"/>
        </w:rPr>
        <w:t xml:space="preserve"> clinical negligence litigation.</w:t>
      </w:r>
    </w:p>
    <w:p w14:paraId="1355C20F" w14:textId="77777777" w:rsidR="00B946A4" w:rsidRPr="00C41814" w:rsidRDefault="00B946A4" w:rsidP="008E5806">
      <w:pPr>
        <w:spacing w:line="360" w:lineRule="auto"/>
        <w:rPr>
          <w:szCs w:val="22"/>
        </w:rPr>
      </w:pPr>
    </w:p>
    <w:p w14:paraId="322367A7" w14:textId="12C40353" w:rsidR="00E4164B" w:rsidRPr="00C41814" w:rsidRDefault="00E4164B" w:rsidP="00E4164B">
      <w:pPr>
        <w:spacing w:line="360" w:lineRule="auto"/>
      </w:pPr>
      <w:r w:rsidRPr="00C41814">
        <w:t xml:space="preserve">We acknowledge the limitations of our study. First, we have provided relatively little quantitative data on the role of CGs in medical litigation. Furthermore, although we invited over 300 practising lawyers to participate in the survey and sent two reminders, we achieved a modest response rate of 12%. However, the study design was to build an understanding of how </w:t>
      </w:r>
      <w:r w:rsidR="009400FF" w:rsidRPr="00C41814">
        <w:t xml:space="preserve">guidelines </w:t>
      </w:r>
      <w:r w:rsidRPr="00C41814">
        <w:t xml:space="preserve">are used in medical </w:t>
      </w:r>
      <w:r w:rsidRPr="00C41814">
        <w:lastRenderedPageBreak/>
        <w:t xml:space="preserve">negligence litigation rather than focus on quantitative assessments. The survey results have been </w:t>
      </w:r>
      <w:r w:rsidR="009400FF" w:rsidRPr="00C41814">
        <w:t xml:space="preserve">triangulated with </w:t>
      </w:r>
      <w:r w:rsidRPr="00C41814">
        <w:t xml:space="preserve">qualitative data from in-depth interviews, as well as from free-text comments from the survey questionnaire. The methodology underlying the qualitative data collection and analysis was rigorous and robust. Multisource data along with triangulation has strengthened assurance of validity.  </w:t>
      </w:r>
      <w:r w:rsidR="009400FF" w:rsidRPr="00C41814">
        <w:t xml:space="preserve">On these grounds we </w:t>
      </w:r>
      <w:r w:rsidRPr="00C41814">
        <w:t xml:space="preserve">believe that the results are genuine as well as informative, although </w:t>
      </w:r>
      <w:r w:rsidR="009400FF" w:rsidRPr="00C41814">
        <w:t xml:space="preserve">the </w:t>
      </w:r>
      <w:r w:rsidRPr="00C41814">
        <w:t xml:space="preserve">generalisability </w:t>
      </w:r>
      <w:r w:rsidR="009400FF" w:rsidRPr="00C41814">
        <w:t>of findings may be limited due to</w:t>
      </w:r>
      <w:r w:rsidRPr="00C41814">
        <w:t xml:space="preserve"> the small numbers</w:t>
      </w:r>
      <w:r w:rsidR="00AF747F" w:rsidRPr="00C41814">
        <w:t xml:space="preserve"> involved</w:t>
      </w:r>
      <w:r w:rsidRPr="00C41814">
        <w:t xml:space="preserve">. </w:t>
      </w:r>
    </w:p>
    <w:p w14:paraId="21006101" w14:textId="77777777" w:rsidR="00E4164B" w:rsidRPr="00C41814" w:rsidRDefault="00E4164B" w:rsidP="00E4164B">
      <w:pPr>
        <w:spacing w:line="360" w:lineRule="auto"/>
      </w:pPr>
    </w:p>
    <w:p w14:paraId="134C31F6" w14:textId="5E92F8C7" w:rsidR="00E4164B" w:rsidRPr="00C41814" w:rsidRDefault="00E4164B" w:rsidP="00E4164B">
      <w:pPr>
        <w:spacing w:line="360" w:lineRule="auto"/>
      </w:pPr>
      <w:r w:rsidRPr="00C41814">
        <w:t xml:space="preserve">Second, despite our </w:t>
      </w:r>
      <w:r w:rsidR="009400FF" w:rsidRPr="00C41814">
        <w:t xml:space="preserve">best </w:t>
      </w:r>
      <w:r w:rsidRPr="00C41814">
        <w:t xml:space="preserve">efforts we were unable to access pre-trial files and records of claims (from NHS Resolution) for qualitative analysis. This was mainly because case files are maintained by defendant solicitors who </w:t>
      </w:r>
      <w:r w:rsidR="00AF747F" w:rsidRPr="00C41814">
        <w:t xml:space="preserve">are </w:t>
      </w:r>
      <w:r w:rsidRPr="00C41814">
        <w:t xml:space="preserve">instructed on behalf of NHS Resolution. </w:t>
      </w:r>
      <w:r w:rsidR="009400FF" w:rsidRPr="00C41814">
        <w:t xml:space="preserve"> </w:t>
      </w:r>
      <w:r w:rsidRPr="00C41814">
        <w:t>However, our analysis of claim</w:t>
      </w:r>
      <w:r w:rsidR="00AF747F" w:rsidRPr="00C41814">
        <w:t>s</w:t>
      </w:r>
      <w:r w:rsidRPr="00C41814">
        <w:t xml:space="preserve"> metrics provides numeric evidence that demonstrates the rise in the total number of claims and their settlement, pre-trial or in court but pre-judgment, providing a snapshot of how this landscape has altered over the past decade </w:t>
      </w:r>
      <w:r w:rsidR="00AF747F" w:rsidRPr="00C41814">
        <w:t>and depending</w:t>
      </w:r>
      <w:r w:rsidRPr="00C41814">
        <w:t xml:space="preserve"> upon the defendant’s non-compliance with guidelines.</w:t>
      </w:r>
    </w:p>
    <w:p w14:paraId="4C18EDF4" w14:textId="77777777" w:rsidR="00F209E8" w:rsidRPr="00C41814" w:rsidRDefault="00F209E8" w:rsidP="008E5806">
      <w:pPr>
        <w:spacing w:line="360" w:lineRule="auto"/>
        <w:rPr>
          <w:szCs w:val="22"/>
        </w:rPr>
      </w:pPr>
    </w:p>
    <w:p w14:paraId="7687CE6D" w14:textId="0BF577D3" w:rsidR="001D6BEC" w:rsidRPr="00C41814" w:rsidRDefault="003853DC" w:rsidP="008E5806">
      <w:pPr>
        <w:spacing w:line="360" w:lineRule="auto"/>
        <w:rPr>
          <w:szCs w:val="22"/>
        </w:rPr>
      </w:pPr>
      <w:r w:rsidRPr="00C41814">
        <w:rPr>
          <w:szCs w:val="22"/>
        </w:rPr>
        <w:t xml:space="preserve">Whilst CGs serve a useful purpose in medical negligence litigation, slavish reliance carries the </w:t>
      </w:r>
      <w:r w:rsidR="00846840" w:rsidRPr="00C41814">
        <w:rPr>
          <w:szCs w:val="22"/>
        </w:rPr>
        <w:t xml:space="preserve">risk </w:t>
      </w:r>
      <w:r w:rsidRPr="00C41814">
        <w:rPr>
          <w:szCs w:val="22"/>
        </w:rPr>
        <w:t xml:space="preserve">that they might assume such an aura of authority that they are mistakenly perceived by </w:t>
      </w:r>
      <w:r w:rsidR="00F209E8" w:rsidRPr="00C41814">
        <w:rPr>
          <w:szCs w:val="22"/>
        </w:rPr>
        <w:t xml:space="preserve">lawyers and health </w:t>
      </w:r>
      <w:r w:rsidRPr="00C41814">
        <w:rPr>
          <w:szCs w:val="22"/>
        </w:rPr>
        <w:t xml:space="preserve">practitioners </w:t>
      </w:r>
      <w:r w:rsidR="00846840" w:rsidRPr="00C41814">
        <w:rPr>
          <w:szCs w:val="22"/>
        </w:rPr>
        <w:t xml:space="preserve">to </w:t>
      </w:r>
      <w:r w:rsidR="009400FF" w:rsidRPr="00C41814">
        <w:rPr>
          <w:szCs w:val="22"/>
        </w:rPr>
        <w:t xml:space="preserve">represent </w:t>
      </w:r>
      <w:r w:rsidR="00F209E8" w:rsidRPr="00C41814">
        <w:rPr>
          <w:szCs w:val="22"/>
        </w:rPr>
        <w:t xml:space="preserve">the </w:t>
      </w:r>
      <w:r w:rsidRPr="00C41814">
        <w:rPr>
          <w:szCs w:val="22"/>
        </w:rPr>
        <w:t xml:space="preserve">“law”, thereby usurping medical expertise </w:t>
      </w:r>
      <w:r w:rsidR="00846840" w:rsidRPr="00C41814">
        <w:rPr>
          <w:szCs w:val="22"/>
        </w:rPr>
        <w:t xml:space="preserve">and </w:t>
      </w:r>
      <w:r w:rsidRPr="00C41814">
        <w:rPr>
          <w:szCs w:val="22"/>
        </w:rPr>
        <w:t xml:space="preserve">expert testimony. The prescriptive use of CGs </w:t>
      </w:r>
      <w:r w:rsidR="00846840" w:rsidRPr="00C41814">
        <w:rPr>
          <w:szCs w:val="22"/>
        </w:rPr>
        <w:t xml:space="preserve">as a </w:t>
      </w:r>
      <w:r w:rsidRPr="00C41814">
        <w:rPr>
          <w:szCs w:val="22"/>
        </w:rPr>
        <w:t>drive</w:t>
      </w:r>
      <w:r w:rsidR="00846840" w:rsidRPr="00C41814">
        <w:rPr>
          <w:szCs w:val="22"/>
        </w:rPr>
        <w:t>r</w:t>
      </w:r>
      <w:r w:rsidRPr="00C41814">
        <w:rPr>
          <w:szCs w:val="22"/>
        </w:rPr>
        <w:t xml:space="preserve"> for systems quality improvement could elide the distinctions between political imperatives, guidelines as recommended standards, and legal rules. Yet casual disregard for CGs in the modern environment of evidence-based clinical practice is unwise. A balance is required. </w:t>
      </w:r>
    </w:p>
    <w:p w14:paraId="21472F63" w14:textId="77777777" w:rsidR="000134FD" w:rsidRPr="00C41814" w:rsidRDefault="000134FD" w:rsidP="008E5806">
      <w:pPr>
        <w:spacing w:line="360" w:lineRule="auto"/>
        <w:rPr>
          <w:szCs w:val="22"/>
        </w:rPr>
      </w:pPr>
    </w:p>
    <w:p w14:paraId="32AF27A4" w14:textId="60A6A6A1" w:rsidR="003853DC" w:rsidRPr="00C41814" w:rsidRDefault="003853DC" w:rsidP="008E5806">
      <w:pPr>
        <w:spacing w:line="360" w:lineRule="auto"/>
        <w:rPr>
          <w:szCs w:val="22"/>
        </w:rPr>
      </w:pPr>
      <w:r w:rsidRPr="00C41814">
        <w:rPr>
          <w:szCs w:val="22"/>
        </w:rPr>
        <w:t xml:space="preserve">The unifying thread for </w:t>
      </w:r>
      <w:r w:rsidR="00B852C3" w:rsidRPr="00C41814">
        <w:rPr>
          <w:szCs w:val="22"/>
        </w:rPr>
        <w:t xml:space="preserve">optimal use of </w:t>
      </w:r>
      <w:r w:rsidRPr="00C41814">
        <w:rPr>
          <w:szCs w:val="22"/>
        </w:rPr>
        <w:t xml:space="preserve">guidelines in litigation is the principle of reasonableness. Reasonableness ties together the disparate elements of breach of duty of care, the </w:t>
      </w:r>
      <w:r w:rsidRPr="00C41814">
        <w:rPr>
          <w:i/>
          <w:szCs w:val="22"/>
        </w:rPr>
        <w:t xml:space="preserve">Bolam </w:t>
      </w:r>
      <w:r w:rsidRPr="00C41814">
        <w:rPr>
          <w:szCs w:val="22"/>
        </w:rPr>
        <w:t xml:space="preserve">and </w:t>
      </w:r>
      <w:r w:rsidRPr="00C41814">
        <w:rPr>
          <w:i/>
          <w:szCs w:val="22"/>
        </w:rPr>
        <w:t>Bolitho</w:t>
      </w:r>
      <w:r w:rsidRPr="00C41814">
        <w:rPr>
          <w:szCs w:val="22"/>
        </w:rPr>
        <w:t xml:space="preserve"> tests and the expected standard of care in the case litigated, into one coherent whole.  As Montrose states “the question of negligence should be one of what ought to be done in the circumstances, rather than what is done in similar circumstances by most, or even all people”.</w:t>
      </w:r>
      <w:r w:rsidRPr="00C41814">
        <w:rPr>
          <w:szCs w:val="22"/>
          <w:vertAlign w:val="superscript"/>
        </w:rPr>
        <w:footnoteReference w:id="149"/>
      </w:r>
      <w:r w:rsidRPr="00C41814">
        <w:rPr>
          <w:szCs w:val="22"/>
        </w:rPr>
        <w:t xml:space="preserve"> Through the concept of reasonableness negligence imports into law an ethical command to encourage safe behaviour</w:t>
      </w:r>
      <w:r w:rsidRPr="00C41814">
        <w:rPr>
          <w:szCs w:val="22"/>
          <w:vertAlign w:val="superscript"/>
        </w:rPr>
        <w:footnoteReference w:id="150"/>
      </w:r>
      <w:r w:rsidRPr="00C41814">
        <w:rPr>
          <w:szCs w:val="22"/>
        </w:rPr>
        <w:t xml:space="preserve"> </w:t>
      </w:r>
      <w:r w:rsidR="00AA7FAA" w:rsidRPr="00C41814">
        <w:rPr>
          <w:szCs w:val="22"/>
        </w:rPr>
        <w:t xml:space="preserve">which </w:t>
      </w:r>
      <w:r w:rsidRPr="00C41814">
        <w:rPr>
          <w:szCs w:val="22"/>
        </w:rPr>
        <w:t xml:space="preserve">in our view provides a balance to the use of guidelines in negligence. </w:t>
      </w:r>
      <w:r w:rsidR="00AA7FAA" w:rsidRPr="00C41814">
        <w:rPr>
          <w:szCs w:val="22"/>
        </w:rPr>
        <w:t xml:space="preserve"> </w:t>
      </w:r>
      <w:r w:rsidRPr="00C41814">
        <w:rPr>
          <w:szCs w:val="22"/>
        </w:rPr>
        <w:t xml:space="preserve">We see two evident advantages. First, it gives the law flexibility to set the standard of care in relation to the particular demands of the case in question. Second, it allows the law the ability to arrange that standard dependent upon wider policy considerations. For example, it is well-recognised that the cost of compensation awards is rising exponentially and may not be sustainable in the future. There is some </w:t>
      </w:r>
      <w:r w:rsidRPr="00C41814">
        <w:rPr>
          <w:szCs w:val="22"/>
        </w:rPr>
        <w:lastRenderedPageBreak/>
        <w:t xml:space="preserve">evidence from the data that </w:t>
      </w:r>
      <w:r w:rsidR="00EC115B" w:rsidRPr="00C41814">
        <w:rPr>
          <w:szCs w:val="22"/>
        </w:rPr>
        <w:t xml:space="preserve">CGs </w:t>
      </w:r>
      <w:r w:rsidRPr="00C41814">
        <w:rPr>
          <w:szCs w:val="22"/>
        </w:rPr>
        <w:t xml:space="preserve">are being used in the early and pre-trial stages of litigation to </w:t>
      </w:r>
      <w:r w:rsidR="009E75E9" w:rsidRPr="00C41814">
        <w:rPr>
          <w:szCs w:val="22"/>
        </w:rPr>
        <w:t>decide whether cases should be settled</w:t>
      </w:r>
      <w:r w:rsidRPr="00C41814">
        <w:rPr>
          <w:szCs w:val="22"/>
        </w:rPr>
        <w:t xml:space="preserve">.  The position </w:t>
      </w:r>
      <w:r w:rsidR="009E75E9" w:rsidRPr="00C41814">
        <w:rPr>
          <w:szCs w:val="22"/>
        </w:rPr>
        <w:t xml:space="preserve">of </w:t>
      </w:r>
      <w:r w:rsidRPr="00C41814">
        <w:rPr>
          <w:szCs w:val="22"/>
        </w:rPr>
        <w:t xml:space="preserve">the court regarding the use of guidelines may shape future policy aimed at reducing </w:t>
      </w:r>
      <w:r w:rsidR="00EC115B" w:rsidRPr="00C41814">
        <w:rPr>
          <w:szCs w:val="22"/>
        </w:rPr>
        <w:t xml:space="preserve">costs in </w:t>
      </w:r>
      <w:r w:rsidR="009E75E9" w:rsidRPr="00C41814">
        <w:rPr>
          <w:szCs w:val="22"/>
        </w:rPr>
        <w:t>this area.</w:t>
      </w:r>
    </w:p>
    <w:p w14:paraId="1C21195F" w14:textId="77777777" w:rsidR="004370E2" w:rsidRPr="00C41814" w:rsidRDefault="004370E2" w:rsidP="008E5806">
      <w:pPr>
        <w:spacing w:line="360" w:lineRule="auto"/>
        <w:rPr>
          <w:szCs w:val="22"/>
        </w:rPr>
      </w:pPr>
    </w:p>
    <w:p w14:paraId="29D2F6B4" w14:textId="174869A9" w:rsidR="003853DC" w:rsidRPr="00C41814" w:rsidRDefault="003853DC" w:rsidP="008E5806">
      <w:pPr>
        <w:spacing w:line="360" w:lineRule="auto"/>
        <w:rPr>
          <w:szCs w:val="22"/>
        </w:rPr>
      </w:pPr>
      <w:r w:rsidRPr="00C41814">
        <w:rPr>
          <w:szCs w:val="22"/>
        </w:rPr>
        <w:t xml:space="preserve">In </w:t>
      </w:r>
      <w:r w:rsidRPr="00C41814">
        <w:rPr>
          <w:i/>
          <w:szCs w:val="22"/>
        </w:rPr>
        <w:t>Bolitho</w:t>
      </w:r>
      <w:r w:rsidRPr="00C41814">
        <w:rPr>
          <w:szCs w:val="22"/>
        </w:rPr>
        <w:t xml:space="preserve">, Lord Browne-Wilkinson </w:t>
      </w:r>
      <w:r w:rsidR="00EC115B" w:rsidRPr="00C41814">
        <w:rPr>
          <w:szCs w:val="22"/>
        </w:rPr>
        <w:t>expanded</w:t>
      </w:r>
      <w:r w:rsidRPr="00C41814">
        <w:rPr>
          <w:szCs w:val="22"/>
        </w:rPr>
        <w:t xml:space="preserve"> on “logical basis” as </w:t>
      </w:r>
      <w:r w:rsidR="00EC115B" w:rsidRPr="00C41814">
        <w:rPr>
          <w:szCs w:val="22"/>
        </w:rPr>
        <w:t xml:space="preserve">cases </w:t>
      </w:r>
      <w:r w:rsidRPr="00C41814">
        <w:rPr>
          <w:szCs w:val="22"/>
        </w:rPr>
        <w:t>involving</w:t>
      </w:r>
      <w:r w:rsidR="00EC115B" w:rsidRPr="00C41814">
        <w:rPr>
          <w:szCs w:val="22"/>
        </w:rPr>
        <w:t xml:space="preserve"> “</w:t>
      </w:r>
      <w:r w:rsidRPr="00C41814">
        <w:rPr>
          <w:szCs w:val="22"/>
        </w:rPr>
        <w:t>the weighing of risks against benefits</w:t>
      </w:r>
      <w:r w:rsidR="00EC115B" w:rsidRPr="00C41814">
        <w:rPr>
          <w:szCs w:val="22"/>
        </w:rPr>
        <w:t xml:space="preserve">” and that before </w:t>
      </w:r>
      <w:r w:rsidRPr="00C41814">
        <w:rPr>
          <w:szCs w:val="22"/>
        </w:rPr>
        <w:t xml:space="preserve">accepting a body of opinion as being responsible, reasonable or respectable, </w:t>
      </w:r>
      <w:r w:rsidR="00EC115B" w:rsidRPr="00C41814">
        <w:rPr>
          <w:szCs w:val="22"/>
        </w:rPr>
        <w:t>the judge would “</w:t>
      </w:r>
      <w:r w:rsidRPr="00C41814">
        <w:rPr>
          <w:szCs w:val="22"/>
        </w:rPr>
        <w:t>need to be satisfied that the experts have directed their minds to the question of comparative risks and benefits and have reached a defensible conclusion on the matter</w:t>
      </w:r>
      <w:r w:rsidR="00D9696E" w:rsidRPr="00C41814">
        <w:rPr>
          <w:szCs w:val="22"/>
        </w:rPr>
        <w:t>.</w:t>
      </w:r>
      <w:r w:rsidRPr="00C41814">
        <w:rPr>
          <w:szCs w:val="22"/>
        </w:rPr>
        <w:t>”</w:t>
      </w:r>
      <w:r w:rsidRPr="00C41814">
        <w:rPr>
          <w:szCs w:val="22"/>
          <w:vertAlign w:val="superscript"/>
        </w:rPr>
        <w:footnoteReference w:id="151"/>
      </w:r>
      <w:r w:rsidRPr="00C41814">
        <w:rPr>
          <w:szCs w:val="22"/>
        </w:rPr>
        <w:t xml:space="preserve"> We have previously suggested a conceptual basis</w:t>
      </w:r>
      <w:r w:rsidR="00B946A4" w:rsidRPr="00C41814">
        <w:rPr>
          <w:szCs w:val="22"/>
        </w:rPr>
        <w:t xml:space="preserve"> of a framework </w:t>
      </w:r>
      <w:r w:rsidRPr="00C41814">
        <w:rPr>
          <w:szCs w:val="22"/>
        </w:rPr>
        <w:t xml:space="preserve"> for the use of guidelines in clinical litigation.</w:t>
      </w:r>
      <w:r w:rsidRPr="00C41814">
        <w:rPr>
          <w:szCs w:val="22"/>
          <w:vertAlign w:val="superscript"/>
        </w:rPr>
        <w:footnoteReference w:id="152"/>
      </w:r>
      <w:r w:rsidRPr="00C41814">
        <w:rPr>
          <w:szCs w:val="22"/>
        </w:rPr>
        <w:t xml:space="preserve"> There are four stages: first, is the defendant’s conduct </w:t>
      </w:r>
      <w:r w:rsidRPr="00C41814">
        <w:rPr>
          <w:i/>
          <w:szCs w:val="22"/>
        </w:rPr>
        <w:t>Bolam</w:t>
      </w:r>
      <w:r w:rsidRPr="00C41814">
        <w:rPr>
          <w:szCs w:val="22"/>
        </w:rPr>
        <w:t xml:space="preserve">-responsible; second, is it </w:t>
      </w:r>
      <w:r w:rsidRPr="00C41814">
        <w:rPr>
          <w:i/>
          <w:szCs w:val="22"/>
        </w:rPr>
        <w:t>Bolitho</w:t>
      </w:r>
      <w:r w:rsidRPr="00C41814">
        <w:rPr>
          <w:szCs w:val="22"/>
        </w:rPr>
        <w:t xml:space="preserve">-justifiable; third, are the guidelines cited </w:t>
      </w:r>
      <w:r w:rsidRPr="00C41814">
        <w:rPr>
          <w:i/>
          <w:szCs w:val="22"/>
        </w:rPr>
        <w:t>Daubert</w:t>
      </w:r>
      <w:r w:rsidRPr="00C41814">
        <w:rPr>
          <w:szCs w:val="22"/>
        </w:rPr>
        <w:t>-valid</w:t>
      </w:r>
      <w:r w:rsidR="00EC115B" w:rsidRPr="00C41814">
        <w:rPr>
          <w:szCs w:val="22"/>
        </w:rPr>
        <w:t xml:space="preserve"> in respect of </w:t>
      </w:r>
      <w:r w:rsidRPr="00C41814">
        <w:rPr>
          <w:szCs w:val="22"/>
        </w:rPr>
        <w:t xml:space="preserve">admissibility as evidence; and fourth, </w:t>
      </w:r>
      <w:r w:rsidR="0059721C" w:rsidRPr="00C41814">
        <w:rPr>
          <w:szCs w:val="22"/>
        </w:rPr>
        <w:t xml:space="preserve">a consideration of </w:t>
      </w:r>
      <w:r w:rsidRPr="00C41814">
        <w:rPr>
          <w:szCs w:val="22"/>
        </w:rPr>
        <w:t xml:space="preserve">how guidelines engage in the particulars of </w:t>
      </w:r>
      <w:r w:rsidR="00B946A4" w:rsidRPr="00C41814">
        <w:rPr>
          <w:szCs w:val="22"/>
        </w:rPr>
        <w:t>the</w:t>
      </w:r>
      <w:r w:rsidR="0059721C" w:rsidRPr="00C41814">
        <w:rPr>
          <w:szCs w:val="22"/>
        </w:rPr>
        <w:t xml:space="preserve"> </w:t>
      </w:r>
      <w:r w:rsidRPr="00C41814">
        <w:rPr>
          <w:szCs w:val="22"/>
        </w:rPr>
        <w:t xml:space="preserve">case. </w:t>
      </w:r>
      <w:r w:rsidR="00EC115B" w:rsidRPr="00C41814">
        <w:rPr>
          <w:szCs w:val="22"/>
        </w:rPr>
        <w:t xml:space="preserve"> </w:t>
      </w:r>
      <w:r w:rsidRPr="00C41814">
        <w:rPr>
          <w:szCs w:val="22"/>
        </w:rPr>
        <w:t>We believe that th</w:t>
      </w:r>
      <w:r w:rsidR="00B946A4" w:rsidRPr="00C41814">
        <w:rPr>
          <w:szCs w:val="22"/>
        </w:rPr>
        <w:t>ese</w:t>
      </w:r>
      <w:r w:rsidRPr="00C41814">
        <w:rPr>
          <w:szCs w:val="22"/>
        </w:rPr>
        <w:t xml:space="preserve"> concept</w:t>
      </w:r>
      <w:r w:rsidR="00B946A4" w:rsidRPr="00C41814">
        <w:rPr>
          <w:szCs w:val="22"/>
        </w:rPr>
        <w:t>s</w:t>
      </w:r>
      <w:r w:rsidRPr="00C41814">
        <w:rPr>
          <w:szCs w:val="22"/>
        </w:rPr>
        <w:t xml:space="preserve"> form a paradigm for reasonableness in determination of the legal standard.  The key questions in ascertaining whether the defendant’s conduct has met the requisite standard of care requires </w:t>
      </w:r>
      <w:r w:rsidR="00EC115B" w:rsidRPr="00C41814">
        <w:rPr>
          <w:szCs w:val="22"/>
        </w:rPr>
        <w:t xml:space="preserve">careful assessment of the defendant’s </w:t>
      </w:r>
      <w:r w:rsidRPr="00C41814">
        <w:rPr>
          <w:szCs w:val="22"/>
        </w:rPr>
        <w:t xml:space="preserve">conduct as well as punctilious scrutiny of </w:t>
      </w:r>
      <w:r w:rsidR="00EC115B" w:rsidRPr="00C41814">
        <w:rPr>
          <w:szCs w:val="22"/>
        </w:rPr>
        <w:t xml:space="preserve">relevant </w:t>
      </w:r>
      <w:r w:rsidRPr="00C41814">
        <w:rPr>
          <w:szCs w:val="22"/>
        </w:rPr>
        <w:t>guideline recommendations</w:t>
      </w:r>
      <w:r w:rsidR="00EC115B" w:rsidRPr="00C41814">
        <w:rPr>
          <w:szCs w:val="22"/>
        </w:rPr>
        <w:t xml:space="preserve"> in the </w:t>
      </w:r>
      <w:r w:rsidRPr="00C41814">
        <w:rPr>
          <w:szCs w:val="22"/>
        </w:rPr>
        <w:t>case. A rounded analysis by the court of these parameters would then form the “logical basis” for evaluating the legal standard for breach of duty.</w:t>
      </w:r>
    </w:p>
    <w:p w14:paraId="748CD53F" w14:textId="77777777" w:rsidR="00EC115B" w:rsidRPr="00C41814" w:rsidRDefault="00EC115B" w:rsidP="008E5806">
      <w:pPr>
        <w:spacing w:line="360" w:lineRule="auto"/>
        <w:rPr>
          <w:szCs w:val="22"/>
        </w:rPr>
      </w:pPr>
    </w:p>
    <w:p w14:paraId="136FCE11" w14:textId="64CA8547" w:rsidR="003103A0" w:rsidRPr="00C41814" w:rsidRDefault="003853DC" w:rsidP="008E5806">
      <w:pPr>
        <w:tabs>
          <w:tab w:val="left" w:pos="7938"/>
          <w:tab w:val="left" w:pos="8222"/>
          <w:tab w:val="left" w:pos="8505"/>
        </w:tabs>
        <w:spacing w:line="360" w:lineRule="auto"/>
        <w:rPr>
          <w:szCs w:val="22"/>
        </w:rPr>
      </w:pPr>
      <w:r w:rsidRPr="00C41814">
        <w:rPr>
          <w:szCs w:val="22"/>
        </w:rPr>
        <w:t xml:space="preserve">Guidelines used in this manner and within </w:t>
      </w:r>
      <w:r w:rsidR="00B946A4" w:rsidRPr="00C41814">
        <w:rPr>
          <w:szCs w:val="22"/>
        </w:rPr>
        <w:t>a</w:t>
      </w:r>
      <w:r w:rsidRPr="00C41814">
        <w:rPr>
          <w:szCs w:val="22"/>
        </w:rPr>
        <w:t xml:space="preserve"> framework for reasonableness</w:t>
      </w:r>
      <w:r w:rsidR="00EC115B" w:rsidRPr="00C41814">
        <w:rPr>
          <w:szCs w:val="22"/>
        </w:rPr>
        <w:t xml:space="preserve">, </w:t>
      </w:r>
      <w:r w:rsidRPr="00C41814">
        <w:rPr>
          <w:szCs w:val="22"/>
        </w:rPr>
        <w:t xml:space="preserve">has the attraction of </w:t>
      </w:r>
      <w:r w:rsidR="00155BD1" w:rsidRPr="00C41814">
        <w:rPr>
          <w:szCs w:val="22"/>
        </w:rPr>
        <w:t xml:space="preserve">offering a </w:t>
      </w:r>
      <w:r w:rsidRPr="00C41814">
        <w:rPr>
          <w:szCs w:val="22"/>
        </w:rPr>
        <w:t xml:space="preserve">principled basis </w:t>
      </w:r>
      <w:r w:rsidR="00155BD1" w:rsidRPr="00C41814">
        <w:rPr>
          <w:szCs w:val="22"/>
        </w:rPr>
        <w:t xml:space="preserve">for judicial use of evidence-based </w:t>
      </w:r>
      <w:r w:rsidRPr="00C41814">
        <w:rPr>
          <w:szCs w:val="22"/>
        </w:rPr>
        <w:t>medical intelligence</w:t>
      </w:r>
      <w:r w:rsidR="00155BD1" w:rsidRPr="00C41814">
        <w:rPr>
          <w:szCs w:val="22"/>
        </w:rPr>
        <w:t xml:space="preserve">, while preventing the stifling of </w:t>
      </w:r>
      <w:r w:rsidRPr="00C41814">
        <w:rPr>
          <w:szCs w:val="22"/>
        </w:rPr>
        <w:t xml:space="preserve">expert testimony, experience and the exercise of clinical </w:t>
      </w:r>
      <w:r w:rsidR="00155BD1" w:rsidRPr="00C41814">
        <w:rPr>
          <w:szCs w:val="22"/>
        </w:rPr>
        <w:t>discretion</w:t>
      </w:r>
      <w:r w:rsidRPr="00C41814">
        <w:rPr>
          <w:szCs w:val="22"/>
        </w:rPr>
        <w:t xml:space="preserve">. We believe that </w:t>
      </w:r>
      <w:r w:rsidR="00155BD1" w:rsidRPr="00C41814">
        <w:rPr>
          <w:szCs w:val="22"/>
        </w:rPr>
        <w:t xml:space="preserve">this </w:t>
      </w:r>
      <w:r w:rsidRPr="00C41814">
        <w:rPr>
          <w:szCs w:val="22"/>
        </w:rPr>
        <w:t xml:space="preserve">approach would </w:t>
      </w:r>
      <w:r w:rsidR="00155BD1" w:rsidRPr="00C41814">
        <w:rPr>
          <w:szCs w:val="22"/>
        </w:rPr>
        <w:t xml:space="preserve">promote </w:t>
      </w:r>
      <w:r w:rsidRPr="00C41814">
        <w:rPr>
          <w:szCs w:val="22"/>
        </w:rPr>
        <w:t>consistency and fairness for litigants in medical negligence by reducing unpredictability caused by the malady of “</w:t>
      </w:r>
      <w:proofErr w:type="spellStart"/>
      <w:r w:rsidRPr="00C41814">
        <w:rPr>
          <w:i/>
          <w:szCs w:val="22"/>
        </w:rPr>
        <w:t>quot</w:t>
      </w:r>
      <w:proofErr w:type="spellEnd"/>
      <w:r w:rsidRPr="00C41814">
        <w:rPr>
          <w:i/>
          <w:szCs w:val="22"/>
        </w:rPr>
        <w:t xml:space="preserve"> </w:t>
      </w:r>
      <w:proofErr w:type="spellStart"/>
      <w:r w:rsidRPr="00C41814">
        <w:rPr>
          <w:i/>
          <w:szCs w:val="22"/>
        </w:rPr>
        <w:t>homines</w:t>
      </w:r>
      <w:proofErr w:type="spellEnd"/>
      <w:r w:rsidRPr="00C41814">
        <w:rPr>
          <w:i/>
          <w:szCs w:val="22"/>
        </w:rPr>
        <w:t xml:space="preserve"> tot sententiae”</w:t>
      </w:r>
      <w:r w:rsidRPr="00C41814">
        <w:rPr>
          <w:szCs w:val="22"/>
        </w:rPr>
        <w:t>.</w:t>
      </w:r>
      <w:r w:rsidRPr="00C41814">
        <w:rPr>
          <w:szCs w:val="22"/>
          <w:vertAlign w:val="superscript"/>
        </w:rPr>
        <w:footnoteReference w:id="153"/>
      </w:r>
    </w:p>
    <w:p w14:paraId="25A147CE" w14:textId="77777777" w:rsidR="00D550B1" w:rsidRPr="00C41814" w:rsidRDefault="00D550B1" w:rsidP="008E5806">
      <w:pPr>
        <w:tabs>
          <w:tab w:val="left" w:pos="7938"/>
          <w:tab w:val="left" w:pos="8222"/>
          <w:tab w:val="left" w:pos="8505"/>
        </w:tabs>
        <w:spacing w:line="360" w:lineRule="auto"/>
        <w:rPr>
          <w:szCs w:val="22"/>
        </w:rPr>
      </w:pPr>
    </w:p>
    <w:p w14:paraId="3ECEB0ED" w14:textId="6C752B59" w:rsidR="00D550B1" w:rsidRPr="00C41814" w:rsidRDefault="003103A0" w:rsidP="00D550B1">
      <w:pPr>
        <w:jc w:val="center"/>
        <w:rPr>
          <w:b/>
        </w:rPr>
      </w:pPr>
      <w:r w:rsidRPr="00C41814">
        <w:rPr>
          <w:b/>
        </w:rPr>
        <w:t>T</w:t>
      </w:r>
      <w:r w:rsidR="00D550B1" w:rsidRPr="00C41814">
        <w:rPr>
          <w:b/>
        </w:rPr>
        <w:t>ABLE:  CLAIMS AND DAMAGES</w:t>
      </w:r>
    </w:p>
    <w:p w14:paraId="1A663CEE" w14:textId="77777777" w:rsidR="00D550B1" w:rsidRPr="00C41814" w:rsidRDefault="00D550B1" w:rsidP="00D550B1"/>
    <w:tbl>
      <w:tblPr>
        <w:tblStyle w:val="TableGrid"/>
        <w:tblW w:w="9498" w:type="dxa"/>
        <w:tblInd w:w="-147" w:type="dxa"/>
        <w:tblLayout w:type="fixed"/>
        <w:tblLook w:val="04A0" w:firstRow="1" w:lastRow="0" w:firstColumn="1" w:lastColumn="0" w:noHBand="0" w:noVBand="1"/>
      </w:tblPr>
      <w:tblGrid>
        <w:gridCol w:w="1843"/>
        <w:gridCol w:w="1701"/>
        <w:gridCol w:w="993"/>
        <w:gridCol w:w="1134"/>
        <w:gridCol w:w="1701"/>
        <w:gridCol w:w="992"/>
        <w:gridCol w:w="1134"/>
      </w:tblGrid>
      <w:tr w:rsidR="00C41814" w:rsidRPr="00C41814" w14:paraId="2C9686E0" w14:textId="77777777" w:rsidTr="00F41EE9">
        <w:trPr>
          <w:trHeight w:val="567"/>
        </w:trPr>
        <w:tc>
          <w:tcPr>
            <w:tcW w:w="1843" w:type="dxa"/>
            <w:vAlign w:val="center"/>
          </w:tcPr>
          <w:p w14:paraId="5F3C3F37" w14:textId="77777777" w:rsidR="00D550B1" w:rsidRPr="00C41814" w:rsidRDefault="00D550B1" w:rsidP="00F41EE9">
            <w:pPr>
              <w:jc w:val="center"/>
            </w:pPr>
          </w:p>
        </w:tc>
        <w:tc>
          <w:tcPr>
            <w:tcW w:w="3828" w:type="dxa"/>
            <w:gridSpan w:val="3"/>
            <w:vAlign w:val="center"/>
          </w:tcPr>
          <w:p w14:paraId="25520922" w14:textId="77777777" w:rsidR="00D550B1" w:rsidRPr="00C41814" w:rsidRDefault="00D550B1" w:rsidP="00F41EE9">
            <w:pPr>
              <w:jc w:val="center"/>
              <w:rPr>
                <w:b/>
              </w:rPr>
            </w:pPr>
            <w:r w:rsidRPr="00C41814">
              <w:rPr>
                <w:b/>
              </w:rPr>
              <w:t>2016/17</w:t>
            </w:r>
          </w:p>
        </w:tc>
        <w:tc>
          <w:tcPr>
            <w:tcW w:w="3827" w:type="dxa"/>
            <w:gridSpan w:val="3"/>
            <w:vAlign w:val="center"/>
          </w:tcPr>
          <w:p w14:paraId="57352342" w14:textId="77777777" w:rsidR="00D550B1" w:rsidRPr="00C41814" w:rsidRDefault="00D550B1" w:rsidP="00F41EE9">
            <w:pPr>
              <w:jc w:val="center"/>
              <w:rPr>
                <w:b/>
              </w:rPr>
            </w:pPr>
            <w:r w:rsidRPr="00C41814">
              <w:rPr>
                <w:b/>
              </w:rPr>
              <w:t>2007/08</w:t>
            </w:r>
          </w:p>
        </w:tc>
      </w:tr>
      <w:tr w:rsidR="00C41814" w:rsidRPr="00C41814" w14:paraId="504510B7" w14:textId="77777777" w:rsidTr="00F41EE9">
        <w:trPr>
          <w:trHeight w:val="567"/>
        </w:trPr>
        <w:tc>
          <w:tcPr>
            <w:tcW w:w="1843" w:type="dxa"/>
            <w:vAlign w:val="center"/>
          </w:tcPr>
          <w:p w14:paraId="25C1086F" w14:textId="77777777" w:rsidR="00D550B1" w:rsidRPr="00C41814" w:rsidRDefault="00D550B1" w:rsidP="00F41EE9">
            <w:r w:rsidRPr="00C41814">
              <w:t>Total</w:t>
            </w:r>
          </w:p>
        </w:tc>
        <w:tc>
          <w:tcPr>
            <w:tcW w:w="1701" w:type="dxa"/>
            <w:vAlign w:val="center"/>
          </w:tcPr>
          <w:p w14:paraId="796D419E" w14:textId="77777777" w:rsidR="00D550B1" w:rsidRPr="00C41814" w:rsidRDefault="00D550B1" w:rsidP="00F41EE9">
            <w:pPr>
              <w:jc w:val="right"/>
            </w:pPr>
            <w:r w:rsidRPr="00C41814">
              <w:t>11,518</w:t>
            </w:r>
          </w:p>
        </w:tc>
        <w:tc>
          <w:tcPr>
            <w:tcW w:w="993" w:type="dxa"/>
            <w:vAlign w:val="center"/>
          </w:tcPr>
          <w:p w14:paraId="6F7B4C8C" w14:textId="77777777" w:rsidR="00D550B1" w:rsidRPr="00C41814" w:rsidRDefault="00D550B1" w:rsidP="00F41EE9">
            <w:pPr>
              <w:jc w:val="right"/>
            </w:pPr>
          </w:p>
        </w:tc>
        <w:tc>
          <w:tcPr>
            <w:tcW w:w="1134" w:type="dxa"/>
            <w:vAlign w:val="center"/>
          </w:tcPr>
          <w:p w14:paraId="68348454" w14:textId="77777777" w:rsidR="00D550B1" w:rsidRPr="00C41814" w:rsidRDefault="00D550B1" w:rsidP="00F41EE9">
            <w:pPr>
              <w:jc w:val="right"/>
            </w:pPr>
          </w:p>
        </w:tc>
        <w:tc>
          <w:tcPr>
            <w:tcW w:w="1701" w:type="dxa"/>
            <w:vAlign w:val="center"/>
          </w:tcPr>
          <w:p w14:paraId="41C572E4" w14:textId="77777777" w:rsidR="00D550B1" w:rsidRPr="00C41814" w:rsidRDefault="00D550B1" w:rsidP="00F41EE9">
            <w:pPr>
              <w:jc w:val="right"/>
            </w:pPr>
            <w:r w:rsidRPr="00C41814">
              <w:t>6,018</w:t>
            </w:r>
          </w:p>
        </w:tc>
        <w:tc>
          <w:tcPr>
            <w:tcW w:w="992" w:type="dxa"/>
            <w:vAlign w:val="center"/>
          </w:tcPr>
          <w:p w14:paraId="4ED56FA4" w14:textId="77777777" w:rsidR="00D550B1" w:rsidRPr="00C41814" w:rsidRDefault="00D550B1" w:rsidP="00F41EE9">
            <w:pPr>
              <w:jc w:val="right"/>
            </w:pPr>
          </w:p>
        </w:tc>
        <w:tc>
          <w:tcPr>
            <w:tcW w:w="1134" w:type="dxa"/>
            <w:vAlign w:val="center"/>
          </w:tcPr>
          <w:p w14:paraId="6D28C61C" w14:textId="77777777" w:rsidR="00D550B1" w:rsidRPr="00C41814" w:rsidRDefault="00D550B1" w:rsidP="00F41EE9">
            <w:pPr>
              <w:jc w:val="right"/>
            </w:pPr>
          </w:p>
        </w:tc>
      </w:tr>
      <w:tr w:rsidR="00C41814" w:rsidRPr="00C41814" w14:paraId="507CDEE6" w14:textId="77777777" w:rsidTr="00F41EE9">
        <w:trPr>
          <w:trHeight w:val="850"/>
        </w:trPr>
        <w:tc>
          <w:tcPr>
            <w:tcW w:w="1843" w:type="dxa"/>
            <w:vAlign w:val="center"/>
          </w:tcPr>
          <w:p w14:paraId="049F0FBB" w14:textId="77777777" w:rsidR="00D550B1" w:rsidRPr="00C41814" w:rsidRDefault="00D550B1" w:rsidP="00F41EE9">
            <w:r w:rsidRPr="00C41814">
              <w:t>Withdrawn or settled (no damages)</w:t>
            </w:r>
          </w:p>
        </w:tc>
        <w:tc>
          <w:tcPr>
            <w:tcW w:w="1701" w:type="dxa"/>
            <w:vAlign w:val="center"/>
          </w:tcPr>
          <w:p w14:paraId="652B24D7" w14:textId="77777777" w:rsidR="00D550B1" w:rsidRPr="00C41814" w:rsidRDefault="00D550B1" w:rsidP="00F41EE9">
            <w:pPr>
              <w:jc w:val="right"/>
            </w:pPr>
            <w:r w:rsidRPr="00C41814">
              <w:t xml:space="preserve">4,4470 </w:t>
            </w:r>
          </w:p>
        </w:tc>
        <w:tc>
          <w:tcPr>
            <w:tcW w:w="993" w:type="dxa"/>
            <w:vAlign w:val="center"/>
          </w:tcPr>
          <w:p w14:paraId="433136E1" w14:textId="77777777" w:rsidR="00D550B1" w:rsidRPr="00C41814" w:rsidRDefault="00D550B1" w:rsidP="00F41EE9">
            <w:pPr>
              <w:jc w:val="right"/>
            </w:pPr>
            <w:r w:rsidRPr="00C41814">
              <w:t>(38.8%)</w:t>
            </w:r>
          </w:p>
        </w:tc>
        <w:tc>
          <w:tcPr>
            <w:tcW w:w="1134" w:type="dxa"/>
            <w:vAlign w:val="center"/>
          </w:tcPr>
          <w:p w14:paraId="5213295C" w14:textId="77777777" w:rsidR="00D550B1" w:rsidRPr="00C41814" w:rsidRDefault="00D550B1" w:rsidP="00F41EE9">
            <w:pPr>
              <w:jc w:val="right"/>
            </w:pPr>
          </w:p>
        </w:tc>
        <w:tc>
          <w:tcPr>
            <w:tcW w:w="1701" w:type="dxa"/>
            <w:vAlign w:val="center"/>
          </w:tcPr>
          <w:p w14:paraId="44267D2C" w14:textId="77777777" w:rsidR="00D550B1" w:rsidRPr="00C41814" w:rsidRDefault="00D550B1" w:rsidP="00F41EE9">
            <w:pPr>
              <w:jc w:val="right"/>
            </w:pPr>
            <w:r w:rsidRPr="00C41814">
              <w:t xml:space="preserve">2,540 </w:t>
            </w:r>
          </w:p>
        </w:tc>
        <w:tc>
          <w:tcPr>
            <w:tcW w:w="992" w:type="dxa"/>
            <w:vAlign w:val="center"/>
          </w:tcPr>
          <w:p w14:paraId="139CD728" w14:textId="77777777" w:rsidR="00D550B1" w:rsidRPr="00C41814" w:rsidRDefault="00D550B1" w:rsidP="00F41EE9">
            <w:pPr>
              <w:jc w:val="right"/>
            </w:pPr>
            <w:r w:rsidRPr="00C41814">
              <w:t>(42.2%)</w:t>
            </w:r>
          </w:p>
        </w:tc>
        <w:tc>
          <w:tcPr>
            <w:tcW w:w="1134" w:type="dxa"/>
            <w:vAlign w:val="center"/>
          </w:tcPr>
          <w:p w14:paraId="02F6C8AA" w14:textId="77777777" w:rsidR="00D550B1" w:rsidRPr="00C41814" w:rsidRDefault="00D550B1" w:rsidP="00F41EE9">
            <w:pPr>
              <w:jc w:val="right"/>
            </w:pPr>
          </w:p>
        </w:tc>
      </w:tr>
      <w:tr w:rsidR="00C41814" w:rsidRPr="00C41814" w14:paraId="2705BA80" w14:textId="77777777" w:rsidTr="00F41EE9">
        <w:tc>
          <w:tcPr>
            <w:tcW w:w="1843" w:type="dxa"/>
            <w:vAlign w:val="center"/>
          </w:tcPr>
          <w:p w14:paraId="617FFFC9" w14:textId="77777777" w:rsidR="00D550B1" w:rsidRPr="00C41814" w:rsidRDefault="00D550B1" w:rsidP="00F41EE9"/>
        </w:tc>
        <w:tc>
          <w:tcPr>
            <w:tcW w:w="1701" w:type="dxa"/>
          </w:tcPr>
          <w:p w14:paraId="0684B7E3" w14:textId="77777777" w:rsidR="00D550B1" w:rsidRPr="00C41814" w:rsidRDefault="00D550B1" w:rsidP="00F41EE9">
            <w:pPr>
              <w:jc w:val="right"/>
            </w:pPr>
          </w:p>
        </w:tc>
        <w:tc>
          <w:tcPr>
            <w:tcW w:w="993" w:type="dxa"/>
          </w:tcPr>
          <w:p w14:paraId="2C8F283A" w14:textId="77777777" w:rsidR="00D550B1" w:rsidRPr="00C41814" w:rsidRDefault="00D550B1" w:rsidP="00F41EE9">
            <w:pPr>
              <w:jc w:val="right"/>
            </w:pPr>
          </w:p>
        </w:tc>
        <w:tc>
          <w:tcPr>
            <w:tcW w:w="1134" w:type="dxa"/>
          </w:tcPr>
          <w:p w14:paraId="0B070BB8" w14:textId="77777777" w:rsidR="00D550B1" w:rsidRPr="00C41814" w:rsidRDefault="00D550B1" w:rsidP="00F41EE9">
            <w:pPr>
              <w:jc w:val="right"/>
            </w:pPr>
          </w:p>
        </w:tc>
        <w:tc>
          <w:tcPr>
            <w:tcW w:w="1701" w:type="dxa"/>
          </w:tcPr>
          <w:p w14:paraId="285952BC" w14:textId="77777777" w:rsidR="00D550B1" w:rsidRPr="00C41814" w:rsidRDefault="00D550B1" w:rsidP="00F41EE9">
            <w:pPr>
              <w:jc w:val="right"/>
            </w:pPr>
          </w:p>
        </w:tc>
        <w:tc>
          <w:tcPr>
            <w:tcW w:w="992" w:type="dxa"/>
          </w:tcPr>
          <w:p w14:paraId="05C7B551" w14:textId="77777777" w:rsidR="00D550B1" w:rsidRPr="00C41814" w:rsidRDefault="00D550B1" w:rsidP="00F41EE9">
            <w:pPr>
              <w:jc w:val="right"/>
            </w:pPr>
          </w:p>
        </w:tc>
        <w:tc>
          <w:tcPr>
            <w:tcW w:w="1134" w:type="dxa"/>
          </w:tcPr>
          <w:p w14:paraId="59838EAF" w14:textId="77777777" w:rsidR="00D550B1" w:rsidRPr="00C41814" w:rsidRDefault="00D550B1" w:rsidP="00F41EE9">
            <w:pPr>
              <w:jc w:val="right"/>
            </w:pPr>
          </w:p>
        </w:tc>
      </w:tr>
      <w:tr w:rsidR="00C41814" w:rsidRPr="00C41814" w14:paraId="0AAF3DC7" w14:textId="77777777" w:rsidTr="00F41EE9">
        <w:tc>
          <w:tcPr>
            <w:tcW w:w="1843" w:type="dxa"/>
            <w:vAlign w:val="center"/>
          </w:tcPr>
          <w:p w14:paraId="21D07BB2" w14:textId="77777777" w:rsidR="00D550B1" w:rsidRPr="00C41814" w:rsidRDefault="00D550B1" w:rsidP="00F41EE9">
            <w:r w:rsidRPr="00C41814">
              <w:t>Settled, with damages</w:t>
            </w:r>
          </w:p>
        </w:tc>
        <w:tc>
          <w:tcPr>
            <w:tcW w:w="1701" w:type="dxa"/>
            <w:vAlign w:val="center"/>
          </w:tcPr>
          <w:p w14:paraId="5626222C" w14:textId="77777777" w:rsidR="00D550B1" w:rsidRPr="00C41814" w:rsidRDefault="00D550B1" w:rsidP="00F41EE9"/>
        </w:tc>
        <w:tc>
          <w:tcPr>
            <w:tcW w:w="993" w:type="dxa"/>
            <w:vAlign w:val="center"/>
          </w:tcPr>
          <w:p w14:paraId="0FF9C8E8" w14:textId="77777777" w:rsidR="00D550B1" w:rsidRPr="00C41814" w:rsidRDefault="00D550B1" w:rsidP="00F41EE9"/>
        </w:tc>
        <w:tc>
          <w:tcPr>
            <w:tcW w:w="1134" w:type="dxa"/>
            <w:vAlign w:val="center"/>
          </w:tcPr>
          <w:p w14:paraId="7C9D145D" w14:textId="77777777" w:rsidR="00D550B1" w:rsidRPr="00C41814" w:rsidRDefault="00D550B1" w:rsidP="00F41EE9"/>
        </w:tc>
        <w:tc>
          <w:tcPr>
            <w:tcW w:w="1701" w:type="dxa"/>
            <w:vAlign w:val="center"/>
          </w:tcPr>
          <w:p w14:paraId="31233ACF" w14:textId="77777777" w:rsidR="00D550B1" w:rsidRPr="00C41814" w:rsidRDefault="00D550B1" w:rsidP="00F41EE9"/>
        </w:tc>
        <w:tc>
          <w:tcPr>
            <w:tcW w:w="992" w:type="dxa"/>
            <w:vAlign w:val="center"/>
          </w:tcPr>
          <w:p w14:paraId="2F93D6F7" w14:textId="77777777" w:rsidR="00D550B1" w:rsidRPr="00C41814" w:rsidRDefault="00D550B1" w:rsidP="00F41EE9"/>
        </w:tc>
        <w:tc>
          <w:tcPr>
            <w:tcW w:w="1134" w:type="dxa"/>
            <w:vAlign w:val="center"/>
          </w:tcPr>
          <w:p w14:paraId="55AA8B4F" w14:textId="77777777" w:rsidR="00D550B1" w:rsidRPr="00C41814" w:rsidRDefault="00D550B1" w:rsidP="00F41EE9"/>
        </w:tc>
      </w:tr>
      <w:tr w:rsidR="00C41814" w:rsidRPr="00C41814" w14:paraId="29AFBD2B" w14:textId="77777777" w:rsidTr="00F41EE9">
        <w:trPr>
          <w:trHeight w:val="567"/>
        </w:trPr>
        <w:tc>
          <w:tcPr>
            <w:tcW w:w="1843" w:type="dxa"/>
            <w:vAlign w:val="center"/>
          </w:tcPr>
          <w:p w14:paraId="7FE1BA3B" w14:textId="77777777" w:rsidR="00D550B1" w:rsidRPr="00C41814" w:rsidRDefault="00D550B1" w:rsidP="00F41EE9">
            <w:r w:rsidRPr="00C41814">
              <w:lastRenderedPageBreak/>
              <w:t>No proceedings</w:t>
            </w:r>
          </w:p>
        </w:tc>
        <w:tc>
          <w:tcPr>
            <w:tcW w:w="1701" w:type="dxa"/>
            <w:vAlign w:val="center"/>
          </w:tcPr>
          <w:p w14:paraId="11B25974" w14:textId="77777777" w:rsidR="00D550B1" w:rsidRPr="00C41814" w:rsidRDefault="00D550B1" w:rsidP="00F41EE9">
            <w:pPr>
              <w:jc w:val="right"/>
            </w:pPr>
            <w:r w:rsidRPr="00C41814">
              <w:t xml:space="preserve">3,696 </w:t>
            </w:r>
          </w:p>
        </w:tc>
        <w:tc>
          <w:tcPr>
            <w:tcW w:w="993" w:type="dxa"/>
            <w:vAlign w:val="center"/>
          </w:tcPr>
          <w:p w14:paraId="021E7FE6" w14:textId="77777777" w:rsidR="00D550B1" w:rsidRPr="00C41814" w:rsidRDefault="00D550B1" w:rsidP="00F41EE9">
            <w:pPr>
              <w:jc w:val="right"/>
            </w:pPr>
            <w:r w:rsidRPr="00C41814">
              <w:t>(32.1%)</w:t>
            </w:r>
          </w:p>
        </w:tc>
        <w:tc>
          <w:tcPr>
            <w:tcW w:w="1134" w:type="dxa"/>
            <w:vMerge w:val="restart"/>
            <w:vAlign w:val="center"/>
          </w:tcPr>
          <w:p w14:paraId="671D5C57" w14:textId="77777777" w:rsidR="00D550B1" w:rsidRPr="00C41814" w:rsidRDefault="00D550B1" w:rsidP="00F41EE9">
            <w:pPr>
              <w:jc w:val="right"/>
            </w:pPr>
            <w:r w:rsidRPr="00C41814">
              <w:rPr>
                <w:noProof/>
                <w:lang w:eastAsia="en-GB"/>
              </w:rPr>
              <mc:AlternateContent>
                <mc:Choice Requires="wps">
                  <w:drawing>
                    <wp:anchor distT="0" distB="0" distL="114300" distR="114300" simplePos="0" relativeHeight="251659264" behindDoc="0" locked="0" layoutInCell="1" allowOverlap="1" wp14:anchorId="66F73AC0" wp14:editId="3595CCCA">
                      <wp:simplePos x="0" y="0"/>
                      <wp:positionH relativeFrom="margin">
                        <wp:posOffset>-11430</wp:posOffset>
                      </wp:positionH>
                      <wp:positionV relativeFrom="paragraph">
                        <wp:posOffset>29845</wp:posOffset>
                      </wp:positionV>
                      <wp:extent cx="102235" cy="721360"/>
                      <wp:effectExtent l="0" t="0" r="31115" b="21590"/>
                      <wp:wrapNone/>
                      <wp:docPr id="1" name="Right Brace 1"/>
                      <wp:cNvGraphicFramePr/>
                      <a:graphic xmlns:a="http://schemas.openxmlformats.org/drawingml/2006/main">
                        <a:graphicData uri="http://schemas.microsoft.com/office/word/2010/wordprocessingShape">
                          <wps:wsp>
                            <wps:cNvSpPr/>
                            <wps:spPr>
                              <a:xfrm>
                                <a:off x="0" y="0"/>
                                <a:ext cx="102235" cy="72136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8A0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9pt;margin-top:2.35pt;width:8.05pt;height:5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" adj="255" strokecolor="black [3213]">
                      <w10:wrap anchorx="margin"/>
                    </v:shape>
                  </w:pict>
                </mc:Fallback>
              </mc:AlternateContent>
            </w:r>
          </w:p>
          <w:p w14:paraId="6C6C61E0" w14:textId="77777777" w:rsidR="00D550B1" w:rsidRPr="00C41814" w:rsidRDefault="00D550B1" w:rsidP="00F41EE9">
            <w:pPr>
              <w:jc w:val="right"/>
              <w:rPr>
                <w:sz w:val="16"/>
              </w:rPr>
            </w:pPr>
          </w:p>
          <w:p w14:paraId="14F3D147" w14:textId="77777777" w:rsidR="00D550B1" w:rsidRPr="00C41814" w:rsidRDefault="00D550B1" w:rsidP="00F41EE9">
            <w:pPr>
              <w:jc w:val="right"/>
            </w:pPr>
            <w:r w:rsidRPr="00C41814">
              <w:t>(62.2%)</w:t>
            </w:r>
          </w:p>
        </w:tc>
        <w:tc>
          <w:tcPr>
            <w:tcW w:w="1701" w:type="dxa"/>
            <w:vAlign w:val="center"/>
          </w:tcPr>
          <w:p w14:paraId="68B050DB" w14:textId="77777777" w:rsidR="00D550B1" w:rsidRPr="00C41814" w:rsidRDefault="00D550B1" w:rsidP="00F41EE9">
            <w:pPr>
              <w:jc w:val="right"/>
            </w:pPr>
            <w:r w:rsidRPr="00C41814">
              <w:t xml:space="preserve">1,717 </w:t>
            </w:r>
          </w:p>
        </w:tc>
        <w:tc>
          <w:tcPr>
            <w:tcW w:w="992" w:type="dxa"/>
            <w:vAlign w:val="center"/>
          </w:tcPr>
          <w:p w14:paraId="4F1AC703" w14:textId="77777777" w:rsidR="00D550B1" w:rsidRPr="00C41814" w:rsidRDefault="00D550B1" w:rsidP="00F41EE9">
            <w:pPr>
              <w:jc w:val="right"/>
            </w:pPr>
            <w:r w:rsidRPr="00C41814">
              <w:t>(28.5%)</w:t>
            </w:r>
          </w:p>
        </w:tc>
        <w:tc>
          <w:tcPr>
            <w:tcW w:w="1134" w:type="dxa"/>
            <w:vMerge w:val="restart"/>
            <w:vAlign w:val="center"/>
          </w:tcPr>
          <w:p w14:paraId="515195AE" w14:textId="77777777" w:rsidR="00D550B1" w:rsidRPr="00C41814" w:rsidRDefault="00D550B1" w:rsidP="00F41EE9">
            <w:pPr>
              <w:jc w:val="right"/>
            </w:pPr>
            <w:r w:rsidRPr="00C41814">
              <w:rPr>
                <w:noProof/>
                <w:lang w:eastAsia="en-GB"/>
              </w:rPr>
              <mc:AlternateContent>
                <mc:Choice Requires="wps">
                  <w:drawing>
                    <wp:anchor distT="0" distB="0" distL="114300" distR="114300" simplePos="0" relativeHeight="251660288" behindDoc="0" locked="0" layoutInCell="1" allowOverlap="1" wp14:anchorId="4EDE3095" wp14:editId="3CFA9DBE">
                      <wp:simplePos x="0" y="0"/>
                      <wp:positionH relativeFrom="margin">
                        <wp:posOffset>-27305</wp:posOffset>
                      </wp:positionH>
                      <wp:positionV relativeFrom="paragraph">
                        <wp:posOffset>26670</wp:posOffset>
                      </wp:positionV>
                      <wp:extent cx="102235" cy="721360"/>
                      <wp:effectExtent l="0" t="0" r="31115" b="21590"/>
                      <wp:wrapNone/>
                      <wp:docPr id="8" name="Right Brace 8"/>
                      <wp:cNvGraphicFramePr/>
                      <a:graphic xmlns:a="http://schemas.openxmlformats.org/drawingml/2006/main">
                        <a:graphicData uri="http://schemas.microsoft.com/office/word/2010/wordprocessingShape">
                          <wps:wsp>
                            <wps:cNvSpPr/>
                            <wps:spPr>
                              <a:xfrm>
                                <a:off x="0" y="0"/>
                                <a:ext cx="102235" cy="72136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8BDA" id="Right Brace 8" o:spid="_x0000_s1026" type="#_x0000_t88" style="position:absolute;margin-left:-2.15pt;margin-top:2.1pt;width:8.05pt;height:5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" adj="255" strokecolor="black [3213]">
                      <w10:wrap anchorx="margin"/>
                    </v:shape>
                  </w:pict>
                </mc:Fallback>
              </mc:AlternateContent>
            </w:r>
          </w:p>
          <w:p w14:paraId="41E81B03" w14:textId="77777777" w:rsidR="00D550B1" w:rsidRPr="00C41814" w:rsidRDefault="00D550B1" w:rsidP="00F41EE9">
            <w:pPr>
              <w:jc w:val="right"/>
              <w:rPr>
                <w:sz w:val="16"/>
              </w:rPr>
            </w:pPr>
          </w:p>
          <w:p w14:paraId="00612406" w14:textId="77777777" w:rsidR="00D550B1" w:rsidRPr="00C41814" w:rsidRDefault="00D550B1" w:rsidP="00F41EE9">
            <w:pPr>
              <w:jc w:val="right"/>
            </w:pPr>
            <w:r w:rsidRPr="00C41814">
              <w:t>(57.8%)</w:t>
            </w:r>
          </w:p>
        </w:tc>
      </w:tr>
      <w:tr w:rsidR="00C41814" w:rsidRPr="00C41814" w14:paraId="1A22A8E4" w14:textId="77777777" w:rsidTr="00F41EE9">
        <w:trPr>
          <w:trHeight w:val="567"/>
        </w:trPr>
        <w:tc>
          <w:tcPr>
            <w:tcW w:w="1843" w:type="dxa"/>
            <w:vAlign w:val="center"/>
          </w:tcPr>
          <w:p w14:paraId="55F8DCEF" w14:textId="77777777" w:rsidR="00D550B1" w:rsidRPr="00C41814" w:rsidRDefault="00D550B1" w:rsidP="00F41EE9">
            <w:r w:rsidRPr="00C41814">
              <w:t>Proceedings</w:t>
            </w:r>
          </w:p>
        </w:tc>
        <w:tc>
          <w:tcPr>
            <w:tcW w:w="1701" w:type="dxa"/>
            <w:vAlign w:val="center"/>
          </w:tcPr>
          <w:p w14:paraId="47409B89" w14:textId="77777777" w:rsidR="00D550B1" w:rsidRPr="00C41814" w:rsidRDefault="00D550B1" w:rsidP="00F41EE9">
            <w:pPr>
              <w:jc w:val="right"/>
            </w:pPr>
            <w:r w:rsidRPr="00C41814">
              <w:t xml:space="preserve">3,327 </w:t>
            </w:r>
          </w:p>
        </w:tc>
        <w:tc>
          <w:tcPr>
            <w:tcW w:w="993" w:type="dxa"/>
            <w:vAlign w:val="center"/>
          </w:tcPr>
          <w:p w14:paraId="149BA107" w14:textId="77777777" w:rsidR="00D550B1" w:rsidRPr="00C41814" w:rsidRDefault="00D550B1" w:rsidP="00F41EE9">
            <w:pPr>
              <w:jc w:val="right"/>
            </w:pPr>
            <w:r w:rsidRPr="00C41814">
              <w:t>(28.9%)</w:t>
            </w:r>
          </w:p>
        </w:tc>
        <w:tc>
          <w:tcPr>
            <w:tcW w:w="1134" w:type="dxa"/>
            <w:vMerge/>
            <w:vAlign w:val="center"/>
          </w:tcPr>
          <w:p w14:paraId="317D3D3F" w14:textId="77777777" w:rsidR="00D550B1" w:rsidRPr="00C41814" w:rsidRDefault="00D550B1" w:rsidP="00F41EE9">
            <w:pPr>
              <w:jc w:val="right"/>
            </w:pPr>
          </w:p>
        </w:tc>
        <w:tc>
          <w:tcPr>
            <w:tcW w:w="1701" w:type="dxa"/>
            <w:vAlign w:val="center"/>
          </w:tcPr>
          <w:p w14:paraId="2CA35A1A" w14:textId="77777777" w:rsidR="00D550B1" w:rsidRPr="00C41814" w:rsidRDefault="00D550B1" w:rsidP="00F41EE9">
            <w:pPr>
              <w:jc w:val="right"/>
            </w:pPr>
            <w:r w:rsidRPr="00C41814">
              <w:t xml:space="preserve">1,748 </w:t>
            </w:r>
          </w:p>
        </w:tc>
        <w:tc>
          <w:tcPr>
            <w:tcW w:w="992" w:type="dxa"/>
            <w:vAlign w:val="center"/>
          </w:tcPr>
          <w:p w14:paraId="11C4647A" w14:textId="77777777" w:rsidR="00D550B1" w:rsidRPr="00C41814" w:rsidRDefault="00D550B1" w:rsidP="00F41EE9">
            <w:pPr>
              <w:jc w:val="right"/>
            </w:pPr>
            <w:r w:rsidRPr="00C41814">
              <w:t>(29.4%)</w:t>
            </w:r>
          </w:p>
        </w:tc>
        <w:tc>
          <w:tcPr>
            <w:tcW w:w="1134" w:type="dxa"/>
            <w:vMerge/>
            <w:vAlign w:val="center"/>
          </w:tcPr>
          <w:p w14:paraId="364F454F" w14:textId="77777777" w:rsidR="00D550B1" w:rsidRPr="00C41814" w:rsidRDefault="00D550B1" w:rsidP="00F41EE9">
            <w:pPr>
              <w:jc w:val="right"/>
            </w:pPr>
          </w:p>
        </w:tc>
      </w:tr>
      <w:tr w:rsidR="00C41814" w:rsidRPr="00C41814" w14:paraId="60C998BA" w14:textId="77777777" w:rsidTr="00F41EE9">
        <w:trPr>
          <w:trHeight w:val="567"/>
        </w:trPr>
        <w:tc>
          <w:tcPr>
            <w:tcW w:w="1843" w:type="dxa"/>
            <w:vAlign w:val="center"/>
          </w:tcPr>
          <w:p w14:paraId="3EB5E75A" w14:textId="77777777" w:rsidR="00D550B1" w:rsidRPr="00C41814" w:rsidRDefault="00D550B1" w:rsidP="00F41EE9">
            <w:r w:rsidRPr="00C41814">
              <w:t>Trial</w:t>
            </w:r>
          </w:p>
        </w:tc>
        <w:tc>
          <w:tcPr>
            <w:tcW w:w="1701" w:type="dxa"/>
            <w:vAlign w:val="center"/>
          </w:tcPr>
          <w:p w14:paraId="63794E32" w14:textId="77777777" w:rsidR="00D550B1" w:rsidRPr="00C41814" w:rsidRDefault="00D550B1" w:rsidP="00F41EE9">
            <w:pPr>
              <w:jc w:val="right"/>
            </w:pPr>
            <w:r w:rsidRPr="00C41814">
              <w:t xml:space="preserve">25 </w:t>
            </w:r>
          </w:p>
        </w:tc>
        <w:tc>
          <w:tcPr>
            <w:tcW w:w="993" w:type="dxa"/>
            <w:vAlign w:val="center"/>
          </w:tcPr>
          <w:p w14:paraId="3FB9C096" w14:textId="77777777" w:rsidR="00D550B1" w:rsidRPr="00C41814" w:rsidRDefault="00D550B1" w:rsidP="00F41EE9">
            <w:pPr>
              <w:jc w:val="right"/>
            </w:pPr>
            <w:r w:rsidRPr="00C41814">
              <w:t>(0.2%)</w:t>
            </w:r>
          </w:p>
        </w:tc>
        <w:tc>
          <w:tcPr>
            <w:tcW w:w="1134" w:type="dxa"/>
            <w:vMerge/>
            <w:vAlign w:val="center"/>
          </w:tcPr>
          <w:p w14:paraId="541E0DF6" w14:textId="77777777" w:rsidR="00D550B1" w:rsidRPr="00C41814" w:rsidRDefault="00D550B1" w:rsidP="00F41EE9">
            <w:pPr>
              <w:jc w:val="right"/>
            </w:pPr>
          </w:p>
        </w:tc>
        <w:tc>
          <w:tcPr>
            <w:tcW w:w="1701" w:type="dxa"/>
            <w:vAlign w:val="center"/>
          </w:tcPr>
          <w:p w14:paraId="200A7D8C" w14:textId="77777777" w:rsidR="00D550B1" w:rsidRPr="00C41814" w:rsidRDefault="00D550B1" w:rsidP="00F41EE9">
            <w:pPr>
              <w:jc w:val="right"/>
            </w:pPr>
            <w:r w:rsidRPr="00C41814">
              <w:t xml:space="preserve">13 </w:t>
            </w:r>
          </w:p>
        </w:tc>
        <w:tc>
          <w:tcPr>
            <w:tcW w:w="992" w:type="dxa"/>
            <w:vAlign w:val="center"/>
          </w:tcPr>
          <w:p w14:paraId="4D7F1BE8" w14:textId="77777777" w:rsidR="00D550B1" w:rsidRPr="00C41814" w:rsidRDefault="00D550B1" w:rsidP="00F41EE9">
            <w:pPr>
              <w:jc w:val="right"/>
            </w:pPr>
            <w:r w:rsidRPr="00C41814">
              <w:t>(0.22%)</w:t>
            </w:r>
          </w:p>
        </w:tc>
        <w:tc>
          <w:tcPr>
            <w:tcW w:w="1134" w:type="dxa"/>
            <w:vMerge/>
            <w:vAlign w:val="center"/>
          </w:tcPr>
          <w:p w14:paraId="205E6807" w14:textId="77777777" w:rsidR="00D550B1" w:rsidRPr="00C41814" w:rsidRDefault="00D550B1" w:rsidP="00F41EE9">
            <w:pPr>
              <w:jc w:val="right"/>
            </w:pPr>
          </w:p>
        </w:tc>
      </w:tr>
      <w:tr w:rsidR="00C41814" w:rsidRPr="00C41814" w14:paraId="637D1E60" w14:textId="77777777" w:rsidTr="00F41EE9">
        <w:tc>
          <w:tcPr>
            <w:tcW w:w="1843" w:type="dxa"/>
            <w:vAlign w:val="center"/>
          </w:tcPr>
          <w:p w14:paraId="30F4FCA6" w14:textId="77777777" w:rsidR="00D550B1" w:rsidRPr="00C41814" w:rsidRDefault="00D550B1" w:rsidP="00F41EE9"/>
        </w:tc>
        <w:tc>
          <w:tcPr>
            <w:tcW w:w="1701" w:type="dxa"/>
          </w:tcPr>
          <w:p w14:paraId="418D476B" w14:textId="77777777" w:rsidR="00D550B1" w:rsidRPr="00C41814" w:rsidRDefault="00D550B1" w:rsidP="00F41EE9">
            <w:pPr>
              <w:jc w:val="right"/>
            </w:pPr>
          </w:p>
        </w:tc>
        <w:tc>
          <w:tcPr>
            <w:tcW w:w="993" w:type="dxa"/>
          </w:tcPr>
          <w:p w14:paraId="63F9A8EA" w14:textId="77777777" w:rsidR="00D550B1" w:rsidRPr="00C41814" w:rsidRDefault="00D550B1" w:rsidP="00F41EE9">
            <w:pPr>
              <w:jc w:val="right"/>
            </w:pPr>
          </w:p>
        </w:tc>
        <w:tc>
          <w:tcPr>
            <w:tcW w:w="1134" w:type="dxa"/>
          </w:tcPr>
          <w:p w14:paraId="7BD1F910" w14:textId="77777777" w:rsidR="00D550B1" w:rsidRPr="00C41814" w:rsidRDefault="00D550B1" w:rsidP="00F41EE9">
            <w:pPr>
              <w:jc w:val="right"/>
            </w:pPr>
          </w:p>
        </w:tc>
        <w:tc>
          <w:tcPr>
            <w:tcW w:w="1701" w:type="dxa"/>
          </w:tcPr>
          <w:p w14:paraId="414CD5C5" w14:textId="77777777" w:rsidR="00D550B1" w:rsidRPr="00C41814" w:rsidRDefault="00D550B1" w:rsidP="00F41EE9">
            <w:pPr>
              <w:jc w:val="right"/>
            </w:pPr>
          </w:p>
        </w:tc>
        <w:tc>
          <w:tcPr>
            <w:tcW w:w="992" w:type="dxa"/>
          </w:tcPr>
          <w:p w14:paraId="3BB1C341" w14:textId="77777777" w:rsidR="00D550B1" w:rsidRPr="00C41814" w:rsidRDefault="00D550B1" w:rsidP="00F41EE9">
            <w:pPr>
              <w:jc w:val="right"/>
            </w:pPr>
          </w:p>
        </w:tc>
        <w:tc>
          <w:tcPr>
            <w:tcW w:w="1134" w:type="dxa"/>
          </w:tcPr>
          <w:p w14:paraId="2D9C628A" w14:textId="77777777" w:rsidR="00D550B1" w:rsidRPr="00C41814" w:rsidRDefault="00D550B1" w:rsidP="00F41EE9">
            <w:pPr>
              <w:jc w:val="right"/>
            </w:pPr>
          </w:p>
        </w:tc>
      </w:tr>
      <w:tr w:rsidR="00C41814" w:rsidRPr="00C41814" w14:paraId="798D23B9" w14:textId="77777777" w:rsidTr="00F41EE9">
        <w:trPr>
          <w:trHeight w:val="425"/>
        </w:trPr>
        <w:tc>
          <w:tcPr>
            <w:tcW w:w="1843" w:type="dxa"/>
            <w:vAlign w:val="center"/>
          </w:tcPr>
          <w:p w14:paraId="52032556" w14:textId="77777777" w:rsidR="00D550B1" w:rsidRPr="00C41814" w:rsidRDefault="00D550B1" w:rsidP="00F41EE9">
            <w:r w:rsidRPr="00C41814">
              <w:t>Damages</w:t>
            </w:r>
          </w:p>
        </w:tc>
        <w:tc>
          <w:tcPr>
            <w:tcW w:w="1701" w:type="dxa"/>
            <w:vAlign w:val="center"/>
          </w:tcPr>
          <w:p w14:paraId="5DBC33A0" w14:textId="77777777" w:rsidR="00D550B1" w:rsidRPr="00C41814" w:rsidRDefault="00D550B1" w:rsidP="00F41EE9"/>
        </w:tc>
        <w:tc>
          <w:tcPr>
            <w:tcW w:w="993" w:type="dxa"/>
            <w:vAlign w:val="center"/>
          </w:tcPr>
          <w:p w14:paraId="181563BC" w14:textId="77777777" w:rsidR="00D550B1" w:rsidRPr="00C41814" w:rsidRDefault="00D550B1" w:rsidP="00F41EE9"/>
        </w:tc>
        <w:tc>
          <w:tcPr>
            <w:tcW w:w="1134" w:type="dxa"/>
            <w:vAlign w:val="center"/>
          </w:tcPr>
          <w:p w14:paraId="079FD846" w14:textId="77777777" w:rsidR="00D550B1" w:rsidRPr="00C41814" w:rsidRDefault="00D550B1" w:rsidP="00F41EE9"/>
        </w:tc>
        <w:tc>
          <w:tcPr>
            <w:tcW w:w="1701" w:type="dxa"/>
            <w:vAlign w:val="center"/>
          </w:tcPr>
          <w:p w14:paraId="1A38B905" w14:textId="77777777" w:rsidR="00D550B1" w:rsidRPr="00C41814" w:rsidRDefault="00D550B1" w:rsidP="00F41EE9"/>
        </w:tc>
        <w:tc>
          <w:tcPr>
            <w:tcW w:w="992" w:type="dxa"/>
            <w:vAlign w:val="center"/>
          </w:tcPr>
          <w:p w14:paraId="0D1EA227" w14:textId="77777777" w:rsidR="00D550B1" w:rsidRPr="00C41814" w:rsidRDefault="00D550B1" w:rsidP="00F41EE9"/>
        </w:tc>
        <w:tc>
          <w:tcPr>
            <w:tcW w:w="1134" w:type="dxa"/>
            <w:vAlign w:val="center"/>
          </w:tcPr>
          <w:p w14:paraId="6B3F6185" w14:textId="77777777" w:rsidR="00D550B1" w:rsidRPr="00C41814" w:rsidRDefault="00D550B1" w:rsidP="00F41EE9"/>
        </w:tc>
      </w:tr>
      <w:tr w:rsidR="00C41814" w:rsidRPr="00C41814" w14:paraId="192F6D2D" w14:textId="77777777" w:rsidTr="00F41EE9">
        <w:trPr>
          <w:trHeight w:val="850"/>
        </w:trPr>
        <w:tc>
          <w:tcPr>
            <w:tcW w:w="1843" w:type="dxa"/>
            <w:vAlign w:val="center"/>
          </w:tcPr>
          <w:p w14:paraId="36A06C84" w14:textId="77777777" w:rsidR="00D550B1" w:rsidRPr="00C41814" w:rsidRDefault="00D550B1" w:rsidP="00F41EE9">
            <w:r w:rsidRPr="00C41814">
              <w:t>No proceedings (settled with negotiation)</w:t>
            </w:r>
          </w:p>
        </w:tc>
        <w:tc>
          <w:tcPr>
            <w:tcW w:w="1701" w:type="dxa"/>
            <w:vAlign w:val="center"/>
          </w:tcPr>
          <w:p w14:paraId="436FC49E" w14:textId="77777777" w:rsidR="00D550B1" w:rsidRPr="00C41814" w:rsidRDefault="00D550B1" w:rsidP="00F41EE9">
            <w:pPr>
              <w:jc w:val="right"/>
            </w:pPr>
            <w:r w:rsidRPr="00C41814">
              <w:t>£97.5 million</w:t>
            </w:r>
          </w:p>
        </w:tc>
        <w:tc>
          <w:tcPr>
            <w:tcW w:w="993" w:type="dxa"/>
            <w:vAlign w:val="center"/>
          </w:tcPr>
          <w:p w14:paraId="31D6B1DF" w14:textId="77777777" w:rsidR="00D550B1" w:rsidRPr="00C41814" w:rsidRDefault="00D550B1" w:rsidP="00F41EE9">
            <w:pPr>
              <w:jc w:val="right"/>
            </w:pPr>
          </w:p>
        </w:tc>
        <w:tc>
          <w:tcPr>
            <w:tcW w:w="1134" w:type="dxa"/>
            <w:vAlign w:val="center"/>
          </w:tcPr>
          <w:p w14:paraId="14729500" w14:textId="77777777" w:rsidR="00D550B1" w:rsidRPr="00C41814" w:rsidRDefault="00D550B1" w:rsidP="00F41EE9">
            <w:pPr>
              <w:jc w:val="right"/>
            </w:pPr>
          </w:p>
        </w:tc>
        <w:tc>
          <w:tcPr>
            <w:tcW w:w="1701" w:type="dxa"/>
            <w:vAlign w:val="center"/>
          </w:tcPr>
          <w:p w14:paraId="0ACAE470" w14:textId="77777777" w:rsidR="00D550B1" w:rsidRPr="00C41814" w:rsidRDefault="00D550B1" w:rsidP="00F41EE9">
            <w:pPr>
              <w:jc w:val="right"/>
            </w:pPr>
            <w:r w:rsidRPr="00C41814">
              <w:t>£45.4 million</w:t>
            </w:r>
          </w:p>
        </w:tc>
        <w:tc>
          <w:tcPr>
            <w:tcW w:w="992" w:type="dxa"/>
            <w:vAlign w:val="center"/>
          </w:tcPr>
          <w:p w14:paraId="24AA6273" w14:textId="77777777" w:rsidR="00D550B1" w:rsidRPr="00C41814" w:rsidRDefault="00D550B1" w:rsidP="00F41EE9">
            <w:pPr>
              <w:jc w:val="right"/>
            </w:pPr>
          </w:p>
        </w:tc>
        <w:tc>
          <w:tcPr>
            <w:tcW w:w="1134" w:type="dxa"/>
            <w:vAlign w:val="center"/>
          </w:tcPr>
          <w:p w14:paraId="378F8D60" w14:textId="77777777" w:rsidR="00D550B1" w:rsidRPr="00C41814" w:rsidRDefault="00D550B1" w:rsidP="00F41EE9">
            <w:pPr>
              <w:jc w:val="right"/>
            </w:pPr>
          </w:p>
        </w:tc>
      </w:tr>
      <w:tr w:rsidR="00C41814" w:rsidRPr="00C41814" w14:paraId="5837EEA5" w14:textId="77777777" w:rsidTr="00F41EE9">
        <w:tc>
          <w:tcPr>
            <w:tcW w:w="1843" w:type="dxa"/>
            <w:vAlign w:val="center"/>
          </w:tcPr>
          <w:p w14:paraId="4B7C0DE5" w14:textId="77777777" w:rsidR="00D550B1" w:rsidRPr="00C41814" w:rsidRDefault="00D550B1" w:rsidP="00F41EE9">
            <w:r w:rsidRPr="00C41814">
              <w:t xml:space="preserve">With proceedings/trial (immediate payment, plus periodic </w:t>
            </w:r>
            <w:proofErr w:type="gramStart"/>
            <w:r w:rsidRPr="00C41814">
              <w:t>payments</w:t>
            </w:r>
            <w:proofErr w:type="gramEnd"/>
            <w:r w:rsidRPr="00C41814">
              <w:t xml:space="preserve"> and estimates for future)</w:t>
            </w:r>
          </w:p>
        </w:tc>
        <w:tc>
          <w:tcPr>
            <w:tcW w:w="1701" w:type="dxa"/>
            <w:vAlign w:val="center"/>
          </w:tcPr>
          <w:p w14:paraId="712DED05" w14:textId="77777777" w:rsidR="00D550B1" w:rsidRPr="00C41814" w:rsidRDefault="00D550B1" w:rsidP="00F41EE9">
            <w:pPr>
              <w:jc w:val="right"/>
            </w:pPr>
            <w:r w:rsidRPr="00C41814">
              <w:t>£1,344.1 million</w:t>
            </w:r>
          </w:p>
          <w:p w14:paraId="09EAC910" w14:textId="77777777" w:rsidR="00D550B1" w:rsidRPr="00C41814" w:rsidRDefault="00D550B1" w:rsidP="00F41EE9">
            <w:pPr>
              <w:jc w:val="right"/>
            </w:pPr>
            <w:r w:rsidRPr="00C41814">
              <w:t>(~£1.34 billion)</w:t>
            </w:r>
          </w:p>
        </w:tc>
        <w:tc>
          <w:tcPr>
            <w:tcW w:w="993" w:type="dxa"/>
            <w:vAlign w:val="center"/>
          </w:tcPr>
          <w:p w14:paraId="0F302230" w14:textId="77777777" w:rsidR="00D550B1" w:rsidRPr="00C41814" w:rsidRDefault="00D550B1" w:rsidP="00F41EE9">
            <w:pPr>
              <w:jc w:val="right"/>
            </w:pPr>
          </w:p>
        </w:tc>
        <w:tc>
          <w:tcPr>
            <w:tcW w:w="1134" w:type="dxa"/>
            <w:vAlign w:val="center"/>
          </w:tcPr>
          <w:p w14:paraId="449C47D4" w14:textId="77777777" w:rsidR="00D550B1" w:rsidRPr="00C41814" w:rsidRDefault="00D550B1" w:rsidP="00F41EE9">
            <w:pPr>
              <w:jc w:val="right"/>
            </w:pPr>
          </w:p>
        </w:tc>
        <w:tc>
          <w:tcPr>
            <w:tcW w:w="1701" w:type="dxa"/>
            <w:vAlign w:val="center"/>
          </w:tcPr>
          <w:p w14:paraId="3A7C794A" w14:textId="77777777" w:rsidR="00D550B1" w:rsidRPr="00C41814" w:rsidRDefault="00D550B1" w:rsidP="00F41EE9">
            <w:pPr>
              <w:jc w:val="right"/>
            </w:pPr>
            <w:r w:rsidRPr="00C41814">
              <w:t>£554.8 million</w:t>
            </w:r>
          </w:p>
        </w:tc>
        <w:tc>
          <w:tcPr>
            <w:tcW w:w="992" w:type="dxa"/>
            <w:vAlign w:val="center"/>
          </w:tcPr>
          <w:p w14:paraId="5445ED97" w14:textId="77777777" w:rsidR="00D550B1" w:rsidRPr="00C41814" w:rsidRDefault="00D550B1" w:rsidP="00F41EE9">
            <w:pPr>
              <w:jc w:val="right"/>
            </w:pPr>
          </w:p>
        </w:tc>
        <w:tc>
          <w:tcPr>
            <w:tcW w:w="1134" w:type="dxa"/>
            <w:vAlign w:val="center"/>
          </w:tcPr>
          <w:p w14:paraId="19B88E4D" w14:textId="77777777" w:rsidR="00D550B1" w:rsidRPr="00C41814" w:rsidRDefault="00D550B1" w:rsidP="00F41EE9">
            <w:pPr>
              <w:jc w:val="right"/>
            </w:pPr>
          </w:p>
        </w:tc>
      </w:tr>
    </w:tbl>
    <w:p w14:paraId="0A151C9C" w14:textId="77777777" w:rsidR="00D550B1" w:rsidRPr="00C41814" w:rsidRDefault="00D550B1" w:rsidP="00D550B1"/>
    <w:p w14:paraId="4DD1C302" w14:textId="77777777" w:rsidR="00D550B1" w:rsidRPr="00C41814" w:rsidRDefault="00D550B1" w:rsidP="008E5806">
      <w:pPr>
        <w:tabs>
          <w:tab w:val="left" w:pos="7938"/>
          <w:tab w:val="left" w:pos="8222"/>
          <w:tab w:val="left" w:pos="8505"/>
        </w:tabs>
        <w:spacing w:line="360" w:lineRule="auto"/>
        <w:rPr>
          <w:rFonts w:asciiTheme="minorHAnsi" w:hAnsiTheme="minorHAnsi" w:cstheme="minorBidi"/>
          <w:i/>
          <w:sz w:val="20"/>
        </w:rPr>
      </w:pPr>
    </w:p>
    <w:p w14:paraId="140D1767" w14:textId="77777777" w:rsidR="00836EA6" w:rsidRPr="00C41814" w:rsidRDefault="00836EA6">
      <w:pPr>
        <w:tabs>
          <w:tab w:val="left" w:pos="7938"/>
          <w:tab w:val="left" w:pos="8222"/>
          <w:tab w:val="left" w:pos="8505"/>
        </w:tabs>
        <w:spacing w:line="360" w:lineRule="auto"/>
        <w:rPr>
          <w:rFonts w:asciiTheme="minorHAnsi" w:hAnsiTheme="minorHAnsi" w:cstheme="minorBidi"/>
          <w:i/>
          <w:sz w:val="20"/>
        </w:rPr>
      </w:pPr>
    </w:p>
    <w:sectPr w:rsidR="00836EA6" w:rsidRPr="00C41814" w:rsidSect="00D468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3305" w14:textId="77777777" w:rsidR="00EB3610" w:rsidRDefault="00EB3610" w:rsidP="00866941">
      <w:r>
        <w:separator/>
      </w:r>
    </w:p>
  </w:endnote>
  <w:endnote w:type="continuationSeparator" w:id="0">
    <w:p w14:paraId="50DFEE5E" w14:textId="77777777" w:rsidR="00EB3610" w:rsidRDefault="00EB3610" w:rsidP="008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CDF0" w14:textId="77777777" w:rsidR="00E87221" w:rsidRDefault="00E8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457071"/>
      <w:docPartObj>
        <w:docPartGallery w:val="Page Numbers (Bottom of Page)"/>
        <w:docPartUnique/>
      </w:docPartObj>
    </w:sdtPr>
    <w:sdtEndPr>
      <w:rPr>
        <w:noProof/>
      </w:rPr>
    </w:sdtEndPr>
    <w:sdtContent>
      <w:p w14:paraId="6D7AB92E" w14:textId="7C547633" w:rsidR="00E87221" w:rsidRDefault="00E87221">
        <w:pPr>
          <w:pStyle w:val="Footer"/>
          <w:jc w:val="center"/>
        </w:pPr>
        <w:r>
          <w:fldChar w:fldCharType="begin"/>
        </w:r>
        <w:r>
          <w:instrText xml:space="preserve"> PAGE   \* MERGEFORMAT </w:instrText>
        </w:r>
        <w:r>
          <w:fldChar w:fldCharType="separate"/>
        </w:r>
        <w:r w:rsidR="00BB3992">
          <w:rPr>
            <w:noProof/>
          </w:rPr>
          <w:t>12</w:t>
        </w:r>
        <w:r>
          <w:rPr>
            <w:noProof/>
          </w:rPr>
          <w:fldChar w:fldCharType="end"/>
        </w:r>
      </w:p>
    </w:sdtContent>
  </w:sdt>
  <w:p w14:paraId="645FA94E" w14:textId="77777777" w:rsidR="00E87221" w:rsidRDefault="00E87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EDC2" w14:textId="77777777" w:rsidR="00E87221" w:rsidRDefault="00E8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E807" w14:textId="77777777" w:rsidR="00EB3610" w:rsidRDefault="00EB3610" w:rsidP="00866941">
      <w:r>
        <w:separator/>
      </w:r>
    </w:p>
  </w:footnote>
  <w:footnote w:type="continuationSeparator" w:id="0">
    <w:p w14:paraId="5033DC0F" w14:textId="77777777" w:rsidR="00EB3610" w:rsidRDefault="00EB3610" w:rsidP="00866941">
      <w:r>
        <w:continuationSeparator/>
      </w:r>
    </w:p>
  </w:footnote>
  <w:footnote w:id="1">
    <w:p w14:paraId="5F5C1AE8" w14:textId="32FF7DE3" w:rsidR="00821683" w:rsidRPr="00821683" w:rsidRDefault="00821683" w:rsidP="00821683">
      <w:pPr>
        <w:spacing w:after="200" w:line="276" w:lineRule="auto"/>
        <w:rPr>
          <w:sz w:val="20"/>
        </w:rPr>
      </w:pPr>
      <w:r>
        <w:t>*</w:t>
      </w:r>
      <w:r w:rsidRPr="00821683">
        <w:rPr>
          <w:i/>
        </w:rPr>
        <w:t xml:space="preserve"> </w:t>
      </w:r>
      <w:r w:rsidRPr="00821683">
        <w:rPr>
          <w:sz w:val="20"/>
        </w:rPr>
        <w:t xml:space="preserve">We are grateful </w:t>
      </w:r>
      <w:r>
        <w:rPr>
          <w:sz w:val="20"/>
        </w:rPr>
        <w:t xml:space="preserve">to the British Academy/ </w:t>
      </w:r>
      <w:r w:rsidRPr="00821683">
        <w:rPr>
          <w:sz w:val="20"/>
        </w:rPr>
        <w:t>Leverhulme (Small Research Grant SG 162407)</w:t>
      </w:r>
      <w:r>
        <w:rPr>
          <w:sz w:val="20"/>
        </w:rPr>
        <w:t xml:space="preserve"> for its generous support of the project</w:t>
      </w:r>
      <w:r w:rsidRPr="00821683">
        <w:rPr>
          <w:sz w:val="20"/>
        </w:rPr>
        <w:t xml:space="preserve">; </w:t>
      </w:r>
      <w:r>
        <w:rPr>
          <w:sz w:val="20"/>
        </w:rPr>
        <w:t xml:space="preserve">to </w:t>
      </w:r>
      <w:r w:rsidRPr="00821683">
        <w:rPr>
          <w:sz w:val="20"/>
        </w:rPr>
        <w:t xml:space="preserve">NHS Resolution (for sharing data and metrics); </w:t>
      </w:r>
      <w:r>
        <w:rPr>
          <w:sz w:val="20"/>
        </w:rPr>
        <w:t xml:space="preserve">to </w:t>
      </w:r>
      <w:r w:rsidRPr="00821683">
        <w:rPr>
          <w:sz w:val="20"/>
        </w:rPr>
        <w:t xml:space="preserve">Dr Conrad </w:t>
      </w:r>
      <w:proofErr w:type="spellStart"/>
      <w:r w:rsidRPr="00821683">
        <w:rPr>
          <w:sz w:val="20"/>
        </w:rPr>
        <w:t>Nyamutata</w:t>
      </w:r>
      <w:proofErr w:type="spellEnd"/>
      <w:r w:rsidRPr="00821683">
        <w:rPr>
          <w:sz w:val="20"/>
        </w:rPr>
        <w:t xml:space="preserve"> (for assistance with data collection and analysis); </w:t>
      </w:r>
      <w:r>
        <w:rPr>
          <w:sz w:val="20"/>
        </w:rPr>
        <w:t xml:space="preserve">to </w:t>
      </w:r>
      <w:r w:rsidRPr="00821683">
        <w:rPr>
          <w:sz w:val="20"/>
        </w:rPr>
        <w:t xml:space="preserve">Professor Jose Miola, Professor Margot Brazier and two anonymous reviewers for </w:t>
      </w:r>
      <w:r>
        <w:rPr>
          <w:sz w:val="20"/>
        </w:rPr>
        <w:t xml:space="preserve">their constructive </w:t>
      </w:r>
      <w:r w:rsidRPr="00821683">
        <w:rPr>
          <w:sz w:val="20"/>
        </w:rPr>
        <w:t>comments on earlier drafts of this paper.</w:t>
      </w:r>
    </w:p>
    <w:p w14:paraId="118A0DE6" w14:textId="7843E2AE" w:rsidR="00821683" w:rsidRDefault="00821683" w:rsidP="0067138A">
      <w:pPr>
        <w:pStyle w:val="FootnoteText"/>
      </w:pPr>
    </w:p>
    <w:p w14:paraId="68463944" w14:textId="2788166D" w:rsidR="00E87221" w:rsidRPr="008C632E" w:rsidRDefault="00E87221" w:rsidP="0067138A">
      <w:pPr>
        <w:pStyle w:val="FootnoteText"/>
        <w:rPr>
          <w:rFonts w:asciiTheme="minorHAnsi" w:hAnsiTheme="minorHAnsi"/>
        </w:rPr>
      </w:pPr>
      <w:r>
        <w:rPr>
          <w:rStyle w:val="FootnoteReference"/>
        </w:rPr>
        <w:footnoteRef/>
      </w:r>
      <w:r>
        <w:t xml:space="preserve"> </w:t>
      </w:r>
      <w:r w:rsidRPr="008C632E">
        <w:rPr>
          <w:rFonts w:asciiTheme="minorHAnsi" w:hAnsiTheme="minorHAnsi" w:cs="Arial"/>
          <w:bCs/>
          <w:i/>
          <w:iCs/>
          <w:color w:val="202122"/>
          <w:shd w:val="clear" w:color="auto" w:fill="FFFFFF"/>
        </w:rPr>
        <w:t>Bolam v Friern Hospital Management Committee</w:t>
      </w:r>
      <w:r w:rsidRPr="008C632E">
        <w:rPr>
          <w:rFonts w:asciiTheme="minorHAnsi" w:hAnsiTheme="minorHAnsi" w:cs="Arial"/>
          <w:color w:val="202122"/>
          <w:shd w:val="clear" w:color="auto" w:fill="FFFFFF"/>
        </w:rPr>
        <w:t> [1957] 1 WLR 582</w:t>
      </w:r>
      <w:r>
        <w:rPr>
          <w:rFonts w:asciiTheme="minorHAnsi" w:hAnsiTheme="minorHAnsi" w:cs="Arial"/>
          <w:color w:val="202122"/>
          <w:shd w:val="clear" w:color="auto" w:fill="FFFFFF"/>
        </w:rPr>
        <w:t xml:space="preserve">:587 </w:t>
      </w:r>
      <w:r w:rsidRPr="00AA7415">
        <w:rPr>
          <w:rFonts w:asciiTheme="minorHAnsi" w:hAnsiTheme="minorHAnsi" w:cs="Arial"/>
          <w:i/>
          <w:color w:val="202122"/>
          <w:shd w:val="clear" w:color="auto" w:fill="FFFFFF"/>
        </w:rPr>
        <w:t>per</w:t>
      </w:r>
      <w:r>
        <w:rPr>
          <w:rFonts w:asciiTheme="minorHAnsi" w:hAnsiTheme="minorHAnsi" w:cs="Arial"/>
          <w:color w:val="202122"/>
          <w:shd w:val="clear" w:color="auto" w:fill="FFFFFF"/>
        </w:rPr>
        <w:t xml:space="preserve"> </w:t>
      </w:r>
      <w:r w:rsidRPr="008C632E">
        <w:rPr>
          <w:rFonts w:asciiTheme="minorHAnsi" w:hAnsiTheme="minorHAnsi"/>
        </w:rPr>
        <w:t>McNair J</w:t>
      </w:r>
      <w:r>
        <w:rPr>
          <w:rFonts w:asciiTheme="minorHAnsi" w:hAnsiTheme="minorHAnsi"/>
        </w:rPr>
        <w:t>.</w:t>
      </w:r>
      <w:r w:rsidRPr="008C632E">
        <w:rPr>
          <w:rFonts w:asciiTheme="minorHAnsi" w:hAnsiTheme="minorHAnsi"/>
        </w:rPr>
        <w:t xml:space="preserve"> </w:t>
      </w:r>
    </w:p>
  </w:footnote>
  <w:footnote w:id="2">
    <w:p w14:paraId="690FE0CF" w14:textId="1D4578A9" w:rsidR="00E87221" w:rsidRDefault="00E87221" w:rsidP="0067138A">
      <w:pPr>
        <w:pStyle w:val="FootnoteText"/>
        <w:jc w:val="left"/>
      </w:pPr>
      <w:r w:rsidRPr="008C632E">
        <w:rPr>
          <w:rStyle w:val="FootnoteReference"/>
          <w:rFonts w:asciiTheme="minorHAnsi" w:hAnsiTheme="minorHAnsi"/>
        </w:rPr>
        <w:footnoteRef/>
      </w:r>
      <w:r>
        <w:rPr>
          <w:rFonts w:asciiTheme="minorHAnsi" w:hAnsiTheme="minorHAnsi"/>
        </w:rPr>
        <w:t xml:space="preserve"> H </w:t>
      </w:r>
      <w:r w:rsidRPr="008C632E">
        <w:rPr>
          <w:rFonts w:asciiTheme="minorHAnsi" w:hAnsiTheme="minorHAnsi"/>
        </w:rPr>
        <w:t>Teff</w:t>
      </w:r>
      <w:r>
        <w:rPr>
          <w:rFonts w:asciiTheme="minorHAnsi" w:hAnsiTheme="minorHAnsi"/>
        </w:rPr>
        <w:t>, ‘</w:t>
      </w:r>
      <w:r w:rsidRPr="008C632E">
        <w:rPr>
          <w:rFonts w:asciiTheme="minorHAnsi" w:hAnsiTheme="minorHAnsi"/>
        </w:rPr>
        <w:t xml:space="preserve">The standard of care in medical negligence – moving on from </w:t>
      </w:r>
      <w:r w:rsidRPr="008C632E">
        <w:rPr>
          <w:rFonts w:asciiTheme="minorHAnsi" w:hAnsiTheme="minorHAnsi"/>
          <w:i/>
        </w:rPr>
        <w:t>Bolam</w:t>
      </w:r>
      <w:r>
        <w:t xml:space="preserve"> (1998) 18 </w:t>
      </w:r>
      <w:r w:rsidRPr="00CA7B23">
        <w:rPr>
          <w:i/>
        </w:rPr>
        <w:t>O</w:t>
      </w:r>
      <w:r>
        <w:rPr>
          <w:i/>
        </w:rPr>
        <w:t>JLS</w:t>
      </w:r>
      <w:r>
        <w:t xml:space="preserve"> 473; M Brazier and </w:t>
      </w:r>
      <w:r w:rsidRPr="00257EBF">
        <w:t>J Miola, ‘Bye-bye Bolam:</w:t>
      </w:r>
      <w:r>
        <w:t xml:space="preserve"> A medical litigation revolution? (2000) 8 </w:t>
      </w:r>
      <w:r w:rsidRPr="00257EBF">
        <w:rPr>
          <w:i/>
        </w:rPr>
        <w:t>Med LR</w:t>
      </w:r>
      <w:r>
        <w:t xml:space="preserve"> 85-115.</w:t>
      </w:r>
    </w:p>
  </w:footnote>
  <w:footnote w:id="3">
    <w:p w14:paraId="55703777" w14:textId="65A84023" w:rsidR="00E87221" w:rsidRDefault="00E87221" w:rsidP="0067138A">
      <w:pPr>
        <w:pStyle w:val="FootnoteText"/>
        <w:jc w:val="left"/>
      </w:pPr>
      <w:r>
        <w:rPr>
          <w:rStyle w:val="FootnoteReference"/>
        </w:rPr>
        <w:footnoteRef/>
      </w:r>
      <w:r>
        <w:t xml:space="preserve"> Teff (n 2) 475.</w:t>
      </w:r>
    </w:p>
  </w:footnote>
  <w:footnote w:id="4">
    <w:p w14:paraId="4D0CAB58" w14:textId="0F14C3C7" w:rsidR="00E87221" w:rsidRPr="007C2810" w:rsidRDefault="00E87221" w:rsidP="0067138A">
      <w:pPr>
        <w:pStyle w:val="FootnoteText"/>
        <w:rPr>
          <w:rFonts w:asciiTheme="minorHAnsi" w:hAnsiTheme="minorHAnsi"/>
        </w:rPr>
      </w:pPr>
      <w:r>
        <w:rPr>
          <w:rStyle w:val="FootnoteReference"/>
        </w:rPr>
        <w:footnoteRef/>
      </w:r>
      <w:r>
        <w:t xml:space="preserve"> </w:t>
      </w:r>
      <w:r w:rsidRPr="00580AA5">
        <w:rPr>
          <w:rStyle w:val="Emphasis"/>
          <w:rFonts w:asciiTheme="minorHAnsi" w:hAnsiTheme="minorHAnsi"/>
          <w:bCs/>
          <w:shd w:val="clear" w:color="auto" w:fill="FFFFFF"/>
        </w:rPr>
        <w:t>Bolitho v City &amp; Hackney Health Authority</w:t>
      </w:r>
      <w:r w:rsidRPr="00580AA5">
        <w:rPr>
          <w:rStyle w:val="Strong"/>
          <w:rFonts w:asciiTheme="minorHAnsi" w:hAnsiTheme="minorHAnsi"/>
          <w:shd w:val="clear" w:color="auto" w:fill="FFFFFF"/>
        </w:rPr>
        <w:t> </w:t>
      </w:r>
      <w:r w:rsidRPr="00580AA5">
        <w:rPr>
          <w:rStyle w:val="Strong"/>
          <w:rFonts w:asciiTheme="minorHAnsi" w:hAnsiTheme="minorHAnsi"/>
          <w:b w:val="0"/>
          <w:shd w:val="clear" w:color="auto" w:fill="FFFFFF"/>
        </w:rPr>
        <w:t>[1997] 3 WLR 1151 at 1159.</w:t>
      </w:r>
    </w:p>
  </w:footnote>
  <w:footnote w:id="5">
    <w:p w14:paraId="7A162402" w14:textId="2130373E" w:rsidR="00E87221" w:rsidRPr="008F1785" w:rsidRDefault="00E87221" w:rsidP="0067138A">
      <w:pPr>
        <w:pStyle w:val="FootnoteText"/>
        <w:rPr>
          <w:rFonts w:asciiTheme="minorHAnsi" w:hAnsiTheme="minorHAnsi"/>
        </w:rPr>
      </w:pPr>
      <w:r>
        <w:rPr>
          <w:rStyle w:val="FootnoteReference"/>
        </w:rPr>
        <w:footnoteRef/>
      </w:r>
      <w:r>
        <w:t xml:space="preserve"> Brazier (n 2); Tef</w:t>
      </w:r>
      <w:r w:rsidRPr="008F1785">
        <w:rPr>
          <w:rFonts w:asciiTheme="minorHAnsi" w:hAnsiTheme="minorHAnsi" w:cs="Times New Roman"/>
        </w:rPr>
        <w:t>f, ‘Clinical Guidelines, Negligence and Medical Practice’ in M</w:t>
      </w:r>
      <w:r>
        <w:rPr>
          <w:rFonts w:asciiTheme="minorHAnsi" w:hAnsiTheme="minorHAnsi" w:cs="Times New Roman"/>
        </w:rPr>
        <w:t xml:space="preserve"> </w:t>
      </w:r>
      <w:r w:rsidRPr="008F1785">
        <w:rPr>
          <w:rFonts w:asciiTheme="minorHAnsi" w:hAnsiTheme="minorHAnsi" w:cs="Times New Roman"/>
        </w:rPr>
        <w:t>Freeman and A</w:t>
      </w:r>
      <w:r>
        <w:rPr>
          <w:rFonts w:asciiTheme="minorHAnsi" w:hAnsiTheme="minorHAnsi" w:cs="Times New Roman"/>
        </w:rPr>
        <w:t xml:space="preserve"> </w:t>
      </w:r>
      <w:r w:rsidRPr="008F1785">
        <w:rPr>
          <w:rFonts w:asciiTheme="minorHAnsi" w:hAnsiTheme="minorHAnsi" w:cs="Times New Roman"/>
        </w:rPr>
        <w:t>Lewis (eds</w:t>
      </w:r>
      <w:r>
        <w:rPr>
          <w:rFonts w:asciiTheme="minorHAnsi" w:hAnsiTheme="minorHAnsi" w:cs="Times New Roman"/>
        </w:rPr>
        <w:t>.</w:t>
      </w:r>
      <w:r w:rsidRPr="008F1785">
        <w:rPr>
          <w:rFonts w:asciiTheme="minorHAnsi" w:hAnsiTheme="minorHAnsi" w:cs="Times New Roman"/>
        </w:rPr>
        <w:t xml:space="preserve">), </w:t>
      </w:r>
      <w:r w:rsidRPr="008F1785">
        <w:rPr>
          <w:rFonts w:asciiTheme="minorHAnsi" w:hAnsiTheme="minorHAnsi" w:cs="Times New Roman"/>
          <w:i/>
          <w:iCs/>
        </w:rPr>
        <w:t>Law and Medicine</w:t>
      </w:r>
      <w:r>
        <w:rPr>
          <w:rFonts w:asciiTheme="minorHAnsi" w:hAnsiTheme="minorHAnsi" w:cs="Times New Roman"/>
          <w:i/>
          <w:iCs/>
        </w:rPr>
        <w:t>:</w:t>
      </w:r>
      <w:r w:rsidRPr="008F1785">
        <w:rPr>
          <w:rFonts w:asciiTheme="minorHAnsi" w:hAnsiTheme="minorHAnsi" w:cs="Times New Roman"/>
          <w:i/>
          <w:iCs/>
        </w:rPr>
        <w:t xml:space="preserve"> Current Legal Issues Volume 3</w:t>
      </w:r>
      <w:r w:rsidRPr="008F1785">
        <w:rPr>
          <w:rFonts w:asciiTheme="minorHAnsi" w:hAnsiTheme="minorHAnsi" w:cs="Times New Roman"/>
        </w:rPr>
        <w:t xml:space="preserve"> (OUP</w:t>
      </w:r>
      <w:r>
        <w:rPr>
          <w:rFonts w:asciiTheme="minorHAnsi" w:hAnsiTheme="minorHAnsi" w:cs="Times New Roman"/>
        </w:rPr>
        <w:t>,</w:t>
      </w:r>
      <w:r w:rsidRPr="008F1785">
        <w:rPr>
          <w:rFonts w:asciiTheme="minorHAnsi" w:hAnsiTheme="minorHAnsi" w:cs="Times New Roman"/>
        </w:rPr>
        <w:t xml:space="preserve"> 2000) at 67-80</w:t>
      </w:r>
      <w:r>
        <w:rPr>
          <w:rFonts w:asciiTheme="minorHAnsi" w:hAnsiTheme="minorHAnsi" w:cs="Times New Roman"/>
        </w:rPr>
        <w:t xml:space="preserve">. </w:t>
      </w:r>
    </w:p>
  </w:footnote>
  <w:footnote w:id="6">
    <w:p w14:paraId="15F3B7DF" w14:textId="54FF1B24" w:rsidR="00E87221" w:rsidRDefault="00E87221" w:rsidP="00B15B6E">
      <w:pPr>
        <w:pStyle w:val="FootnoteText"/>
      </w:pPr>
      <w:r>
        <w:rPr>
          <w:rStyle w:val="FootnoteReference"/>
        </w:rPr>
        <w:footnoteRef/>
      </w:r>
      <w:r>
        <w:t xml:space="preserve"> SH Woolf, R </w:t>
      </w:r>
      <w:proofErr w:type="spellStart"/>
      <w:r>
        <w:t>Grol</w:t>
      </w:r>
      <w:proofErr w:type="spellEnd"/>
      <w:r>
        <w:t xml:space="preserve">, A Hutchinson, M Eccles, J Grimshaw, ‘Clinical guidelines: potential benefits, limitations, and harms of clinical guidelines’ (1999) 318 (7182) </w:t>
      </w:r>
      <w:r>
        <w:rPr>
          <w:i/>
          <w:iCs/>
        </w:rPr>
        <w:t xml:space="preserve">BMJ </w:t>
      </w:r>
      <w:r>
        <w:t>527–530.</w:t>
      </w:r>
    </w:p>
  </w:footnote>
  <w:footnote w:id="7">
    <w:p w14:paraId="692F6CD0" w14:textId="77777777" w:rsidR="00E87221" w:rsidRDefault="00E87221" w:rsidP="00E266C0">
      <w:pPr>
        <w:pStyle w:val="FootnoteText"/>
        <w:rPr>
          <w:rFonts w:cstheme="minorBidi"/>
        </w:rPr>
      </w:pPr>
      <w:r>
        <w:rPr>
          <w:rStyle w:val="FootnoteReference"/>
        </w:rPr>
        <w:footnoteRef/>
      </w:r>
      <w:r>
        <w:t xml:space="preserve"> </w:t>
      </w:r>
      <w:r>
        <w:rPr>
          <w:i/>
        </w:rPr>
        <w:t xml:space="preserve">Sidaway v Board of Governors of the Bethlem Royal Hospital and the Maudsley Hospital </w:t>
      </w:r>
      <w:r>
        <w:t>[1985] AC 871.</w:t>
      </w:r>
    </w:p>
  </w:footnote>
  <w:footnote w:id="8">
    <w:p w14:paraId="5B6E4C0B" w14:textId="77777777" w:rsidR="00E87221" w:rsidRDefault="00E87221" w:rsidP="00E266C0">
      <w:pPr>
        <w:pStyle w:val="FootnoteText"/>
      </w:pPr>
      <w:r>
        <w:rPr>
          <w:rStyle w:val="FootnoteReference"/>
        </w:rPr>
        <w:footnoteRef/>
      </w:r>
      <w:r>
        <w:t xml:space="preserve"> </w:t>
      </w:r>
      <w:r>
        <w:rPr>
          <w:rFonts w:cs="Times New Roman"/>
        </w:rPr>
        <w:t xml:space="preserve">GMC, </w:t>
      </w:r>
      <w:r>
        <w:rPr>
          <w:rFonts w:cs="Times New Roman"/>
          <w:i/>
          <w:iCs/>
        </w:rPr>
        <w:t xml:space="preserve">Consent: Patients and Doctors Making Decisions Together </w:t>
      </w:r>
      <w:r>
        <w:rPr>
          <w:rFonts w:cs="Times New Roman"/>
        </w:rPr>
        <w:t xml:space="preserve">(GMC, 2008); GMC, </w:t>
      </w:r>
      <w:r>
        <w:rPr>
          <w:rFonts w:cs="Times New Roman"/>
          <w:i/>
          <w:iCs/>
        </w:rPr>
        <w:t xml:space="preserve">Good Medical Practice </w:t>
      </w:r>
      <w:r>
        <w:rPr>
          <w:rFonts w:cs="Times New Roman"/>
        </w:rPr>
        <w:t xml:space="preserve">(GMC 2013); </w:t>
      </w:r>
      <w:r>
        <w:rPr>
          <w:i/>
        </w:rPr>
        <w:t>Montgomery v Lanarkshire</w:t>
      </w:r>
      <w:r>
        <w:t xml:space="preserve"> </w:t>
      </w:r>
      <w:r>
        <w:rPr>
          <w:rFonts w:cs="Times New Roman"/>
        </w:rPr>
        <w:t>[2015] UKSC 11</w:t>
      </w:r>
      <w:r>
        <w:t>at [77]: These guidelines were not referred to by the Inner Court of the House of Session.</w:t>
      </w:r>
    </w:p>
  </w:footnote>
  <w:footnote w:id="9">
    <w:p w14:paraId="316822BB" w14:textId="77777777" w:rsidR="00E87221" w:rsidRDefault="00E87221" w:rsidP="00E266C0">
      <w:pPr>
        <w:pStyle w:val="FootnoteText"/>
      </w:pPr>
      <w:r>
        <w:rPr>
          <w:rStyle w:val="FootnoteReference"/>
        </w:rPr>
        <w:footnoteRef/>
      </w:r>
      <w:r>
        <w:t xml:space="preserve"> </w:t>
      </w:r>
      <w:r>
        <w:rPr>
          <w:rFonts w:cs="Times New Roman"/>
          <w:i/>
          <w:iCs/>
        </w:rPr>
        <w:t>Montgomery v Lanarkshire Health Board</w:t>
      </w:r>
      <w:r>
        <w:rPr>
          <w:rFonts w:cs="Times New Roman"/>
        </w:rPr>
        <w:t xml:space="preserve"> [2013] CSIH 3 at [58].</w:t>
      </w:r>
    </w:p>
  </w:footnote>
  <w:footnote w:id="10">
    <w:p w14:paraId="03092685" w14:textId="77777777" w:rsidR="00E87221" w:rsidRDefault="00E87221" w:rsidP="00E266C0">
      <w:pPr>
        <w:pStyle w:val="FootnoteText"/>
      </w:pPr>
      <w:r>
        <w:rPr>
          <w:rStyle w:val="FootnoteReference"/>
        </w:rPr>
        <w:footnoteRef/>
      </w:r>
      <w:r>
        <w:t xml:space="preserve"> ibid </w:t>
      </w:r>
      <w:r>
        <w:rPr>
          <w:rFonts w:cs="Times New Roman"/>
        </w:rPr>
        <w:t>at [59].</w:t>
      </w:r>
    </w:p>
  </w:footnote>
  <w:footnote w:id="11">
    <w:p w14:paraId="111773D7" w14:textId="72F156E7" w:rsidR="00E87221" w:rsidRDefault="00E87221" w:rsidP="00E266C0">
      <w:pPr>
        <w:pStyle w:val="FootnoteText"/>
      </w:pPr>
      <w:r>
        <w:rPr>
          <w:rStyle w:val="FootnoteReference"/>
        </w:rPr>
        <w:footnoteRef/>
      </w:r>
      <w:r>
        <w:t xml:space="preserve"> ibid</w:t>
      </w:r>
      <w:r>
        <w:rPr>
          <w:rFonts w:cs="Times New Roman"/>
        </w:rPr>
        <w:t>.</w:t>
      </w:r>
    </w:p>
  </w:footnote>
  <w:footnote w:id="12">
    <w:p w14:paraId="64AEC5AA" w14:textId="6CE43AC9" w:rsidR="00E87221" w:rsidRPr="00126AE7" w:rsidRDefault="00E87221" w:rsidP="00C51DAF">
      <w:pPr>
        <w:pStyle w:val="FootnoteText"/>
        <w:jc w:val="left"/>
      </w:pPr>
      <w:r>
        <w:rPr>
          <w:rStyle w:val="FootnoteReference"/>
        </w:rPr>
        <w:footnoteRef/>
      </w:r>
      <w:r>
        <w:t xml:space="preserve"> A Samanta and J Samanta: A Samanta, J Samanta, M Gunn, ‘Legal considerations of guidelines: will NICE make a difference?’ (2003) 96 </w:t>
      </w:r>
      <w:r>
        <w:rPr>
          <w:i/>
        </w:rPr>
        <w:t>JRSM</w:t>
      </w:r>
      <w:r>
        <w:t xml:space="preserve"> 133; A “new” professionalism was emerging: </w:t>
      </w:r>
      <w:r w:rsidRPr="00637979">
        <w:rPr>
          <w:i/>
        </w:rPr>
        <w:t>Safeguarding patients: lessons learned from the past – proposals for the future</w:t>
      </w:r>
      <w:r>
        <w:rPr>
          <w:i/>
        </w:rPr>
        <w:t>:</w:t>
      </w:r>
      <w:r>
        <w:t xml:space="preserve"> </w:t>
      </w:r>
      <w:r w:rsidRPr="00637979">
        <w:rPr>
          <w:i/>
        </w:rPr>
        <w:t>5</w:t>
      </w:r>
      <w:r w:rsidRPr="00637979">
        <w:rPr>
          <w:i/>
          <w:vertAlign w:val="superscript"/>
        </w:rPr>
        <w:t>th</w:t>
      </w:r>
      <w:r w:rsidRPr="00637979">
        <w:rPr>
          <w:i/>
        </w:rPr>
        <w:t xml:space="preserve"> report</w:t>
      </w:r>
      <w:r>
        <w:t xml:space="preserve"> (</w:t>
      </w:r>
      <w:proofErr w:type="spellStart"/>
      <w:r>
        <w:t>Cmnd</w:t>
      </w:r>
      <w:proofErr w:type="spellEnd"/>
      <w:r>
        <w:t xml:space="preserve"> 6394; 2003) and the National Institute for Health and Care Excellence (NICE) was established on 1</w:t>
      </w:r>
      <w:r w:rsidRPr="00712F62">
        <w:rPr>
          <w:vertAlign w:val="superscript"/>
        </w:rPr>
        <w:t>st</w:t>
      </w:r>
      <w:r>
        <w:t xml:space="preserve"> April 1999. A significant part of its remit is the development of evidence-based clinical guidelines.</w:t>
      </w:r>
    </w:p>
  </w:footnote>
  <w:footnote w:id="13">
    <w:p w14:paraId="1FE1F276" w14:textId="2089E175" w:rsidR="00E87221" w:rsidRPr="00866941" w:rsidRDefault="00E87221" w:rsidP="00C51DAF">
      <w:pPr>
        <w:pStyle w:val="FootnoteText"/>
        <w:jc w:val="left"/>
      </w:pPr>
      <w:r>
        <w:rPr>
          <w:rStyle w:val="FootnoteReference"/>
        </w:rPr>
        <w:footnoteRef/>
      </w:r>
      <w:r>
        <w:t xml:space="preserve"> A Samanta, MM Mello, C Foster, J Samanta, ‘The role of clinical guidelines in medical negligence litigation: a shift from the </w:t>
      </w:r>
      <w:r>
        <w:rPr>
          <w:i/>
        </w:rPr>
        <w:t>Bolam</w:t>
      </w:r>
      <w:r>
        <w:t xml:space="preserve"> standard?’ (2006) 14 </w:t>
      </w:r>
      <w:r>
        <w:rPr>
          <w:i/>
        </w:rPr>
        <w:t xml:space="preserve">Med LR </w:t>
      </w:r>
      <w:r>
        <w:t>321-366.</w:t>
      </w:r>
    </w:p>
  </w:footnote>
  <w:footnote w:id="14">
    <w:p w14:paraId="3A1F5B54" w14:textId="77777777" w:rsidR="00E87221" w:rsidRDefault="00E87221" w:rsidP="00C51DAF">
      <w:pPr>
        <w:pStyle w:val="FootnoteText"/>
        <w:jc w:val="left"/>
      </w:pPr>
      <w:r>
        <w:rPr>
          <w:rStyle w:val="FootnoteReference"/>
        </w:rPr>
        <w:footnoteRef/>
      </w:r>
      <w:r>
        <w:t xml:space="preserve"> ibid.</w:t>
      </w:r>
    </w:p>
  </w:footnote>
  <w:footnote w:id="15">
    <w:p w14:paraId="5FFF83C6" w14:textId="119E9B38" w:rsidR="00E87221" w:rsidRDefault="00E87221" w:rsidP="00C51DAF">
      <w:pPr>
        <w:pStyle w:val="FootnoteText"/>
      </w:pPr>
      <w:r>
        <w:rPr>
          <w:rStyle w:val="FootnoteReference"/>
        </w:rPr>
        <w:footnoteRef/>
      </w:r>
      <w:r>
        <w:t xml:space="preserve"> Research ethics approval was granted by De Montfort University.</w:t>
      </w:r>
    </w:p>
  </w:footnote>
  <w:footnote w:id="16">
    <w:p w14:paraId="2FA46CA2" w14:textId="63EC9676" w:rsidR="00E87221" w:rsidRPr="00774D47" w:rsidRDefault="00E87221" w:rsidP="00774D47">
      <w:pPr>
        <w:pStyle w:val="Heading1"/>
        <w:spacing w:before="0"/>
        <w:jc w:val="left"/>
        <w:rPr>
          <w:sz w:val="20"/>
          <w:szCs w:val="20"/>
        </w:rPr>
      </w:pPr>
      <w:r w:rsidRPr="00774D47">
        <w:rPr>
          <w:rStyle w:val="FootnoteReference"/>
          <w:rFonts w:asciiTheme="minorHAnsi" w:hAnsiTheme="minorHAnsi"/>
          <w:color w:val="auto"/>
          <w:sz w:val="20"/>
          <w:szCs w:val="20"/>
        </w:rPr>
        <w:footnoteRef/>
      </w:r>
      <w:r w:rsidRPr="00774D47">
        <w:rPr>
          <w:rFonts w:asciiTheme="minorHAnsi" w:hAnsiTheme="minorHAnsi"/>
          <w:color w:val="auto"/>
          <w:sz w:val="20"/>
          <w:szCs w:val="20"/>
        </w:rPr>
        <w:t xml:space="preserve"> </w:t>
      </w:r>
      <w:r>
        <w:rPr>
          <w:rFonts w:asciiTheme="minorHAnsi" w:hAnsiTheme="minorHAnsi"/>
          <w:color w:val="auto"/>
          <w:sz w:val="20"/>
          <w:szCs w:val="20"/>
        </w:rPr>
        <w:t xml:space="preserve">A </w:t>
      </w:r>
      <w:r w:rsidRPr="00774D47">
        <w:rPr>
          <w:rFonts w:asciiTheme="minorHAnsi" w:hAnsiTheme="minorHAnsi"/>
          <w:color w:val="auto"/>
          <w:sz w:val="20"/>
          <w:szCs w:val="20"/>
        </w:rPr>
        <w:t xml:space="preserve">Crawford, </w:t>
      </w:r>
      <w:r>
        <w:rPr>
          <w:rFonts w:asciiTheme="minorHAnsi" w:hAnsiTheme="minorHAnsi"/>
          <w:color w:val="auto"/>
          <w:sz w:val="20"/>
          <w:szCs w:val="20"/>
        </w:rPr>
        <w:t>‘</w:t>
      </w:r>
      <w:r w:rsidRPr="00774D47">
        <w:rPr>
          <w:rFonts w:asciiTheme="minorHAnsi" w:hAnsiTheme="minorHAnsi" w:cs="Helvetica"/>
          <w:color w:val="1E1E1E"/>
          <w:sz w:val="20"/>
          <w:szCs w:val="20"/>
        </w:rPr>
        <w:t>NHS faces huge clinical negligence legal fees bill</w:t>
      </w:r>
      <w:r>
        <w:rPr>
          <w:rFonts w:asciiTheme="minorHAnsi" w:hAnsiTheme="minorHAnsi" w:cs="Helvetica"/>
          <w:color w:val="1E1E1E"/>
          <w:sz w:val="20"/>
          <w:szCs w:val="20"/>
        </w:rPr>
        <w:t>’</w:t>
      </w:r>
      <w:r w:rsidRPr="00774D47">
        <w:rPr>
          <w:rFonts w:asciiTheme="minorHAnsi" w:hAnsiTheme="minorHAnsi"/>
          <w:color w:val="auto"/>
          <w:sz w:val="20"/>
          <w:szCs w:val="20"/>
        </w:rPr>
        <w:t xml:space="preserve"> NHS Resolution (21 January, 2020)</w:t>
      </w:r>
      <w:r w:rsidRPr="00774D47">
        <w:rPr>
          <w:sz w:val="20"/>
          <w:szCs w:val="20"/>
        </w:rPr>
        <w:t xml:space="preserve"> </w:t>
      </w:r>
      <w:hyperlink r:id="rId1" w:history="1">
        <w:r w:rsidRPr="008F177E">
          <w:rPr>
            <w:rStyle w:val="Hyperlink"/>
            <w:rFonts w:asciiTheme="minorHAnsi" w:hAnsiTheme="minorHAnsi"/>
            <w:sz w:val="20"/>
            <w:szCs w:val="20"/>
          </w:rPr>
          <w:t xml:space="preserve">https://www.bbc.co.uk/news/health-51180944. </w:t>
        </w:r>
      </w:hyperlink>
      <w:r w:rsidRPr="00774D47">
        <w:rPr>
          <w:rFonts w:asciiTheme="minorHAnsi" w:hAnsiTheme="minorHAnsi"/>
          <w:color w:val="auto"/>
          <w:sz w:val="20"/>
          <w:szCs w:val="20"/>
        </w:rPr>
        <w:t>The NHS in England faces legal fees of £4.3 billion to settle outstanding claims.</w:t>
      </w:r>
    </w:p>
  </w:footnote>
  <w:footnote w:id="17">
    <w:p w14:paraId="7DBBE6F6" w14:textId="77777777" w:rsidR="00E87221" w:rsidRDefault="00E87221" w:rsidP="006140CA">
      <w:pPr>
        <w:pStyle w:val="FootnoteText"/>
        <w:jc w:val="left"/>
      </w:pPr>
      <w:r>
        <w:rPr>
          <w:rStyle w:val="FootnoteReference"/>
        </w:rPr>
        <w:footnoteRef/>
      </w:r>
      <w:r>
        <w:t xml:space="preserve"> A Bryman, Social research methods (OUP: Oxford, 2001).</w:t>
      </w:r>
    </w:p>
  </w:footnote>
  <w:footnote w:id="18">
    <w:p w14:paraId="4B7A8CAB" w14:textId="77777777" w:rsidR="00E87221" w:rsidRPr="000B508D" w:rsidRDefault="00E87221" w:rsidP="001C1506">
      <w:pPr>
        <w:pStyle w:val="FootnoteText"/>
        <w:jc w:val="left"/>
        <w:rPr>
          <w:color w:val="FFC000"/>
        </w:rPr>
      </w:pPr>
      <w:r>
        <w:rPr>
          <w:rStyle w:val="FootnoteReference"/>
        </w:rPr>
        <w:footnoteRef/>
      </w:r>
      <w:r>
        <w:t xml:space="preserve"> J Brannen, Mixed methods </w:t>
      </w:r>
      <w:r w:rsidRPr="00421546">
        <w:t>research: a discussion</w:t>
      </w:r>
      <w:r>
        <w:t xml:space="preserve"> paper (ESRC National Centre for Research Methods, 2005) at </w:t>
      </w:r>
      <w:hyperlink r:id="rId2" w:history="1">
        <w:r w:rsidRPr="000B1434">
          <w:rPr>
            <w:rStyle w:val="Hyperlink"/>
          </w:rPr>
          <w:t>http://eprints.ncrm.ac.uk/89/1/MethodsReviewPaperNCRM-005.pdf</w:t>
        </w:r>
      </w:hyperlink>
      <w:r w:rsidRPr="00421546">
        <w:t>.</w:t>
      </w:r>
    </w:p>
  </w:footnote>
  <w:footnote w:id="19">
    <w:p w14:paraId="377352BD" w14:textId="77777777" w:rsidR="00E87221" w:rsidRPr="003E0B77" w:rsidRDefault="00E87221" w:rsidP="001C1506">
      <w:pPr>
        <w:pStyle w:val="FootnoteText"/>
        <w:jc w:val="left"/>
      </w:pPr>
      <w:r>
        <w:rPr>
          <w:rStyle w:val="FootnoteReference"/>
        </w:rPr>
        <w:footnoteRef/>
      </w:r>
      <w:r>
        <w:t xml:space="preserve"> L </w:t>
      </w:r>
      <w:proofErr w:type="spellStart"/>
      <w:r>
        <w:t>Hurmerinta-Peltomaki</w:t>
      </w:r>
      <w:proofErr w:type="spellEnd"/>
      <w:r>
        <w:t xml:space="preserve">, N Nummela, ‘Mixed methods in international business research: a value added perspective,’ (2006) 46 </w:t>
      </w:r>
      <w:r>
        <w:rPr>
          <w:i/>
        </w:rPr>
        <w:t xml:space="preserve">Man Int Rev </w:t>
      </w:r>
      <w:r>
        <w:t>439-459.</w:t>
      </w:r>
    </w:p>
  </w:footnote>
  <w:footnote w:id="20">
    <w:p w14:paraId="79EACB97" w14:textId="6EAC7BD4" w:rsidR="00E87221" w:rsidRPr="00C05048" w:rsidRDefault="00E87221" w:rsidP="0071797B">
      <w:pPr>
        <w:pStyle w:val="FootnoteText"/>
        <w:jc w:val="left"/>
        <w:rPr>
          <w:rFonts w:asciiTheme="minorHAnsi" w:hAnsiTheme="minorHAnsi"/>
        </w:rPr>
      </w:pPr>
      <w:r>
        <w:rPr>
          <w:rStyle w:val="FootnoteReference"/>
        </w:rPr>
        <w:footnoteRef/>
      </w:r>
      <w:r>
        <w:t xml:space="preserve"> J </w:t>
      </w:r>
      <w:r w:rsidRPr="00702BB8">
        <w:rPr>
          <w:rFonts w:asciiTheme="minorHAnsi" w:hAnsiTheme="minorHAnsi"/>
          <w:lang w:val="en"/>
        </w:rPr>
        <w:t>Samanta</w:t>
      </w:r>
      <w:r>
        <w:rPr>
          <w:rFonts w:asciiTheme="minorHAnsi" w:hAnsiTheme="minorHAnsi"/>
          <w:lang w:val="en"/>
        </w:rPr>
        <w:t xml:space="preserve">, A </w:t>
      </w:r>
      <w:r w:rsidRPr="00702BB8">
        <w:rPr>
          <w:rFonts w:asciiTheme="minorHAnsi" w:hAnsiTheme="minorHAnsi"/>
          <w:lang w:val="en"/>
        </w:rPr>
        <w:t>Samanta</w:t>
      </w:r>
      <w:r>
        <w:rPr>
          <w:rFonts w:asciiTheme="minorHAnsi" w:hAnsiTheme="minorHAnsi"/>
          <w:lang w:val="en"/>
        </w:rPr>
        <w:t xml:space="preserve">, O </w:t>
      </w:r>
      <w:proofErr w:type="spellStart"/>
      <w:r w:rsidRPr="00702BB8">
        <w:rPr>
          <w:rFonts w:asciiTheme="minorHAnsi" w:hAnsiTheme="minorHAnsi"/>
          <w:lang w:val="en"/>
        </w:rPr>
        <w:t>Madhloom</w:t>
      </w:r>
      <w:proofErr w:type="spellEnd"/>
      <w:r w:rsidRPr="00702BB8">
        <w:rPr>
          <w:rFonts w:asciiTheme="minorHAnsi" w:hAnsiTheme="minorHAnsi"/>
          <w:lang w:val="en"/>
        </w:rPr>
        <w:t xml:space="preserve">, </w:t>
      </w:r>
      <w:hyperlink r:id="rId3" w:history="1">
        <w:r w:rsidRPr="00702BB8">
          <w:rPr>
            <w:rFonts w:asciiTheme="minorHAnsi" w:hAnsiTheme="minorHAnsi"/>
            <w:lang w:val="en"/>
          </w:rPr>
          <w:t>‘A rights-based proposal for managing faith-based values and expectations of migrants at end-of-life illustrated by an empirical study involving South Asians in the UK’</w:t>
        </w:r>
      </w:hyperlink>
      <w:r>
        <w:rPr>
          <w:rFonts w:asciiTheme="minorHAnsi" w:hAnsiTheme="minorHAnsi"/>
          <w:lang w:val="en"/>
        </w:rPr>
        <w:t xml:space="preserve"> (2018)</w:t>
      </w:r>
      <w:r w:rsidRPr="00702BB8">
        <w:rPr>
          <w:rFonts w:asciiTheme="minorHAnsi" w:hAnsiTheme="minorHAnsi"/>
          <w:lang w:val="en"/>
        </w:rPr>
        <w:t xml:space="preserve"> </w:t>
      </w:r>
      <w:r w:rsidRPr="00C05048">
        <w:rPr>
          <w:rFonts w:asciiTheme="minorHAnsi" w:hAnsiTheme="minorHAnsi"/>
          <w:lang w:val="en"/>
        </w:rPr>
        <w:t xml:space="preserve">32 </w:t>
      </w:r>
      <w:r w:rsidRPr="00C05048">
        <w:rPr>
          <w:rFonts w:asciiTheme="minorHAnsi" w:hAnsiTheme="minorHAnsi"/>
          <w:i/>
          <w:iCs/>
          <w:lang w:val="en"/>
        </w:rPr>
        <w:t xml:space="preserve">Bioethics </w:t>
      </w:r>
      <w:r w:rsidRPr="00C05048">
        <w:rPr>
          <w:rFonts w:asciiTheme="minorHAnsi" w:hAnsiTheme="minorHAnsi"/>
          <w:lang w:val="en"/>
        </w:rPr>
        <w:t>368-377.</w:t>
      </w:r>
    </w:p>
  </w:footnote>
  <w:footnote w:id="21">
    <w:p w14:paraId="172153E1" w14:textId="77777777" w:rsidR="00E87221" w:rsidRPr="00D1357D" w:rsidRDefault="00E87221" w:rsidP="008C280A">
      <w:pPr>
        <w:pStyle w:val="FootnoteText"/>
        <w:rPr>
          <w:rFonts w:asciiTheme="minorHAnsi" w:hAnsiTheme="minorHAnsi"/>
        </w:rPr>
      </w:pPr>
      <w:r w:rsidRPr="00C05048">
        <w:rPr>
          <w:rStyle w:val="FootnoteReference"/>
        </w:rPr>
        <w:footnoteRef/>
      </w:r>
      <w:r w:rsidRPr="00C05048">
        <w:t xml:space="preserve"> </w:t>
      </w:r>
      <w:r w:rsidRPr="00C05048">
        <w:rPr>
          <w:rFonts w:asciiTheme="minorHAnsi" w:hAnsiTheme="minorHAnsi" w:cs="Arial"/>
        </w:rPr>
        <w:t xml:space="preserve">NHS Resolution is an arm's length body of the Department </w:t>
      </w:r>
      <w:r w:rsidRPr="00D1357D">
        <w:rPr>
          <w:rFonts w:asciiTheme="minorHAnsi" w:hAnsiTheme="minorHAnsi" w:cs="Arial"/>
          <w:color w:val="222222"/>
        </w:rPr>
        <w:t>of Health and Social Care.</w:t>
      </w:r>
    </w:p>
  </w:footnote>
  <w:footnote w:id="22">
    <w:p w14:paraId="708FDFB9" w14:textId="593EE56C" w:rsidR="00E87221" w:rsidRDefault="00E87221" w:rsidP="001C1506">
      <w:pPr>
        <w:pStyle w:val="FootnoteText"/>
        <w:jc w:val="left"/>
      </w:pPr>
      <w:r w:rsidRPr="00176EEB">
        <w:rPr>
          <w:rStyle w:val="FootnoteReference"/>
        </w:rPr>
        <w:footnoteRef/>
      </w:r>
      <w:r>
        <w:t xml:space="preserve"> A Strauss, J Corbin, Basics of qualitative research: techniques and procedures for developing grounded theory (Sage Publications: London, 3</w:t>
      </w:r>
      <w:r w:rsidRPr="000B508D">
        <w:rPr>
          <w:vertAlign w:val="superscript"/>
        </w:rPr>
        <w:t>rd</w:t>
      </w:r>
      <w:r>
        <w:t xml:space="preserve"> </w:t>
      </w:r>
      <w:proofErr w:type="spellStart"/>
      <w:r>
        <w:t>edn</w:t>
      </w:r>
      <w:proofErr w:type="spellEnd"/>
      <w:r>
        <w:t xml:space="preserve">, 1998); A </w:t>
      </w:r>
      <w:proofErr w:type="spellStart"/>
      <w:r>
        <w:t>O’Cathain</w:t>
      </w:r>
      <w:proofErr w:type="spellEnd"/>
      <w:r>
        <w:t xml:space="preserve">, E Murphy, J Nicholl, ‘Three techniques for integrating data in mixed methods studies’ (2010) 314 </w:t>
      </w:r>
      <w:r>
        <w:rPr>
          <w:i/>
        </w:rPr>
        <w:t>BMJ</w:t>
      </w:r>
      <w:r>
        <w:t xml:space="preserve"> 1147-1150.</w:t>
      </w:r>
    </w:p>
  </w:footnote>
  <w:footnote w:id="23">
    <w:p w14:paraId="5A86A0AF" w14:textId="77777777" w:rsidR="00E87221" w:rsidRDefault="00E87221" w:rsidP="001C1506">
      <w:pPr>
        <w:pStyle w:val="FootnoteText"/>
      </w:pPr>
      <w:r>
        <w:rPr>
          <w:rStyle w:val="FootnoteReference"/>
        </w:rPr>
        <w:footnoteRef/>
      </w:r>
      <w:r>
        <w:t xml:space="preserve"> This period was chosen to </w:t>
      </w:r>
      <w:r>
        <w:rPr>
          <w:rFonts w:cstheme="minorHAnsi"/>
        </w:rPr>
        <w:t xml:space="preserve">approximate the date of our previous study to facilitate comparison of longitudinal change.  </w:t>
      </w:r>
    </w:p>
  </w:footnote>
  <w:footnote w:id="24">
    <w:p w14:paraId="79CF49BD" w14:textId="7121ABAE" w:rsidR="00E87221" w:rsidRDefault="00E87221" w:rsidP="001C1506">
      <w:pPr>
        <w:pStyle w:val="FootnoteText"/>
      </w:pPr>
      <w:r w:rsidRPr="004E05B8">
        <w:rPr>
          <w:rStyle w:val="FootnoteReference"/>
        </w:rPr>
        <w:footnoteRef/>
      </w:r>
      <w:r>
        <w:rPr>
          <w:rFonts w:cstheme="minorHAnsi"/>
        </w:rPr>
        <w:t xml:space="preserve"> </w:t>
      </w:r>
      <w:r w:rsidRPr="004E05B8">
        <w:rPr>
          <w:rFonts w:cstheme="minorHAnsi"/>
        </w:rPr>
        <w:t>Phase 3</w:t>
      </w:r>
      <w:r>
        <w:rPr>
          <w:rFonts w:cstheme="minorHAnsi"/>
        </w:rPr>
        <w:t xml:space="preserve"> took place during the second part of a national interdisciplinary conference. Delegates discussed key issues regarding potential barriers to the use of CGs.</w:t>
      </w:r>
      <w:r>
        <w:t xml:space="preserve"> </w:t>
      </w:r>
    </w:p>
  </w:footnote>
  <w:footnote w:id="25">
    <w:p w14:paraId="204CD4A5" w14:textId="48EDA548" w:rsidR="00E87221" w:rsidRPr="001A049A" w:rsidRDefault="00E87221" w:rsidP="001C1506">
      <w:pPr>
        <w:pStyle w:val="FootnoteText"/>
        <w:jc w:val="left"/>
      </w:pPr>
      <w:r w:rsidRPr="001A049A">
        <w:rPr>
          <w:rStyle w:val="FootnoteReference"/>
        </w:rPr>
        <w:footnoteRef/>
      </w:r>
      <w:r w:rsidRPr="001A049A">
        <w:t xml:space="preserve"> </w:t>
      </w:r>
      <w:r>
        <w:t>Samanta (n 13).</w:t>
      </w:r>
    </w:p>
  </w:footnote>
  <w:footnote w:id="26">
    <w:p w14:paraId="3E867085" w14:textId="77777777" w:rsidR="00E87221" w:rsidRPr="001A049A" w:rsidRDefault="00E87221" w:rsidP="001C1506">
      <w:pPr>
        <w:rPr>
          <w:sz w:val="20"/>
        </w:rPr>
      </w:pPr>
      <w:r w:rsidRPr="001A049A">
        <w:rPr>
          <w:rStyle w:val="FootnoteReference"/>
          <w:sz w:val="20"/>
        </w:rPr>
        <w:footnoteRef/>
      </w:r>
      <w:r w:rsidRPr="001A049A">
        <w:rPr>
          <w:sz w:val="20"/>
        </w:rPr>
        <w:t xml:space="preserve"> </w:t>
      </w:r>
      <w:r w:rsidRPr="001A049A">
        <w:rPr>
          <w:rFonts w:cstheme="minorHAnsi"/>
          <w:sz w:val="20"/>
        </w:rPr>
        <w:t>We accept that the respondents were not the same as before. However, the survey was only one part of the study and the</w:t>
      </w:r>
      <w:r>
        <w:rPr>
          <w:rFonts w:cstheme="minorHAnsi"/>
          <w:sz w:val="20"/>
        </w:rPr>
        <w:t xml:space="preserve"> </w:t>
      </w:r>
      <w:r w:rsidRPr="001A049A">
        <w:rPr>
          <w:rFonts w:cstheme="minorHAnsi"/>
          <w:sz w:val="20"/>
        </w:rPr>
        <w:t xml:space="preserve">results </w:t>
      </w:r>
      <w:r>
        <w:rPr>
          <w:rFonts w:cstheme="minorHAnsi"/>
          <w:sz w:val="20"/>
        </w:rPr>
        <w:t xml:space="preserve">have been </w:t>
      </w:r>
      <w:r w:rsidRPr="001A049A">
        <w:rPr>
          <w:rFonts w:cstheme="minorHAnsi"/>
          <w:sz w:val="20"/>
        </w:rPr>
        <w:t xml:space="preserve">triangulated with data from other sources. </w:t>
      </w:r>
    </w:p>
  </w:footnote>
  <w:footnote w:id="27">
    <w:p w14:paraId="46976918" w14:textId="77777777" w:rsidR="00E87221" w:rsidRPr="006371C2" w:rsidRDefault="00E87221" w:rsidP="001C1506">
      <w:pPr>
        <w:pStyle w:val="FootnoteText"/>
        <w:jc w:val="left"/>
      </w:pPr>
      <w:r>
        <w:rPr>
          <w:rStyle w:val="FootnoteReference"/>
        </w:rPr>
        <w:footnoteRef/>
      </w:r>
      <w:r>
        <w:t xml:space="preserve"> J Lumsden, ‘Online questionnaire design guidelines’ in A Reynolds, R Woods, J Baker eds., Handbook of research on electronic surveys and measurements (Idea Group Reference, London, 2007) 44-64.</w:t>
      </w:r>
    </w:p>
  </w:footnote>
  <w:footnote w:id="28">
    <w:p w14:paraId="39A7A233" w14:textId="77777777" w:rsidR="00E87221" w:rsidRPr="00C56A0F" w:rsidRDefault="00E87221" w:rsidP="001C1506">
      <w:pPr>
        <w:pStyle w:val="FootnoteText"/>
        <w:jc w:val="left"/>
        <w:rPr>
          <w:color w:val="FFC000"/>
        </w:rPr>
      </w:pPr>
      <w:r>
        <w:rPr>
          <w:rStyle w:val="FootnoteReference"/>
        </w:rPr>
        <w:footnoteRef/>
      </w:r>
      <w:r>
        <w:t xml:space="preserve"> C Hewson, ‘Research methods on the internet’ in JA Danowski and L Cantoni (eds.) Communication and technology (</w:t>
      </w:r>
      <w:r w:rsidRPr="00BA66F3">
        <w:rPr>
          <w:rFonts w:asciiTheme="minorHAnsi" w:eastAsia="Arial Unicode MS" w:hAnsiTheme="minorHAnsi" w:cs="Arial Unicode MS"/>
        </w:rPr>
        <w:t>Boston De Gruyter</w:t>
      </w:r>
      <w:r>
        <w:t>, Berlin, 2015).</w:t>
      </w:r>
      <w:r>
        <w:rPr>
          <w:rFonts w:ascii="Arial Unicode MS" w:eastAsia="Arial Unicode MS" w:hAnsi="Arial Unicode MS" w:cs="Arial Unicode MS" w:hint="eastAsia"/>
        </w:rPr>
        <w:t xml:space="preserve"> </w:t>
      </w:r>
    </w:p>
  </w:footnote>
  <w:footnote w:id="29">
    <w:p w14:paraId="6F064841" w14:textId="5C0E6ADE" w:rsidR="00E87221" w:rsidRDefault="00E87221" w:rsidP="001C1506">
      <w:pPr>
        <w:pStyle w:val="FootnoteText"/>
        <w:jc w:val="left"/>
      </w:pPr>
      <w:r>
        <w:rPr>
          <w:rStyle w:val="FootnoteReference"/>
        </w:rPr>
        <w:footnoteRef/>
      </w:r>
      <w:r>
        <w:t xml:space="preserve"> </w:t>
      </w:r>
      <w:r>
        <w:rPr>
          <w:rFonts w:cstheme="minorHAnsi"/>
        </w:rPr>
        <w:t>Chambers UK Guide to the Legal Profession</w:t>
      </w:r>
      <w:r w:rsidRPr="005E294D">
        <w:t xml:space="preserve"> </w:t>
      </w:r>
      <w:r>
        <w:t xml:space="preserve">(2017) at </w:t>
      </w:r>
      <w:hyperlink r:id="rId4" w:history="1">
        <w:r w:rsidRPr="00AA72E5">
          <w:rPr>
            <w:rStyle w:val="Hyperlink"/>
          </w:rPr>
          <w:t>https://chambers.com</w:t>
        </w:r>
      </w:hyperlink>
      <w:r>
        <w:t>.</w:t>
      </w:r>
    </w:p>
  </w:footnote>
  <w:footnote w:id="30">
    <w:p w14:paraId="5F0EDBA0" w14:textId="332241A3" w:rsidR="00E87221" w:rsidRDefault="00E87221" w:rsidP="001C1506">
      <w:pPr>
        <w:pStyle w:val="FootnoteText"/>
      </w:pPr>
      <w:r>
        <w:rPr>
          <w:rStyle w:val="FootnoteReference"/>
        </w:rPr>
        <w:footnoteRef/>
      </w:r>
      <w:r>
        <w:t xml:space="preserve"> </w:t>
      </w:r>
      <w:r>
        <w:rPr>
          <w:rFonts w:cstheme="minorHAnsi"/>
        </w:rPr>
        <w:t>Legal 500 Directory</w:t>
      </w:r>
      <w:r w:rsidRPr="00494EDB">
        <w:t xml:space="preserve"> </w:t>
      </w:r>
      <w:r>
        <w:t xml:space="preserve">(2017) at </w:t>
      </w:r>
      <w:hyperlink r:id="rId5" w:history="1">
        <w:r w:rsidRPr="00AA72E5">
          <w:rPr>
            <w:rStyle w:val="Hyperlink"/>
          </w:rPr>
          <w:t>https://www.legal500.com/books/l500/directory</w:t>
        </w:r>
      </w:hyperlink>
      <w:r>
        <w:t>.</w:t>
      </w:r>
    </w:p>
  </w:footnote>
  <w:footnote w:id="31">
    <w:p w14:paraId="580C6642" w14:textId="77777777" w:rsidR="00E87221" w:rsidRDefault="00E87221" w:rsidP="001C1506">
      <w:pPr>
        <w:pStyle w:val="FootnoteText"/>
        <w:jc w:val="left"/>
      </w:pPr>
      <w:r>
        <w:rPr>
          <w:rStyle w:val="FootnoteReference"/>
        </w:rPr>
        <w:footnoteRef/>
      </w:r>
      <w:r>
        <w:t xml:space="preserve"> </w:t>
      </w:r>
      <w:r w:rsidRPr="00253ACD">
        <w:rPr>
          <w:rFonts w:cstheme="minorHAnsi"/>
        </w:rPr>
        <w:t xml:space="preserve">NHS Resolution deals with over 90% of medical negligence claims and uses the services of </w:t>
      </w:r>
      <w:r>
        <w:rPr>
          <w:rFonts w:cstheme="minorHAnsi"/>
        </w:rPr>
        <w:t xml:space="preserve">several </w:t>
      </w:r>
      <w:r w:rsidRPr="00253ACD">
        <w:rPr>
          <w:rFonts w:cstheme="minorHAnsi"/>
        </w:rPr>
        <w:t>legal agencies in the country</w:t>
      </w:r>
      <w:r>
        <w:rPr>
          <w:rFonts w:cstheme="minorHAnsi"/>
        </w:rPr>
        <w:t xml:space="preserve">: </w:t>
      </w:r>
      <w:hyperlink r:id="rId6" w:history="1">
        <w:r w:rsidRPr="00AA72E5">
          <w:rPr>
            <w:rStyle w:val="Hyperlink"/>
            <w:rFonts w:cstheme="minorHAnsi"/>
          </w:rPr>
          <w:t>https://resolution.nhs.uk/services/claims-management/</w:t>
        </w:r>
      </w:hyperlink>
      <w:r>
        <w:rPr>
          <w:rFonts w:cstheme="minorHAnsi"/>
        </w:rPr>
        <w:t>.</w:t>
      </w:r>
    </w:p>
  </w:footnote>
  <w:footnote w:id="32">
    <w:p w14:paraId="6EBBE9B6" w14:textId="77777777" w:rsidR="00E87221" w:rsidRDefault="00E87221" w:rsidP="001C1506">
      <w:pPr>
        <w:pStyle w:val="FootnoteText"/>
        <w:jc w:val="left"/>
      </w:pPr>
      <w:r>
        <w:rPr>
          <w:rStyle w:val="FootnoteReference"/>
        </w:rPr>
        <w:footnoteRef/>
      </w:r>
      <w:r>
        <w:t xml:space="preserve"> </w:t>
      </w:r>
      <w:r>
        <w:rPr>
          <w:rFonts w:cstheme="minorHAnsi"/>
        </w:rPr>
        <w:t xml:space="preserve">Raw data were kindly provided by </w:t>
      </w:r>
      <w:r w:rsidRPr="006B73B3">
        <w:rPr>
          <w:rFonts w:cstheme="minorHAnsi"/>
        </w:rPr>
        <w:t>NHS Resolution</w:t>
      </w:r>
      <w:r>
        <w:rPr>
          <w:rFonts w:cstheme="minorHAnsi"/>
        </w:rPr>
        <w:t>. Responsibility for collation, analysis, conclusions and commentary lies with the authors.</w:t>
      </w:r>
    </w:p>
  </w:footnote>
  <w:footnote w:id="33">
    <w:p w14:paraId="3A01CEFF" w14:textId="77777777" w:rsidR="00E87221" w:rsidRDefault="00E87221" w:rsidP="001C1506">
      <w:pPr>
        <w:pStyle w:val="FootnoteText"/>
      </w:pPr>
      <w:r>
        <w:rPr>
          <w:rStyle w:val="FootnoteReference"/>
        </w:rPr>
        <w:footnoteRef/>
      </w:r>
      <w:r>
        <w:t xml:space="preserve"> Four barristers, two solicitors and an obstetric claims expert.</w:t>
      </w:r>
    </w:p>
  </w:footnote>
  <w:footnote w:id="34">
    <w:p w14:paraId="726EEB6B" w14:textId="6CE905A0" w:rsidR="00E87221" w:rsidRDefault="00E87221" w:rsidP="001C1506">
      <w:pPr>
        <w:pStyle w:val="FootnoteText"/>
        <w:jc w:val="left"/>
      </w:pPr>
      <w:r>
        <w:rPr>
          <w:rStyle w:val="FootnoteReference"/>
        </w:rPr>
        <w:footnoteRef/>
      </w:r>
      <w:r>
        <w:t xml:space="preserve"> AS: Personal communication with experienced health professionals.</w:t>
      </w:r>
    </w:p>
  </w:footnote>
  <w:footnote w:id="35">
    <w:p w14:paraId="244A5F75" w14:textId="77777777" w:rsidR="00E87221" w:rsidRPr="004E05B8" w:rsidRDefault="00E87221" w:rsidP="001C1506">
      <w:pPr>
        <w:pStyle w:val="FootnoteText"/>
      </w:pPr>
      <w:r>
        <w:rPr>
          <w:rStyle w:val="FootnoteReference"/>
        </w:rPr>
        <w:footnoteRef/>
      </w:r>
      <w:r>
        <w:t xml:space="preserve"> EJ Hill, S Knox, BJ Thompson, EN Williams, SA Hess, N </w:t>
      </w:r>
      <w:proofErr w:type="spellStart"/>
      <w:r>
        <w:t>Ladany</w:t>
      </w:r>
      <w:proofErr w:type="spellEnd"/>
      <w:r>
        <w:t xml:space="preserve">, ‘Consensual Qualitative Research; An Update (2005) 52 </w:t>
      </w:r>
      <w:r>
        <w:rPr>
          <w:i/>
        </w:rPr>
        <w:t xml:space="preserve">J Counsel </w:t>
      </w:r>
      <w:proofErr w:type="spellStart"/>
      <w:r>
        <w:rPr>
          <w:i/>
        </w:rPr>
        <w:t>Psychol</w:t>
      </w:r>
      <w:proofErr w:type="spellEnd"/>
      <w:r>
        <w:rPr>
          <w:i/>
        </w:rPr>
        <w:t xml:space="preserve"> </w:t>
      </w:r>
      <w:r>
        <w:t>192-205.</w:t>
      </w:r>
    </w:p>
  </w:footnote>
  <w:footnote w:id="36">
    <w:p w14:paraId="543CE172" w14:textId="77777777" w:rsidR="00E87221" w:rsidRPr="005908AB" w:rsidRDefault="00E87221" w:rsidP="001C1506">
      <w:pPr>
        <w:rPr>
          <w:color w:val="FF0000"/>
          <w:sz w:val="20"/>
        </w:rPr>
      </w:pPr>
      <w:r w:rsidRPr="00A06803">
        <w:rPr>
          <w:rStyle w:val="FootnoteReference"/>
          <w:sz w:val="20"/>
        </w:rPr>
        <w:footnoteRef/>
      </w:r>
      <w:r w:rsidRPr="00A06803">
        <w:rPr>
          <w:sz w:val="20"/>
        </w:rPr>
        <w:t xml:space="preserve"> J Cuzick</w:t>
      </w:r>
      <w:r>
        <w:rPr>
          <w:sz w:val="20"/>
        </w:rPr>
        <w:t xml:space="preserve">, ‘A Wilcoxon-type test for trend’ </w:t>
      </w:r>
      <w:r w:rsidRPr="00BC4311">
        <w:rPr>
          <w:sz w:val="20"/>
        </w:rPr>
        <w:t xml:space="preserve">(1985) </w:t>
      </w:r>
      <w:r>
        <w:rPr>
          <w:sz w:val="20"/>
        </w:rPr>
        <w:t xml:space="preserve">4 </w:t>
      </w:r>
      <w:r w:rsidRPr="00BC4311">
        <w:rPr>
          <w:sz w:val="20"/>
        </w:rPr>
        <w:t>Statistics in medicine</w:t>
      </w:r>
      <w:r>
        <w:rPr>
          <w:sz w:val="20"/>
        </w:rPr>
        <w:t xml:space="preserve"> </w:t>
      </w:r>
      <w:r w:rsidRPr="00BC4311">
        <w:rPr>
          <w:sz w:val="20"/>
        </w:rPr>
        <w:t>87</w:t>
      </w:r>
      <w:r>
        <w:rPr>
          <w:sz w:val="20"/>
        </w:rPr>
        <w:t xml:space="preserve">-90: </w:t>
      </w:r>
      <w:r w:rsidRPr="00BC4311">
        <w:rPr>
          <w:sz w:val="20"/>
        </w:rPr>
        <w:t xml:space="preserve">Statistically significant results </w:t>
      </w:r>
      <w:r>
        <w:rPr>
          <w:sz w:val="20"/>
        </w:rPr>
        <w:t xml:space="preserve">are </w:t>
      </w:r>
      <w:r w:rsidRPr="00BC4311">
        <w:rPr>
          <w:sz w:val="20"/>
        </w:rPr>
        <w:t>those that reject</w:t>
      </w:r>
      <w:r>
        <w:rPr>
          <w:sz w:val="20"/>
        </w:rPr>
        <w:t xml:space="preserve"> t</w:t>
      </w:r>
      <w:r w:rsidRPr="00BC4311">
        <w:rPr>
          <w:sz w:val="20"/>
        </w:rPr>
        <w:t xml:space="preserve">he null hypothesis (no difference between </w:t>
      </w:r>
      <w:r>
        <w:rPr>
          <w:sz w:val="20"/>
        </w:rPr>
        <w:t xml:space="preserve">the </w:t>
      </w:r>
      <w:r w:rsidRPr="00BC4311">
        <w:rPr>
          <w:sz w:val="20"/>
        </w:rPr>
        <w:t>comparison groups) and a probability level less than 5% that the result occurred purely by chance (</w:t>
      </w:r>
      <w:r w:rsidRPr="00BC4311">
        <w:rPr>
          <w:i/>
          <w:sz w:val="20"/>
        </w:rPr>
        <w:t>p &lt; 0.05</w:t>
      </w:r>
      <w:r w:rsidRPr="00BC4311">
        <w:rPr>
          <w:sz w:val="20"/>
        </w:rPr>
        <w:t>).</w:t>
      </w:r>
      <w:r w:rsidRPr="00BC4311">
        <w:rPr>
          <w:color w:val="FF0000"/>
        </w:rPr>
        <w:t xml:space="preserve"> </w:t>
      </w:r>
    </w:p>
  </w:footnote>
  <w:footnote w:id="37">
    <w:p w14:paraId="055C12AA" w14:textId="77777777" w:rsidR="00E87221" w:rsidRDefault="00E87221" w:rsidP="009954E0">
      <w:pPr>
        <w:pStyle w:val="FootnoteText"/>
        <w:jc w:val="left"/>
      </w:pPr>
      <w:r w:rsidRPr="00BC4311">
        <w:rPr>
          <w:rStyle w:val="FootnoteReference"/>
        </w:rPr>
        <w:footnoteRef/>
      </w:r>
      <w:r w:rsidRPr="00BC4311">
        <w:t xml:space="preserve"> </w:t>
      </w:r>
      <w:r>
        <w:t xml:space="preserve">M </w:t>
      </w:r>
      <w:r w:rsidRPr="00BC4311">
        <w:t>Bloor</w:t>
      </w:r>
      <w:r>
        <w:t xml:space="preserve">, J </w:t>
      </w:r>
      <w:r w:rsidRPr="00BC4311">
        <w:t>Frankland</w:t>
      </w:r>
      <w:r>
        <w:t xml:space="preserve">, M </w:t>
      </w:r>
      <w:r w:rsidRPr="00BC4311">
        <w:t>Thomas</w:t>
      </w:r>
      <w:r>
        <w:t xml:space="preserve">, K </w:t>
      </w:r>
      <w:r w:rsidRPr="00BC4311">
        <w:t>Robson</w:t>
      </w:r>
      <w:r>
        <w:t xml:space="preserve">, </w:t>
      </w:r>
      <w:r w:rsidRPr="00BC4311">
        <w:t>Focus groups and social research</w:t>
      </w:r>
      <w:r>
        <w:t xml:space="preserve"> (</w:t>
      </w:r>
      <w:r w:rsidRPr="00BC4311">
        <w:t>Sage: London</w:t>
      </w:r>
      <w:r>
        <w:t>, 2001).</w:t>
      </w:r>
    </w:p>
  </w:footnote>
  <w:footnote w:id="38">
    <w:p w14:paraId="3EA1B95E" w14:textId="0C8C9CF0" w:rsidR="00E87221" w:rsidRDefault="00E87221" w:rsidP="001C1506">
      <w:pPr>
        <w:pStyle w:val="FootnoteText"/>
        <w:jc w:val="left"/>
      </w:pPr>
      <w:r>
        <w:rPr>
          <w:rStyle w:val="FootnoteReference"/>
        </w:rPr>
        <w:footnoteRef/>
      </w:r>
      <w:r>
        <w:t xml:space="preserve"> Supplemented by a qualitative data analysis tool (NVivo) to input into the overall analysis.  </w:t>
      </w:r>
    </w:p>
  </w:footnote>
  <w:footnote w:id="39">
    <w:p w14:paraId="4833EDD1" w14:textId="3EED31BA" w:rsidR="00E87221" w:rsidRPr="007D5513" w:rsidRDefault="00E87221" w:rsidP="007D5513">
      <w:r>
        <w:rPr>
          <w:rStyle w:val="FootnoteReference"/>
        </w:rPr>
        <w:footnoteRef/>
      </w:r>
      <w:r>
        <w:t xml:space="preserve"> </w:t>
      </w:r>
      <w:r w:rsidRPr="007D5513">
        <w:rPr>
          <w:rFonts w:asciiTheme="minorHAnsi" w:hAnsiTheme="minorHAnsi" w:cstheme="minorBidi"/>
          <w:sz w:val="20"/>
        </w:rPr>
        <w:t xml:space="preserve">The response rate was 13.5% (39/289) (average response rates for on-line surveys 10-15%, peoplepulse.com). We use the results to illustrate changing trends and do not assert generalisability for individual cases. </w:t>
      </w:r>
    </w:p>
  </w:footnote>
  <w:footnote w:id="40">
    <w:p w14:paraId="2B49ED8F" w14:textId="134E5601" w:rsidR="00E87221" w:rsidRPr="00A42532" w:rsidRDefault="00E87221" w:rsidP="007D5513">
      <w:pPr>
        <w:pStyle w:val="FootnoteText"/>
        <w:jc w:val="left"/>
        <w:rPr>
          <w:rFonts w:asciiTheme="minorHAnsi" w:hAnsiTheme="minorHAnsi"/>
          <w:color w:val="FF0000"/>
        </w:rPr>
      </w:pPr>
      <w:r>
        <w:rPr>
          <w:rStyle w:val="FootnoteReference"/>
        </w:rPr>
        <w:footnoteRef/>
      </w:r>
      <w:r>
        <w:t xml:space="preserve"> The “null hypothesis” assumes no meaningful difference between values being compared. This is tested using a test for “significance”. The ‘p-value’ (</w:t>
      </w:r>
      <w:r w:rsidRPr="0015028B">
        <w:rPr>
          <w:rFonts w:asciiTheme="minorHAnsi" w:hAnsiTheme="minorHAnsi" w:cs="Arial"/>
          <w:bCs/>
          <w:color w:val="202122"/>
          <w:shd w:val="clear" w:color="auto" w:fill="FFFFFF"/>
        </w:rPr>
        <w:t>probability value</w:t>
      </w:r>
      <w:r>
        <w:rPr>
          <w:rFonts w:asciiTheme="minorHAnsi" w:hAnsiTheme="minorHAnsi" w:cs="Arial"/>
          <w:bCs/>
          <w:color w:val="202122"/>
          <w:shd w:val="clear" w:color="auto" w:fill="FFFFFF"/>
        </w:rPr>
        <w:t xml:space="preserve">) </w:t>
      </w:r>
      <w:r w:rsidRPr="00E51FE2">
        <w:rPr>
          <w:rFonts w:asciiTheme="minorHAnsi" w:hAnsiTheme="minorHAnsi" w:cs="Arial"/>
          <w:color w:val="202122"/>
          <w:shd w:val="clear" w:color="auto" w:fill="FFFFFF"/>
        </w:rPr>
        <w:t xml:space="preserve">is the </w:t>
      </w:r>
      <w:r>
        <w:rPr>
          <w:rFonts w:asciiTheme="minorHAnsi" w:hAnsiTheme="minorHAnsi" w:cs="Arial"/>
          <w:color w:val="202122"/>
          <w:shd w:val="clear" w:color="auto" w:fill="FFFFFF"/>
        </w:rPr>
        <w:t xml:space="preserve">statistical likelihood </w:t>
      </w:r>
      <w:r w:rsidRPr="00E51FE2">
        <w:rPr>
          <w:rFonts w:asciiTheme="minorHAnsi" w:hAnsiTheme="minorHAnsi" w:cs="Arial"/>
          <w:color w:val="202122"/>
          <w:shd w:val="clear" w:color="auto" w:fill="FFFFFF"/>
        </w:rPr>
        <w:t>of obtaining results at least as extreme as the </w:t>
      </w:r>
      <w:hyperlink r:id="rId7" w:tooltip="Realization (probability)" w:history="1">
        <w:r w:rsidRPr="0015028B">
          <w:rPr>
            <w:rFonts w:asciiTheme="minorHAnsi" w:hAnsiTheme="minorHAnsi" w:cs="Arial"/>
            <w:shd w:val="clear" w:color="auto" w:fill="FFFFFF"/>
          </w:rPr>
          <w:t xml:space="preserve">results </w:t>
        </w:r>
        <w:r>
          <w:rPr>
            <w:rFonts w:asciiTheme="minorHAnsi" w:hAnsiTheme="minorHAnsi" w:cs="Arial"/>
            <w:shd w:val="clear" w:color="auto" w:fill="FFFFFF"/>
          </w:rPr>
          <w:t xml:space="preserve">found </w:t>
        </w:r>
      </w:hyperlink>
      <w:r>
        <w:rPr>
          <w:rFonts w:asciiTheme="minorHAnsi" w:hAnsiTheme="minorHAnsi" w:cs="Arial"/>
          <w:shd w:val="clear" w:color="auto" w:fill="FFFFFF"/>
        </w:rPr>
        <w:t xml:space="preserve">based </w:t>
      </w:r>
      <w:r>
        <w:rPr>
          <w:rFonts w:asciiTheme="minorHAnsi" w:hAnsiTheme="minorHAnsi" w:cs="Arial"/>
          <w:color w:val="202122"/>
          <w:shd w:val="clear" w:color="auto" w:fill="FFFFFF"/>
        </w:rPr>
        <w:t xml:space="preserve">on the default </w:t>
      </w:r>
      <w:r w:rsidRPr="004238AC">
        <w:rPr>
          <w:rFonts w:asciiTheme="minorHAnsi" w:hAnsiTheme="minorHAnsi" w:cs="Arial"/>
          <w:color w:val="202122"/>
          <w:shd w:val="clear" w:color="auto" w:fill="FFFFFF"/>
        </w:rPr>
        <w:t xml:space="preserve">position that </w:t>
      </w:r>
      <w:r>
        <w:rPr>
          <w:rFonts w:asciiTheme="minorHAnsi" w:hAnsiTheme="minorHAnsi" w:cs="Arial"/>
          <w:color w:val="202122"/>
          <w:shd w:val="clear" w:color="auto" w:fill="FFFFFF"/>
        </w:rPr>
        <w:t xml:space="preserve">no relationship exists between the two phenomena. A value of </w:t>
      </w:r>
      <w:r>
        <w:rPr>
          <w:rFonts w:asciiTheme="minorHAnsi" w:hAnsiTheme="minorHAnsi" w:cs="Arial"/>
          <w:i/>
          <w:color w:val="202122"/>
          <w:shd w:val="clear" w:color="auto" w:fill="FFFFFF"/>
        </w:rPr>
        <w:t xml:space="preserve">p&lt;0.05 </w:t>
      </w:r>
      <w:r w:rsidRPr="00042ED9">
        <w:rPr>
          <w:rFonts w:asciiTheme="minorHAnsi" w:hAnsiTheme="minorHAnsi" w:cs="Arial"/>
          <w:color w:val="202122"/>
          <w:shd w:val="clear" w:color="auto" w:fill="FFFFFF"/>
        </w:rPr>
        <w:t>means</w:t>
      </w:r>
      <w:r>
        <w:rPr>
          <w:rFonts w:asciiTheme="minorHAnsi" w:hAnsiTheme="minorHAnsi" w:cs="Arial"/>
          <w:i/>
          <w:color w:val="202122"/>
          <w:shd w:val="clear" w:color="auto" w:fill="FFFFFF"/>
        </w:rPr>
        <w:t xml:space="preserve"> </w:t>
      </w:r>
      <w:r>
        <w:rPr>
          <w:rFonts w:asciiTheme="minorHAnsi" w:hAnsiTheme="minorHAnsi" w:cs="Arial"/>
          <w:color w:val="202122"/>
          <w:shd w:val="clear" w:color="auto" w:fill="FFFFFF"/>
        </w:rPr>
        <w:t>there is a less than a 5% chance that the noted difference is random (there is 95% confidence that a “significant” difference exists between the phenomena).</w:t>
      </w:r>
    </w:p>
  </w:footnote>
  <w:footnote w:id="41">
    <w:p w14:paraId="4E2B45AA" w14:textId="7DC12A3C" w:rsidR="00E87221" w:rsidRDefault="00E87221" w:rsidP="00A877C1">
      <w:pPr>
        <w:pStyle w:val="FootnoteText"/>
      </w:pPr>
      <w:r>
        <w:rPr>
          <w:rStyle w:val="FootnoteReference"/>
        </w:rPr>
        <w:footnoteRef/>
      </w:r>
      <w:r>
        <w:t xml:space="preserve"> Woolf et al., (n 6). </w:t>
      </w:r>
    </w:p>
  </w:footnote>
  <w:footnote w:id="42">
    <w:p w14:paraId="6D1C715F" w14:textId="363130F5" w:rsidR="00E87221" w:rsidRDefault="00E87221" w:rsidP="00A877C1">
      <w:pPr>
        <w:pStyle w:val="FootnoteText"/>
      </w:pPr>
      <w:r>
        <w:rPr>
          <w:rStyle w:val="FootnoteReference"/>
        </w:rPr>
        <w:footnoteRef/>
      </w:r>
      <w:r>
        <w:t xml:space="preserve"> Guidelines have proliferated and have global reach into multiple sectors.  </w:t>
      </w:r>
    </w:p>
  </w:footnote>
  <w:footnote w:id="43">
    <w:p w14:paraId="746F9493" w14:textId="156AF297" w:rsidR="00E87221" w:rsidRDefault="00E87221" w:rsidP="00A877C1">
      <w:pPr>
        <w:pStyle w:val="FootnoteText"/>
      </w:pPr>
      <w:r>
        <w:rPr>
          <w:rStyle w:val="FootnoteReference"/>
        </w:rPr>
        <w:footnoteRef/>
      </w:r>
      <w:r>
        <w:t xml:space="preserve"> </w:t>
      </w:r>
      <w:r w:rsidRPr="001A7396">
        <w:rPr>
          <w:i/>
        </w:rPr>
        <w:t>Loveday v Renton</w:t>
      </w:r>
      <w:r>
        <w:t xml:space="preserve"> [1990] 1 Med LR 1117.</w:t>
      </w:r>
    </w:p>
  </w:footnote>
  <w:footnote w:id="44">
    <w:p w14:paraId="77A3B007" w14:textId="77777777" w:rsidR="00E87221" w:rsidRDefault="00E87221" w:rsidP="00A877C1">
      <w:pPr>
        <w:pStyle w:val="FootnoteText"/>
      </w:pPr>
      <w:r>
        <w:rPr>
          <w:rStyle w:val="FootnoteReference"/>
        </w:rPr>
        <w:footnoteRef/>
      </w:r>
      <w:r>
        <w:t xml:space="preserve"> Participant 2: </w:t>
      </w:r>
      <w:r w:rsidRPr="00C353F4">
        <w:t>(Barrister)(IDI).</w:t>
      </w:r>
      <w:r w:rsidRPr="008963D9">
        <w:rPr>
          <w:sz w:val="32"/>
          <w:szCs w:val="32"/>
        </w:rPr>
        <w:t xml:space="preserve">  </w:t>
      </w:r>
    </w:p>
  </w:footnote>
  <w:footnote w:id="45">
    <w:p w14:paraId="5DA4FAA5" w14:textId="77777777" w:rsidR="00E87221" w:rsidRDefault="00E87221" w:rsidP="00A877C1">
      <w:pPr>
        <w:pStyle w:val="FootnoteText"/>
      </w:pPr>
      <w:r>
        <w:rPr>
          <w:rStyle w:val="FootnoteReference"/>
        </w:rPr>
        <w:footnoteRef/>
      </w:r>
      <w:r>
        <w:t xml:space="preserve"> Respondent 7: </w:t>
      </w:r>
      <w:r w:rsidRPr="00F71DE6">
        <w:t>(Barrister)(SFT).</w:t>
      </w:r>
    </w:p>
  </w:footnote>
  <w:footnote w:id="46">
    <w:p w14:paraId="2E2584F8" w14:textId="77777777" w:rsidR="00E87221" w:rsidRDefault="00E87221" w:rsidP="00116364">
      <w:pPr>
        <w:pStyle w:val="FootnoteText"/>
      </w:pPr>
      <w:r>
        <w:rPr>
          <w:rStyle w:val="FootnoteReference"/>
        </w:rPr>
        <w:footnoteRef/>
      </w:r>
      <w:r>
        <w:t xml:space="preserve"> Respondent 5: </w:t>
      </w:r>
      <w:r w:rsidRPr="00C03D92">
        <w:t>(Solicitor)(SFT).</w:t>
      </w:r>
    </w:p>
  </w:footnote>
  <w:footnote w:id="47">
    <w:p w14:paraId="706AF947" w14:textId="77777777" w:rsidR="00E87221" w:rsidRDefault="00E87221" w:rsidP="00116364">
      <w:pPr>
        <w:pStyle w:val="FootnoteText"/>
      </w:pPr>
      <w:r>
        <w:rPr>
          <w:rStyle w:val="FootnoteReference"/>
        </w:rPr>
        <w:footnoteRef/>
      </w:r>
      <w:r>
        <w:t xml:space="preserve"> Participant 1: </w:t>
      </w:r>
      <w:r w:rsidRPr="000D0F06">
        <w:t>(Barrister)(IDI).</w:t>
      </w:r>
    </w:p>
  </w:footnote>
  <w:footnote w:id="48">
    <w:p w14:paraId="52EA1B2B" w14:textId="77F4DAE9" w:rsidR="00E87221" w:rsidRPr="00CA7CF1" w:rsidRDefault="00E87221" w:rsidP="00116364">
      <w:pPr>
        <w:pStyle w:val="FootnoteText"/>
      </w:pPr>
      <w:r>
        <w:rPr>
          <w:rStyle w:val="FootnoteReference"/>
        </w:rPr>
        <w:footnoteRef/>
      </w:r>
      <w:r>
        <w:t xml:space="preserve"> N Poole, </w:t>
      </w:r>
      <w:r w:rsidRPr="00042ED9">
        <w:rPr>
          <w:iCs/>
        </w:rPr>
        <w:t>Clinical Negligence Made Clear</w:t>
      </w:r>
      <w:r>
        <w:t xml:space="preserve"> (Bath Publishing, Bath, 2019) 184. </w:t>
      </w:r>
    </w:p>
  </w:footnote>
  <w:footnote w:id="49">
    <w:p w14:paraId="7A211C8E" w14:textId="77777777" w:rsidR="00E87221" w:rsidRDefault="00E87221" w:rsidP="00116364">
      <w:pPr>
        <w:pStyle w:val="FootnoteText"/>
      </w:pPr>
      <w:r>
        <w:rPr>
          <w:rStyle w:val="FootnoteReference"/>
        </w:rPr>
        <w:footnoteRef/>
      </w:r>
      <w:r>
        <w:t xml:space="preserve"> ibid. </w:t>
      </w:r>
    </w:p>
  </w:footnote>
  <w:footnote w:id="50">
    <w:p w14:paraId="1CF9BBD2" w14:textId="77777777" w:rsidR="00E87221" w:rsidRDefault="00E87221" w:rsidP="00A877C1">
      <w:pPr>
        <w:pStyle w:val="FootnoteText"/>
      </w:pPr>
      <w:r>
        <w:rPr>
          <w:rStyle w:val="FootnoteReference"/>
        </w:rPr>
        <w:footnoteRef/>
      </w:r>
      <w:r>
        <w:t xml:space="preserve"> Participant 6: </w:t>
      </w:r>
      <w:r w:rsidRPr="00DD344B">
        <w:t xml:space="preserve">(Claims </w:t>
      </w:r>
      <w:proofErr w:type="gramStart"/>
      <w:r w:rsidRPr="00DD344B">
        <w:t>expert)(</w:t>
      </w:r>
      <w:proofErr w:type="gramEnd"/>
      <w:r w:rsidRPr="00DD344B">
        <w:t>IDI).</w:t>
      </w:r>
    </w:p>
  </w:footnote>
  <w:footnote w:id="51">
    <w:p w14:paraId="5A042AAD" w14:textId="77777777" w:rsidR="00E87221" w:rsidRDefault="00E87221" w:rsidP="00A95C27">
      <w:pPr>
        <w:pStyle w:val="FootnoteText"/>
      </w:pPr>
      <w:r>
        <w:rPr>
          <w:rStyle w:val="FootnoteReference"/>
        </w:rPr>
        <w:footnoteRef/>
      </w:r>
      <w:r>
        <w:t xml:space="preserve"> Respondent 11: </w:t>
      </w:r>
      <w:r w:rsidRPr="005863BD">
        <w:t>(Barrister)(SFT)</w:t>
      </w:r>
      <w:r>
        <w:t>.</w:t>
      </w:r>
    </w:p>
  </w:footnote>
  <w:footnote w:id="52">
    <w:p w14:paraId="6CE616D9" w14:textId="77777777" w:rsidR="00E87221" w:rsidRDefault="00E87221" w:rsidP="00A95C27">
      <w:pPr>
        <w:pStyle w:val="FootnoteText"/>
      </w:pPr>
      <w:r>
        <w:rPr>
          <w:rStyle w:val="FootnoteReference"/>
        </w:rPr>
        <w:footnoteRef/>
      </w:r>
      <w:r>
        <w:t xml:space="preserve"> Respondent 21: </w:t>
      </w:r>
      <w:r w:rsidRPr="00DF7DF3">
        <w:t>(Barrister)(SFT)</w:t>
      </w:r>
      <w:r>
        <w:t>.</w:t>
      </w:r>
    </w:p>
  </w:footnote>
  <w:footnote w:id="53">
    <w:p w14:paraId="5207612A" w14:textId="77777777" w:rsidR="00E87221" w:rsidRDefault="00E87221" w:rsidP="00A95C27">
      <w:pPr>
        <w:pStyle w:val="FootnoteText"/>
      </w:pPr>
      <w:r>
        <w:rPr>
          <w:rStyle w:val="FootnoteReference"/>
        </w:rPr>
        <w:footnoteRef/>
      </w:r>
      <w:r>
        <w:t xml:space="preserve"> Participant 4: </w:t>
      </w:r>
      <w:r w:rsidRPr="001A3176">
        <w:t>(Barrister)(IDI).</w:t>
      </w:r>
    </w:p>
  </w:footnote>
  <w:footnote w:id="54">
    <w:p w14:paraId="00277C7A" w14:textId="77777777" w:rsidR="00E87221" w:rsidRDefault="00E87221" w:rsidP="00A95C27">
      <w:pPr>
        <w:pStyle w:val="FootnoteText"/>
      </w:pPr>
      <w:r>
        <w:rPr>
          <w:rStyle w:val="FootnoteReference"/>
        </w:rPr>
        <w:footnoteRef/>
      </w:r>
      <w:r>
        <w:t xml:space="preserve"> Participant 3: </w:t>
      </w:r>
      <w:r w:rsidRPr="00A37C70">
        <w:t>(Barrister)(IDI).</w:t>
      </w:r>
      <w:r w:rsidRPr="008963D9">
        <w:rPr>
          <w:sz w:val="32"/>
          <w:szCs w:val="32"/>
        </w:rPr>
        <w:t xml:space="preserve"> </w:t>
      </w:r>
      <w:r>
        <w:rPr>
          <w:sz w:val="32"/>
          <w:szCs w:val="32"/>
        </w:rPr>
        <w:t xml:space="preserve"> </w:t>
      </w:r>
    </w:p>
  </w:footnote>
  <w:footnote w:id="55">
    <w:p w14:paraId="05DEFD3C" w14:textId="77777777" w:rsidR="00E87221" w:rsidRDefault="00E87221" w:rsidP="00A95C27">
      <w:pPr>
        <w:pStyle w:val="FootnoteText"/>
      </w:pPr>
      <w:r>
        <w:rPr>
          <w:rStyle w:val="FootnoteReference"/>
        </w:rPr>
        <w:footnoteRef/>
      </w:r>
      <w:r>
        <w:t xml:space="preserve"> Participant 5: </w:t>
      </w:r>
      <w:r w:rsidRPr="00C457AB">
        <w:t>(Solicitor)(IDI).</w:t>
      </w:r>
      <w:r>
        <w:rPr>
          <w:sz w:val="32"/>
          <w:szCs w:val="32"/>
        </w:rPr>
        <w:t xml:space="preserve"> </w:t>
      </w:r>
      <w:r w:rsidRPr="008963D9">
        <w:rPr>
          <w:sz w:val="32"/>
          <w:szCs w:val="32"/>
        </w:rPr>
        <w:t xml:space="preserve"> </w:t>
      </w:r>
    </w:p>
  </w:footnote>
  <w:footnote w:id="56">
    <w:p w14:paraId="56A5A104" w14:textId="77777777" w:rsidR="00E87221" w:rsidRDefault="00E87221" w:rsidP="00A95C27">
      <w:pPr>
        <w:pStyle w:val="FootnoteText"/>
      </w:pPr>
      <w:r>
        <w:rPr>
          <w:rStyle w:val="FootnoteReference"/>
        </w:rPr>
        <w:footnoteRef/>
      </w:r>
      <w:r>
        <w:t xml:space="preserve"> Respondent 32: </w:t>
      </w:r>
      <w:r w:rsidRPr="00A236BE">
        <w:t>(Barrister)(SFT).</w:t>
      </w:r>
    </w:p>
  </w:footnote>
  <w:footnote w:id="57">
    <w:p w14:paraId="2B1F03D6" w14:textId="77777777" w:rsidR="00E87221" w:rsidRDefault="00E87221" w:rsidP="00A95C27">
      <w:pPr>
        <w:pStyle w:val="FootnoteText"/>
      </w:pPr>
      <w:r>
        <w:rPr>
          <w:rStyle w:val="FootnoteReference"/>
        </w:rPr>
        <w:footnoteRef/>
      </w:r>
      <w:r>
        <w:t xml:space="preserve"> Participant 6: </w:t>
      </w:r>
      <w:r w:rsidRPr="001D08FC">
        <w:t xml:space="preserve">(Claims </w:t>
      </w:r>
      <w:proofErr w:type="gramStart"/>
      <w:r w:rsidRPr="001D08FC">
        <w:t>expert)(</w:t>
      </w:r>
      <w:proofErr w:type="gramEnd"/>
      <w:r w:rsidRPr="001D08FC">
        <w:t>IDI).</w:t>
      </w:r>
    </w:p>
  </w:footnote>
  <w:footnote w:id="58">
    <w:p w14:paraId="5FE2F338" w14:textId="77777777" w:rsidR="00E87221" w:rsidRDefault="00E87221" w:rsidP="00A95C27">
      <w:pPr>
        <w:pStyle w:val="FootnoteText"/>
      </w:pPr>
      <w:r>
        <w:rPr>
          <w:rStyle w:val="FootnoteReference"/>
        </w:rPr>
        <w:footnoteRef/>
      </w:r>
      <w:r>
        <w:t xml:space="preserve"> Participant 6: </w:t>
      </w:r>
      <w:r w:rsidRPr="0050718C">
        <w:t xml:space="preserve">(Claims </w:t>
      </w:r>
      <w:proofErr w:type="gramStart"/>
      <w:r w:rsidRPr="0050718C">
        <w:t>expert)(</w:t>
      </w:r>
      <w:proofErr w:type="gramEnd"/>
      <w:r w:rsidRPr="0050718C">
        <w:t>IDI).</w:t>
      </w:r>
    </w:p>
  </w:footnote>
  <w:footnote w:id="59">
    <w:p w14:paraId="20999A51" w14:textId="77777777" w:rsidR="00E87221" w:rsidRPr="00964212" w:rsidRDefault="00E87221" w:rsidP="00A95C27">
      <w:pPr>
        <w:rPr>
          <w:rFonts w:ascii="Times New Roman" w:hAnsi="Times New Roman" w:cs="Times New Roman"/>
        </w:rPr>
      </w:pPr>
      <w:r w:rsidRPr="00F447FD">
        <w:rPr>
          <w:rStyle w:val="FootnoteReference"/>
          <w:sz w:val="20"/>
        </w:rPr>
        <w:footnoteRef/>
      </w:r>
      <w:r w:rsidRPr="00F447FD">
        <w:rPr>
          <w:sz w:val="20"/>
        </w:rPr>
        <w:t xml:space="preserve"> </w:t>
      </w:r>
      <w:proofErr w:type="spellStart"/>
      <w:r w:rsidRPr="00F447FD">
        <w:rPr>
          <w:rFonts w:cs="Times New Roman"/>
          <w:i/>
          <w:sz w:val="20"/>
        </w:rPr>
        <w:t>Arkle</w:t>
      </w:r>
      <w:r>
        <w:rPr>
          <w:rFonts w:cs="Times New Roman"/>
          <w:i/>
          <w:sz w:val="20"/>
        </w:rPr>
        <w:t>s</w:t>
      </w:r>
      <w:r w:rsidRPr="00F447FD">
        <w:rPr>
          <w:rFonts w:cs="Times New Roman"/>
          <w:i/>
          <w:sz w:val="20"/>
        </w:rPr>
        <w:t>s</w:t>
      </w:r>
      <w:proofErr w:type="spellEnd"/>
      <w:r w:rsidRPr="00F447FD">
        <w:rPr>
          <w:rFonts w:cs="Times New Roman"/>
          <w:i/>
          <w:sz w:val="20"/>
        </w:rPr>
        <w:t xml:space="preserve"> v Betsi Cadwaladr University Local Health Board</w:t>
      </w:r>
      <w:r w:rsidRPr="00F447FD">
        <w:rPr>
          <w:rFonts w:cs="Times New Roman"/>
          <w:color w:val="000000"/>
          <w:sz w:val="20"/>
          <w:shd w:val="clear" w:color="auto" w:fill="FFFFFF"/>
        </w:rPr>
        <w:t> [2016] EWHC 330 (QB)</w:t>
      </w:r>
    </w:p>
  </w:footnote>
  <w:footnote w:id="60">
    <w:p w14:paraId="3FC1C947" w14:textId="77777777" w:rsidR="00E87221" w:rsidRDefault="00E87221" w:rsidP="00A95C27">
      <w:pPr>
        <w:pStyle w:val="FootnoteText"/>
      </w:pPr>
      <w:r>
        <w:rPr>
          <w:rStyle w:val="FootnoteReference"/>
        </w:rPr>
        <w:footnoteRef/>
      </w:r>
      <w:r>
        <w:t xml:space="preserve"> The backs of her fingers had touched her arm.</w:t>
      </w:r>
    </w:p>
  </w:footnote>
  <w:footnote w:id="61">
    <w:p w14:paraId="0506E6B4" w14:textId="13AF0200" w:rsidR="00E87221" w:rsidRPr="00147141" w:rsidRDefault="00E87221" w:rsidP="00D30A96">
      <w:r>
        <w:rPr>
          <w:rStyle w:val="FootnoteReference"/>
        </w:rPr>
        <w:footnoteRef/>
      </w:r>
      <w:r>
        <w:t xml:space="preserve"> </w:t>
      </w:r>
      <w:proofErr w:type="spellStart"/>
      <w:r w:rsidRPr="00147141">
        <w:rPr>
          <w:rFonts w:cs="Times New Roman"/>
          <w:i/>
          <w:sz w:val="20"/>
        </w:rPr>
        <w:t>Arkless</w:t>
      </w:r>
      <w:proofErr w:type="spellEnd"/>
      <w:r w:rsidRPr="00147141">
        <w:rPr>
          <w:rFonts w:cs="Times New Roman"/>
          <w:i/>
          <w:sz w:val="20"/>
        </w:rPr>
        <w:t xml:space="preserve"> </w:t>
      </w:r>
      <w:r w:rsidRPr="004A6161">
        <w:rPr>
          <w:rFonts w:cs="Times New Roman"/>
          <w:sz w:val="20"/>
        </w:rPr>
        <w:t>(n 58) 4.</w:t>
      </w:r>
    </w:p>
  </w:footnote>
  <w:footnote w:id="62">
    <w:p w14:paraId="74CD311F" w14:textId="0C3F1F2F" w:rsidR="00E87221" w:rsidRDefault="00E87221" w:rsidP="00A95C27">
      <w:pPr>
        <w:pStyle w:val="FootnoteText"/>
      </w:pPr>
      <w:r>
        <w:rPr>
          <w:rStyle w:val="FootnoteReference"/>
        </w:rPr>
        <w:footnoteRef/>
      </w:r>
      <w:r>
        <w:t xml:space="preserve"> </w:t>
      </w:r>
      <w:proofErr w:type="spellStart"/>
      <w:r w:rsidRPr="00F447FD">
        <w:rPr>
          <w:rFonts w:asciiTheme="minorHAnsi" w:hAnsiTheme="minorHAnsi" w:cs="Times New Roman"/>
          <w:i/>
        </w:rPr>
        <w:t>Arkle</w:t>
      </w:r>
      <w:r>
        <w:rPr>
          <w:rFonts w:asciiTheme="minorHAnsi" w:hAnsiTheme="minorHAnsi" w:cs="Times New Roman"/>
          <w:i/>
        </w:rPr>
        <w:t>s</w:t>
      </w:r>
      <w:r w:rsidRPr="00F447FD">
        <w:rPr>
          <w:rFonts w:asciiTheme="minorHAnsi" w:hAnsiTheme="minorHAnsi" w:cs="Times New Roman"/>
          <w:i/>
        </w:rPr>
        <w:t>s</w:t>
      </w:r>
      <w:proofErr w:type="spellEnd"/>
      <w:r w:rsidRPr="00F447FD">
        <w:rPr>
          <w:rFonts w:asciiTheme="minorHAnsi" w:hAnsiTheme="minorHAnsi" w:cs="Times New Roman"/>
          <w:i/>
        </w:rPr>
        <w:t xml:space="preserve"> </w:t>
      </w:r>
      <w:r w:rsidRPr="004A6161">
        <w:rPr>
          <w:rFonts w:asciiTheme="minorHAnsi" w:hAnsiTheme="minorHAnsi" w:cs="Times New Roman"/>
        </w:rPr>
        <w:t xml:space="preserve">(n 58) </w:t>
      </w:r>
      <w:r w:rsidRPr="004A6161">
        <w:rPr>
          <w:rFonts w:asciiTheme="minorHAnsi" w:hAnsiTheme="minorHAnsi" w:cs="Times New Roman"/>
          <w:color w:val="000000"/>
          <w:shd w:val="clear" w:color="auto" w:fill="FFFFFF"/>
        </w:rPr>
        <w:t>22.</w:t>
      </w:r>
    </w:p>
  </w:footnote>
  <w:footnote w:id="63">
    <w:p w14:paraId="7EE27921" w14:textId="77777777" w:rsidR="00E87221" w:rsidRDefault="00E87221" w:rsidP="00A95C27">
      <w:pPr>
        <w:pStyle w:val="FootnoteText"/>
      </w:pPr>
      <w:r>
        <w:rPr>
          <w:rStyle w:val="FootnoteReference"/>
        </w:rPr>
        <w:footnoteRef/>
      </w:r>
      <w:r>
        <w:t xml:space="preserve"> </w:t>
      </w:r>
      <w:r w:rsidRPr="001878A5">
        <w:rPr>
          <w:i/>
        </w:rPr>
        <w:t xml:space="preserve">Adshead v </w:t>
      </w:r>
      <w:proofErr w:type="spellStart"/>
      <w:r w:rsidRPr="001878A5">
        <w:rPr>
          <w:i/>
        </w:rPr>
        <w:t>Tottle</w:t>
      </w:r>
      <w:proofErr w:type="spellEnd"/>
      <w:r>
        <w:t xml:space="preserve"> (1</w:t>
      </w:r>
      <w:r w:rsidRPr="005343B6">
        <w:rPr>
          <w:vertAlign w:val="superscript"/>
        </w:rPr>
        <w:t>st</w:t>
      </w:r>
      <w:r>
        <w:t xml:space="preserve"> November 2007, </w:t>
      </w:r>
      <w:proofErr w:type="spellStart"/>
      <w:r>
        <w:t>Lawtel</w:t>
      </w:r>
      <w:proofErr w:type="spellEnd"/>
      <w:r>
        <w:t xml:space="preserve">). </w:t>
      </w:r>
    </w:p>
  </w:footnote>
  <w:footnote w:id="64">
    <w:p w14:paraId="514DE564" w14:textId="1E8FDEC6" w:rsidR="00E87221" w:rsidRDefault="00E87221" w:rsidP="00A95C27">
      <w:pPr>
        <w:pStyle w:val="FootnoteText"/>
      </w:pPr>
      <w:r>
        <w:rPr>
          <w:rStyle w:val="FootnoteReference"/>
        </w:rPr>
        <w:footnoteRef/>
      </w:r>
      <w:r>
        <w:t xml:space="preserve"> ibid. </w:t>
      </w:r>
    </w:p>
  </w:footnote>
  <w:footnote w:id="65">
    <w:p w14:paraId="346617A7" w14:textId="4C2C4ECA" w:rsidR="00E87221" w:rsidRPr="00DB1FE8" w:rsidRDefault="00E87221" w:rsidP="00A95C27">
      <w:pPr>
        <w:pStyle w:val="Default"/>
        <w:rPr>
          <w:rFonts w:asciiTheme="minorHAnsi" w:hAnsiTheme="minorHAnsi"/>
          <w:sz w:val="20"/>
          <w:szCs w:val="20"/>
        </w:rPr>
      </w:pPr>
      <w:r w:rsidRPr="00DB1FE8">
        <w:rPr>
          <w:rStyle w:val="FootnoteReference"/>
          <w:rFonts w:asciiTheme="minorHAnsi" w:hAnsiTheme="minorHAnsi"/>
          <w:sz w:val="20"/>
          <w:szCs w:val="20"/>
        </w:rPr>
        <w:footnoteRef/>
      </w:r>
      <w:r w:rsidRPr="00DB1FE8">
        <w:rPr>
          <w:rFonts w:asciiTheme="minorHAnsi" w:hAnsiTheme="minorHAnsi"/>
          <w:sz w:val="20"/>
          <w:szCs w:val="20"/>
        </w:rPr>
        <w:t xml:space="preserve"> </w:t>
      </w:r>
      <w:r w:rsidRPr="00DB1FE8">
        <w:rPr>
          <w:rFonts w:asciiTheme="minorHAnsi" w:eastAsiaTheme="minorEastAsia" w:hAnsiTheme="minorHAnsi"/>
          <w:i/>
          <w:sz w:val="20"/>
          <w:szCs w:val="20"/>
          <w:lang w:eastAsia="en-GB"/>
        </w:rPr>
        <w:t>Wells and another v University Hospital Southampton NHS Foundation Trust</w:t>
      </w:r>
      <w:r w:rsidRPr="00DB1FE8">
        <w:rPr>
          <w:rFonts w:asciiTheme="minorHAnsi" w:eastAsiaTheme="minorEastAsia" w:hAnsiTheme="minorHAnsi"/>
          <w:sz w:val="20"/>
          <w:szCs w:val="20"/>
          <w:lang w:eastAsia="en-GB"/>
        </w:rPr>
        <w:t xml:space="preserve"> [2015] EWHC 2376 (QB)</w:t>
      </w:r>
      <w:r>
        <w:rPr>
          <w:rFonts w:asciiTheme="minorHAnsi" w:eastAsiaTheme="minorEastAsia" w:hAnsiTheme="minorHAnsi"/>
          <w:sz w:val="20"/>
          <w:szCs w:val="20"/>
          <w:lang w:eastAsia="en-GB"/>
        </w:rPr>
        <w:t>.</w:t>
      </w:r>
    </w:p>
  </w:footnote>
  <w:footnote w:id="66">
    <w:p w14:paraId="4BA631D7" w14:textId="39CF8686" w:rsidR="00E87221" w:rsidRDefault="00E87221" w:rsidP="00A95C27">
      <w:pPr>
        <w:pStyle w:val="FootnoteText"/>
      </w:pPr>
      <w:r>
        <w:rPr>
          <w:rStyle w:val="FootnoteReference"/>
        </w:rPr>
        <w:footnoteRef/>
      </w:r>
      <w:r>
        <w:t xml:space="preserve"> National Institute for Health and Care Excellence, </w:t>
      </w:r>
      <w:r w:rsidRPr="00042ED9">
        <w:rPr>
          <w:rFonts w:asciiTheme="minorHAnsi" w:eastAsiaTheme="minorEastAsia" w:hAnsiTheme="minorHAnsi" w:cs="Arial"/>
          <w:iCs/>
          <w:lang w:eastAsia="en-GB"/>
        </w:rPr>
        <w:t>Intrapartum Care: Care of healthy women and their babies during childbirth</w:t>
      </w:r>
      <w:r w:rsidRPr="00494C77">
        <w:rPr>
          <w:rFonts w:asciiTheme="minorHAnsi" w:eastAsiaTheme="minorEastAsia" w:hAnsiTheme="minorHAnsi" w:cs="Arial"/>
          <w:lang w:eastAsia="en-GB"/>
        </w:rPr>
        <w:t xml:space="preserve"> (</w:t>
      </w:r>
      <w:r>
        <w:rPr>
          <w:rFonts w:asciiTheme="minorHAnsi" w:eastAsiaTheme="minorEastAsia" w:hAnsiTheme="minorHAnsi" w:cs="Arial"/>
          <w:lang w:eastAsia="en-GB"/>
        </w:rPr>
        <w:t xml:space="preserve">NICE, London, </w:t>
      </w:r>
      <w:r w:rsidRPr="00494C77">
        <w:rPr>
          <w:rFonts w:asciiTheme="minorHAnsi" w:eastAsiaTheme="minorEastAsia" w:hAnsiTheme="minorHAnsi" w:cs="Arial"/>
          <w:lang w:eastAsia="en-GB"/>
        </w:rPr>
        <w:t xml:space="preserve">2007) and </w:t>
      </w:r>
      <w:r>
        <w:rPr>
          <w:rFonts w:asciiTheme="minorHAnsi" w:eastAsiaTheme="minorEastAsia" w:hAnsiTheme="minorHAnsi" w:cs="Arial"/>
          <w:lang w:eastAsia="en-GB"/>
        </w:rPr>
        <w:t>R</w:t>
      </w:r>
      <w:r w:rsidRPr="00494C77">
        <w:rPr>
          <w:rFonts w:asciiTheme="minorHAnsi" w:eastAsiaTheme="minorEastAsia" w:hAnsiTheme="minorHAnsi" w:cs="Arial"/>
          <w:lang w:eastAsia="en-GB"/>
        </w:rPr>
        <w:t>oyal College of Obstetricians and Gynaecologists</w:t>
      </w:r>
      <w:r>
        <w:rPr>
          <w:rFonts w:asciiTheme="minorHAnsi" w:eastAsiaTheme="minorEastAsia" w:hAnsiTheme="minorHAnsi" w:cs="Arial"/>
          <w:lang w:eastAsia="en-GB"/>
        </w:rPr>
        <w:t xml:space="preserve">: </w:t>
      </w:r>
      <w:r w:rsidRPr="00494C77">
        <w:rPr>
          <w:rFonts w:asciiTheme="minorHAnsi" w:eastAsiaTheme="minorEastAsia" w:hAnsiTheme="minorHAnsi" w:cs="Arial"/>
          <w:i/>
          <w:iCs/>
          <w:lang w:eastAsia="en-GB"/>
        </w:rPr>
        <w:t xml:space="preserve">The Use of Electronic </w:t>
      </w:r>
      <w:proofErr w:type="spellStart"/>
      <w:r w:rsidRPr="00494C77">
        <w:rPr>
          <w:rFonts w:asciiTheme="minorHAnsi" w:eastAsiaTheme="minorEastAsia" w:hAnsiTheme="minorHAnsi" w:cs="Arial"/>
          <w:i/>
          <w:iCs/>
          <w:lang w:eastAsia="en-GB"/>
        </w:rPr>
        <w:t>Fetal</w:t>
      </w:r>
      <w:proofErr w:type="spellEnd"/>
      <w:r w:rsidRPr="00494C77">
        <w:rPr>
          <w:rFonts w:asciiTheme="minorHAnsi" w:eastAsiaTheme="minorEastAsia" w:hAnsiTheme="minorHAnsi" w:cs="Arial"/>
          <w:i/>
          <w:iCs/>
          <w:lang w:eastAsia="en-GB"/>
        </w:rPr>
        <w:t xml:space="preserve"> Monitoring.</w:t>
      </w:r>
    </w:p>
  </w:footnote>
  <w:footnote w:id="67">
    <w:p w14:paraId="7EAECA9B" w14:textId="41BA40C2" w:rsidR="00E87221" w:rsidRDefault="00E87221" w:rsidP="00694A40">
      <w:pPr>
        <w:pStyle w:val="Default"/>
      </w:pPr>
      <w:r w:rsidRPr="00694A40">
        <w:rPr>
          <w:rStyle w:val="FootnoteReference"/>
          <w:rFonts w:asciiTheme="minorHAnsi" w:hAnsiTheme="minorHAnsi"/>
          <w:sz w:val="22"/>
          <w:szCs w:val="22"/>
        </w:rPr>
        <w:footnoteRef/>
      </w:r>
      <w:r w:rsidRPr="00694A40">
        <w:rPr>
          <w:rFonts w:asciiTheme="minorHAnsi" w:hAnsiTheme="minorHAnsi"/>
          <w:sz w:val="22"/>
          <w:szCs w:val="22"/>
        </w:rPr>
        <w:t xml:space="preserve"> </w:t>
      </w:r>
      <w:r w:rsidRPr="00DB1FE8">
        <w:rPr>
          <w:rFonts w:asciiTheme="minorHAnsi" w:eastAsiaTheme="minorEastAsia" w:hAnsiTheme="minorHAnsi"/>
          <w:i/>
          <w:sz w:val="20"/>
          <w:szCs w:val="20"/>
          <w:lang w:eastAsia="en-GB"/>
        </w:rPr>
        <w:t xml:space="preserve">Wells </w:t>
      </w:r>
      <w:r w:rsidRPr="00553662">
        <w:rPr>
          <w:rFonts w:asciiTheme="minorHAnsi" w:eastAsiaTheme="minorEastAsia" w:hAnsiTheme="minorHAnsi"/>
          <w:sz w:val="20"/>
          <w:szCs w:val="20"/>
          <w:lang w:eastAsia="en-GB"/>
        </w:rPr>
        <w:t>(n 64).</w:t>
      </w:r>
      <w:r>
        <w:rPr>
          <w:rFonts w:asciiTheme="minorHAnsi" w:eastAsiaTheme="minorEastAsia" w:hAnsiTheme="minorHAnsi"/>
          <w:sz w:val="20"/>
          <w:szCs w:val="20"/>
          <w:lang w:eastAsia="en-GB"/>
        </w:rPr>
        <w:t xml:space="preserve"> </w:t>
      </w:r>
    </w:p>
  </w:footnote>
  <w:footnote w:id="68">
    <w:p w14:paraId="41D2EC95" w14:textId="0146EADE" w:rsidR="00E87221" w:rsidRDefault="00E87221" w:rsidP="00A95C27">
      <w:pPr>
        <w:pStyle w:val="FootnoteText"/>
      </w:pPr>
      <w:r>
        <w:rPr>
          <w:rStyle w:val="FootnoteReference"/>
        </w:rPr>
        <w:footnoteRef/>
      </w:r>
      <w:r>
        <w:t xml:space="preserve"> </w:t>
      </w:r>
      <w:r w:rsidRPr="00E26BBC">
        <w:rPr>
          <w:i/>
        </w:rPr>
        <w:t xml:space="preserve">Ratty v Haringey Health Authority </w:t>
      </w:r>
      <w:r>
        <w:t xml:space="preserve">[1993] WL 137259295 (CA).    </w:t>
      </w:r>
    </w:p>
  </w:footnote>
  <w:footnote w:id="69">
    <w:p w14:paraId="53CAE40C" w14:textId="145E764F" w:rsidR="00E87221" w:rsidRDefault="00E87221" w:rsidP="00A95C27">
      <w:pPr>
        <w:pStyle w:val="FootnoteText"/>
      </w:pPr>
      <w:r>
        <w:rPr>
          <w:rStyle w:val="FootnoteReference"/>
        </w:rPr>
        <w:footnoteRef/>
      </w:r>
      <w:r>
        <w:t xml:space="preserve"> B Hurwitz, Clinical Guidelines and the Law: Negligence, Discretion and Judgement (CRC Press Taylor Francis, 2018). </w:t>
      </w:r>
    </w:p>
  </w:footnote>
  <w:footnote w:id="70">
    <w:p w14:paraId="299B8AFC" w14:textId="1228C668" w:rsidR="00E87221" w:rsidRPr="005E4D24" w:rsidRDefault="00E87221" w:rsidP="00A95C27">
      <w:pPr>
        <w:pStyle w:val="FootnoteText"/>
      </w:pPr>
      <w:r>
        <w:rPr>
          <w:rStyle w:val="FootnoteReference"/>
        </w:rPr>
        <w:footnoteRef/>
      </w:r>
      <w:r>
        <w:t xml:space="preserve"> </w:t>
      </w:r>
      <w:r w:rsidRPr="00E26BBC">
        <w:rPr>
          <w:i/>
        </w:rPr>
        <w:t xml:space="preserve">Ratty </w:t>
      </w:r>
      <w:r>
        <w:t xml:space="preserve">(n 67) </w:t>
      </w:r>
      <w:r w:rsidRPr="005E4D24">
        <w:t>8.</w:t>
      </w:r>
    </w:p>
  </w:footnote>
  <w:footnote w:id="71">
    <w:p w14:paraId="4F2FAB3B" w14:textId="77777777" w:rsidR="00E87221" w:rsidRDefault="00E87221" w:rsidP="00A95C27">
      <w:pPr>
        <w:pStyle w:val="FootnoteText"/>
      </w:pPr>
      <w:r>
        <w:rPr>
          <w:rStyle w:val="FootnoteReference"/>
        </w:rPr>
        <w:footnoteRef/>
      </w:r>
      <w:r>
        <w:t xml:space="preserve"> Respondent 17: </w:t>
      </w:r>
      <w:r w:rsidRPr="007557DC">
        <w:t>(Solicitor)(SFT).</w:t>
      </w:r>
      <w:r w:rsidRPr="008963D9">
        <w:rPr>
          <w:sz w:val="32"/>
          <w:szCs w:val="32"/>
        </w:rPr>
        <w:t xml:space="preserve">  </w:t>
      </w:r>
    </w:p>
  </w:footnote>
  <w:footnote w:id="72">
    <w:p w14:paraId="72C8CD6C" w14:textId="77777777" w:rsidR="00E87221" w:rsidRDefault="00E87221" w:rsidP="00A95C27">
      <w:pPr>
        <w:pStyle w:val="FootnoteText"/>
      </w:pPr>
      <w:r>
        <w:rPr>
          <w:rStyle w:val="FootnoteReference"/>
        </w:rPr>
        <w:footnoteRef/>
      </w:r>
      <w:r>
        <w:t xml:space="preserve"> Respondent 35: </w:t>
      </w:r>
      <w:r w:rsidRPr="007557DC">
        <w:t>(Solicitor)(SFT).</w:t>
      </w:r>
      <w:r w:rsidRPr="008963D9">
        <w:rPr>
          <w:sz w:val="32"/>
          <w:szCs w:val="32"/>
        </w:rPr>
        <w:t xml:space="preserve">  </w:t>
      </w:r>
    </w:p>
  </w:footnote>
  <w:footnote w:id="73">
    <w:p w14:paraId="1C7DA405" w14:textId="77777777" w:rsidR="00E87221" w:rsidRDefault="00E87221" w:rsidP="00A95C27">
      <w:pPr>
        <w:pStyle w:val="FootnoteText"/>
      </w:pPr>
      <w:r>
        <w:rPr>
          <w:rStyle w:val="FootnoteReference"/>
        </w:rPr>
        <w:footnoteRef/>
      </w:r>
      <w:r>
        <w:t xml:space="preserve"> Respondent 27: </w:t>
      </w:r>
      <w:r w:rsidRPr="003201D9">
        <w:t>(Barrister)(SFT).</w:t>
      </w:r>
    </w:p>
  </w:footnote>
  <w:footnote w:id="74">
    <w:p w14:paraId="1B0A09FE" w14:textId="182E277D" w:rsidR="00E87221" w:rsidRPr="00771BC6" w:rsidRDefault="00E87221" w:rsidP="00A95C27">
      <w:pPr>
        <w:pStyle w:val="FootnoteText"/>
        <w:jc w:val="left"/>
      </w:pPr>
      <w:r>
        <w:rPr>
          <w:rStyle w:val="FootnoteReference"/>
        </w:rPr>
        <w:footnoteRef/>
      </w:r>
      <w:r>
        <w:t xml:space="preserve"> </w:t>
      </w:r>
      <w:r w:rsidRPr="008122B9">
        <w:rPr>
          <w:rFonts w:asciiTheme="minorHAnsi" w:eastAsiaTheme="minorEastAsia" w:hAnsiTheme="minorHAnsi" w:cs="Arial"/>
          <w:lang w:eastAsia="en-GB"/>
        </w:rPr>
        <w:t>R</w:t>
      </w:r>
      <w:r>
        <w:rPr>
          <w:rFonts w:asciiTheme="minorHAnsi" w:eastAsiaTheme="minorEastAsia" w:hAnsiTheme="minorHAnsi" w:cs="Arial"/>
          <w:lang w:eastAsia="en-GB"/>
        </w:rPr>
        <w:t xml:space="preserve">COG, </w:t>
      </w:r>
      <w:r w:rsidRPr="00C6042D">
        <w:rPr>
          <w:rFonts w:asciiTheme="minorHAnsi" w:eastAsiaTheme="minorEastAsia" w:hAnsiTheme="minorHAnsi" w:cs="Arial"/>
          <w:i/>
          <w:lang w:eastAsia="en-GB"/>
        </w:rPr>
        <w:t>About RCOG guidelines: Green-top guidelines</w:t>
      </w:r>
      <w:r>
        <w:rPr>
          <w:rFonts w:asciiTheme="minorHAnsi" w:eastAsiaTheme="minorEastAsia" w:hAnsiTheme="minorHAnsi" w:cs="Arial"/>
          <w:lang w:eastAsia="en-GB"/>
        </w:rPr>
        <w:t xml:space="preserve"> (2020) </w:t>
      </w:r>
      <w:r w:rsidRPr="007D5B4D">
        <w:rPr>
          <w:rFonts w:asciiTheme="minorHAnsi" w:eastAsiaTheme="minorEastAsia" w:hAnsiTheme="minorHAnsi" w:cs="Arial"/>
          <w:lang w:eastAsia="en-GB"/>
        </w:rPr>
        <w:t xml:space="preserve">available at: </w:t>
      </w:r>
      <w:hyperlink r:id="rId8" w:anchor="gtg" w:history="1">
        <w:r w:rsidRPr="007D5B4D">
          <w:rPr>
            <w:u w:val="single"/>
          </w:rPr>
          <w:t>https://www.rcog.org.uk/en/guidelines-research-services/guidelines/about-rcog-guidelines/#gtg</w:t>
        </w:r>
      </w:hyperlink>
      <w:r>
        <w:rPr>
          <w:u w:val="single"/>
        </w:rPr>
        <w:t xml:space="preserve">: </w:t>
      </w:r>
      <w:r w:rsidRPr="00771BC6">
        <w:t xml:space="preserve">‘Green-top’ guidelines </w:t>
      </w:r>
      <w:r>
        <w:t>have the strongest evidential foundations.</w:t>
      </w:r>
    </w:p>
  </w:footnote>
  <w:footnote w:id="75">
    <w:p w14:paraId="6B2E1543" w14:textId="1F932701" w:rsidR="00E87221" w:rsidRPr="00245CFA" w:rsidRDefault="00E87221" w:rsidP="00A95C27">
      <w:pPr>
        <w:pStyle w:val="FootnoteText"/>
        <w:rPr>
          <w:rFonts w:asciiTheme="minorHAnsi" w:hAnsiTheme="minorHAnsi"/>
        </w:rPr>
      </w:pPr>
      <w:r>
        <w:rPr>
          <w:rStyle w:val="FootnoteReference"/>
        </w:rPr>
        <w:footnoteRef/>
      </w:r>
      <w:r>
        <w:t xml:space="preserve"> </w:t>
      </w:r>
      <w:r w:rsidRPr="00245CFA">
        <w:rPr>
          <w:rFonts w:asciiTheme="minorHAnsi" w:hAnsiTheme="minorHAnsi" w:cs="Times New Roman"/>
          <w:bCs/>
          <w:i/>
          <w:iCs/>
          <w:color w:val="000000"/>
        </w:rPr>
        <w:t xml:space="preserve">Bayley v George Eliot Hospital </w:t>
      </w:r>
      <w:r w:rsidRPr="00544033">
        <w:rPr>
          <w:rFonts w:asciiTheme="minorHAnsi" w:hAnsiTheme="minorHAnsi" w:cs="Times New Roman"/>
          <w:bCs/>
          <w:iCs/>
          <w:color w:val="000000"/>
        </w:rPr>
        <w:t>[2017] EWHC</w:t>
      </w:r>
      <w:r w:rsidRPr="00544033">
        <w:rPr>
          <w:rStyle w:val="e24kjd"/>
          <w:rFonts w:asciiTheme="minorHAnsi" w:hAnsiTheme="minorHAnsi" w:cs="Arial"/>
          <w:color w:val="222222"/>
        </w:rPr>
        <w:t xml:space="preserve"> 3398 (QB)</w:t>
      </w:r>
      <w:r>
        <w:rPr>
          <w:rStyle w:val="e24kjd"/>
          <w:rFonts w:asciiTheme="minorHAnsi" w:hAnsiTheme="minorHAnsi" w:cs="Arial"/>
          <w:color w:val="222222"/>
        </w:rPr>
        <w:t>.</w:t>
      </w:r>
    </w:p>
  </w:footnote>
  <w:footnote w:id="76">
    <w:p w14:paraId="61F289D3" w14:textId="6B4C1732" w:rsidR="00E87221" w:rsidRDefault="00E87221" w:rsidP="00A95C27">
      <w:pPr>
        <w:pStyle w:val="FootnoteText"/>
      </w:pPr>
      <w:r>
        <w:rPr>
          <w:rStyle w:val="FootnoteReference"/>
        </w:rPr>
        <w:footnoteRef/>
      </w:r>
      <w:r>
        <w:rPr>
          <w:rFonts w:asciiTheme="minorHAnsi" w:hAnsiTheme="minorHAnsi" w:cs="Times New Roman"/>
          <w:color w:val="000000"/>
          <w:szCs w:val="22"/>
        </w:rPr>
        <w:t xml:space="preserve"> </w:t>
      </w:r>
      <w:r w:rsidRPr="00B55DBA">
        <w:rPr>
          <w:rFonts w:asciiTheme="minorHAnsi" w:hAnsiTheme="minorHAnsi" w:cs="Times New Roman"/>
          <w:color w:val="000000"/>
          <w:szCs w:val="22"/>
        </w:rPr>
        <w:t>Para</w:t>
      </w:r>
      <w:r w:rsidRPr="005E4D24">
        <w:rPr>
          <w:rFonts w:asciiTheme="minorHAnsi" w:hAnsiTheme="minorHAnsi" w:cs="Times New Roman"/>
          <w:szCs w:val="22"/>
        </w:rPr>
        <w:t>. 15.</w:t>
      </w:r>
    </w:p>
  </w:footnote>
  <w:footnote w:id="77">
    <w:p w14:paraId="309E3F71" w14:textId="77777777" w:rsidR="00E87221" w:rsidRDefault="00E87221" w:rsidP="00A95C27">
      <w:pPr>
        <w:pStyle w:val="FootnoteText"/>
      </w:pPr>
      <w:r>
        <w:rPr>
          <w:rStyle w:val="FootnoteReference"/>
        </w:rPr>
        <w:footnoteRef/>
      </w:r>
      <w:r>
        <w:t xml:space="preserve"> Respondent 34: </w:t>
      </w:r>
      <w:r w:rsidRPr="00FF4088">
        <w:t>(Solicitor)(SFT).</w:t>
      </w:r>
      <w:r w:rsidRPr="008963D9">
        <w:rPr>
          <w:sz w:val="32"/>
          <w:szCs w:val="32"/>
        </w:rPr>
        <w:t xml:space="preserve">  </w:t>
      </w:r>
    </w:p>
  </w:footnote>
  <w:footnote w:id="78">
    <w:p w14:paraId="41F49915" w14:textId="77777777" w:rsidR="00E87221" w:rsidRDefault="00E87221" w:rsidP="00A95C27">
      <w:pPr>
        <w:pStyle w:val="FootnoteText"/>
      </w:pPr>
      <w:r>
        <w:rPr>
          <w:rStyle w:val="FootnoteReference"/>
        </w:rPr>
        <w:footnoteRef/>
      </w:r>
      <w:r>
        <w:t xml:space="preserve"> Respondent 42: </w:t>
      </w:r>
      <w:r w:rsidRPr="00FF4088">
        <w:t>(Solicitor)(SFT).</w:t>
      </w:r>
    </w:p>
  </w:footnote>
  <w:footnote w:id="79">
    <w:p w14:paraId="5FA19BF6" w14:textId="77777777" w:rsidR="00E87221" w:rsidRDefault="00E87221" w:rsidP="00A95C27">
      <w:pPr>
        <w:pStyle w:val="FootnoteText"/>
      </w:pPr>
      <w:r>
        <w:rPr>
          <w:rStyle w:val="FootnoteReference"/>
        </w:rPr>
        <w:footnoteRef/>
      </w:r>
      <w:r>
        <w:t xml:space="preserve"> Participant 4: </w:t>
      </w:r>
      <w:r w:rsidRPr="00762E4A">
        <w:t>(Barrister)(IDI).</w:t>
      </w:r>
    </w:p>
  </w:footnote>
  <w:footnote w:id="80">
    <w:p w14:paraId="55E90455" w14:textId="77777777" w:rsidR="00E87221" w:rsidRDefault="00E87221" w:rsidP="00A95C27">
      <w:pPr>
        <w:pStyle w:val="FootnoteText"/>
      </w:pPr>
      <w:r>
        <w:rPr>
          <w:rStyle w:val="FootnoteReference"/>
        </w:rPr>
        <w:footnoteRef/>
      </w:r>
      <w:r>
        <w:t xml:space="preserve"> </w:t>
      </w:r>
      <w:r w:rsidRPr="00A225DD">
        <w:rPr>
          <w:i/>
        </w:rPr>
        <w:t>C v North Cumbria</w:t>
      </w:r>
      <w:r>
        <w:t xml:space="preserve"> </w:t>
      </w:r>
      <w:r w:rsidRPr="001977E0">
        <w:t>[2014] EWHC 61 (QB).</w:t>
      </w:r>
    </w:p>
  </w:footnote>
  <w:footnote w:id="81">
    <w:p w14:paraId="4230F23C" w14:textId="19A367AA" w:rsidR="00E87221" w:rsidRDefault="00E87221">
      <w:pPr>
        <w:pStyle w:val="FootnoteText"/>
      </w:pPr>
      <w:r>
        <w:rPr>
          <w:rStyle w:val="FootnoteReference"/>
        </w:rPr>
        <w:footnoteRef/>
      </w:r>
      <w:r>
        <w:t xml:space="preserve"> ibid 84.</w:t>
      </w:r>
    </w:p>
  </w:footnote>
  <w:footnote w:id="82">
    <w:p w14:paraId="5FC3AF09" w14:textId="3F918C20" w:rsidR="00E87221" w:rsidRDefault="00E87221">
      <w:pPr>
        <w:pStyle w:val="FootnoteText"/>
      </w:pPr>
      <w:r>
        <w:rPr>
          <w:rStyle w:val="FootnoteReference"/>
        </w:rPr>
        <w:footnoteRef/>
      </w:r>
      <w:r>
        <w:t xml:space="preserve"> ibid. </w:t>
      </w:r>
    </w:p>
  </w:footnote>
  <w:footnote w:id="83">
    <w:p w14:paraId="67581428" w14:textId="7545857A" w:rsidR="00E87221" w:rsidRDefault="00E87221" w:rsidP="00A95C27">
      <w:pPr>
        <w:pStyle w:val="FootnoteText"/>
      </w:pPr>
      <w:r>
        <w:rPr>
          <w:rStyle w:val="FootnoteReference"/>
        </w:rPr>
        <w:footnoteRef/>
      </w:r>
      <w:r>
        <w:t xml:space="preserve"> ibid 84(</w:t>
      </w:r>
      <w:proofErr w:type="spellStart"/>
      <w:r>
        <w:t>i</w:t>
      </w:r>
      <w:proofErr w:type="spellEnd"/>
      <w:r>
        <w:t>).</w:t>
      </w:r>
    </w:p>
  </w:footnote>
  <w:footnote w:id="84">
    <w:p w14:paraId="390A3639" w14:textId="46B75C8F" w:rsidR="00E87221" w:rsidRDefault="00E87221" w:rsidP="00A95C27">
      <w:pPr>
        <w:pStyle w:val="FootnoteText"/>
      </w:pPr>
      <w:r>
        <w:rPr>
          <w:rStyle w:val="FootnoteReference"/>
        </w:rPr>
        <w:footnoteRef/>
      </w:r>
      <w:r>
        <w:t xml:space="preserve"> ibid 84(v).</w:t>
      </w:r>
    </w:p>
  </w:footnote>
  <w:footnote w:id="85">
    <w:p w14:paraId="57CEED91" w14:textId="77777777" w:rsidR="00E87221" w:rsidRDefault="00E87221" w:rsidP="00A95C27">
      <w:pPr>
        <w:pStyle w:val="FootnoteText"/>
      </w:pPr>
      <w:r>
        <w:rPr>
          <w:rStyle w:val="FootnoteReference"/>
        </w:rPr>
        <w:footnoteRef/>
      </w:r>
      <w:r>
        <w:t xml:space="preserve"> Participant 2: </w:t>
      </w:r>
      <w:r w:rsidRPr="00585F18">
        <w:t>(</w:t>
      </w:r>
      <w:r>
        <w:t>Barrister)</w:t>
      </w:r>
      <w:r w:rsidRPr="00585F18">
        <w:t>(IDI)</w:t>
      </w:r>
      <w:r>
        <w:t>.</w:t>
      </w:r>
    </w:p>
  </w:footnote>
  <w:footnote w:id="86">
    <w:p w14:paraId="387CAABE" w14:textId="77777777" w:rsidR="00E87221" w:rsidRDefault="00E87221" w:rsidP="00A95C27">
      <w:pPr>
        <w:pStyle w:val="FootnoteText"/>
      </w:pPr>
      <w:r>
        <w:rPr>
          <w:rStyle w:val="FootnoteReference"/>
        </w:rPr>
        <w:footnoteRef/>
      </w:r>
      <w:r>
        <w:t xml:space="preserve"> Respondent 21: </w:t>
      </w:r>
      <w:r w:rsidRPr="00E9706A">
        <w:t>(Barrister)(SFT).</w:t>
      </w:r>
      <w:r w:rsidRPr="008963D9">
        <w:rPr>
          <w:sz w:val="32"/>
          <w:szCs w:val="32"/>
        </w:rPr>
        <w:t xml:space="preserve"> </w:t>
      </w:r>
      <w:r>
        <w:rPr>
          <w:sz w:val="32"/>
          <w:szCs w:val="32"/>
        </w:rPr>
        <w:t xml:space="preserve"> </w:t>
      </w:r>
    </w:p>
  </w:footnote>
  <w:footnote w:id="87">
    <w:p w14:paraId="21AF176A" w14:textId="77777777" w:rsidR="00E87221" w:rsidRDefault="00E87221" w:rsidP="00A95C27">
      <w:pPr>
        <w:pStyle w:val="FootnoteText"/>
      </w:pPr>
      <w:r>
        <w:rPr>
          <w:rStyle w:val="FootnoteReference"/>
        </w:rPr>
        <w:footnoteRef/>
      </w:r>
      <w:r>
        <w:t xml:space="preserve"> Participant 3: </w:t>
      </w:r>
      <w:r w:rsidRPr="007D6F9C">
        <w:t>(Barrister)(</w:t>
      </w:r>
      <w:r>
        <w:t>IDI</w:t>
      </w:r>
      <w:r w:rsidRPr="007D6F9C">
        <w:t>).</w:t>
      </w:r>
    </w:p>
  </w:footnote>
  <w:footnote w:id="88">
    <w:p w14:paraId="5521EF8F" w14:textId="77777777" w:rsidR="00E87221" w:rsidRDefault="00E87221" w:rsidP="00A95C27">
      <w:pPr>
        <w:pStyle w:val="FootnoteText"/>
      </w:pPr>
      <w:r>
        <w:rPr>
          <w:rStyle w:val="FootnoteReference"/>
        </w:rPr>
        <w:footnoteRef/>
      </w:r>
      <w:r>
        <w:t xml:space="preserve"> Participant 1: </w:t>
      </w:r>
      <w:r w:rsidRPr="007D6F9C">
        <w:t>(Barrister)(IDI).</w:t>
      </w:r>
    </w:p>
  </w:footnote>
  <w:footnote w:id="89">
    <w:p w14:paraId="11F027AE" w14:textId="77777777" w:rsidR="00E87221" w:rsidRPr="00B11A66" w:rsidRDefault="00E87221" w:rsidP="00A95C27">
      <w:pPr>
        <w:pStyle w:val="FootnoteText"/>
      </w:pPr>
      <w:r>
        <w:rPr>
          <w:rStyle w:val="FootnoteReference"/>
        </w:rPr>
        <w:footnoteRef/>
      </w:r>
      <w:r>
        <w:t xml:space="preserve"> </w:t>
      </w:r>
      <w:r w:rsidRPr="00B11A66">
        <w:t>Respon</w:t>
      </w:r>
      <w:r>
        <w:t xml:space="preserve">dent </w:t>
      </w:r>
      <w:r w:rsidRPr="00B11A66">
        <w:t>27: (Barrister)(SFT).</w:t>
      </w:r>
    </w:p>
  </w:footnote>
  <w:footnote w:id="90">
    <w:p w14:paraId="452EF2D0" w14:textId="77777777" w:rsidR="00E87221" w:rsidRPr="00B11A66" w:rsidRDefault="00E87221" w:rsidP="00A95C27">
      <w:pPr>
        <w:rPr>
          <w:sz w:val="20"/>
        </w:rPr>
      </w:pPr>
      <w:r w:rsidRPr="00B11A66">
        <w:rPr>
          <w:rStyle w:val="FootnoteReference"/>
          <w:sz w:val="20"/>
        </w:rPr>
        <w:footnoteRef/>
      </w:r>
      <w:r w:rsidRPr="00B11A66">
        <w:rPr>
          <w:sz w:val="20"/>
        </w:rPr>
        <w:t xml:space="preserve"> Respon</w:t>
      </w:r>
      <w:r>
        <w:rPr>
          <w:sz w:val="20"/>
        </w:rPr>
        <w:t>dent 3</w:t>
      </w:r>
      <w:r w:rsidRPr="00B11A66">
        <w:rPr>
          <w:sz w:val="20"/>
        </w:rPr>
        <w:t>5: (Solicitor)(SFT).</w:t>
      </w:r>
    </w:p>
  </w:footnote>
  <w:footnote w:id="91">
    <w:p w14:paraId="3525DCAC" w14:textId="6122C998" w:rsidR="00E87221" w:rsidRPr="005E4D24" w:rsidRDefault="00E87221" w:rsidP="00A95C27">
      <w:pPr>
        <w:autoSpaceDE w:val="0"/>
        <w:autoSpaceDN w:val="0"/>
        <w:adjustRightInd w:val="0"/>
        <w:rPr>
          <w:sz w:val="20"/>
        </w:rPr>
      </w:pPr>
      <w:r>
        <w:rPr>
          <w:rStyle w:val="FootnoteReference"/>
        </w:rPr>
        <w:footnoteRef/>
      </w:r>
      <w:r>
        <w:t xml:space="preserve"> </w:t>
      </w:r>
      <w:r w:rsidRPr="005E4D24">
        <w:rPr>
          <w:rFonts w:cs="Times New Roman"/>
          <w:bCs/>
          <w:i/>
          <w:iCs/>
          <w:sz w:val="20"/>
        </w:rPr>
        <w:t>Spencer v Hillingdon</w:t>
      </w:r>
      <w:r w:rsidRPr="005E4D24">
        <w:rPr>
          <w:rFonts w:cs="Times New Roman"/>
          <w:b/>
          <w:sz w:val="20"/>
        </w:rPr>
        <w:t xml:space="preserve"> </w:t>
      </w:r>
      <w:r w:rsidRPr="005E4D24">
        <w:rPr>
          <w:rFonts w:cs="Times New Roman"/>
          <w:sz w:val="20"/>
        </w:rPr>
        <w:t>[2015] EWHC 1058 (QB)</w:t>
      </w:r>
      <w:r>
        <w:rPr>
          <w:rFonts w:cs="Times New Roman"/>
          <w:sz w:val="20"/>
        </w:rPr>
        <w:t>.</w:t>
      </w:r>
    </w:p>
  </w:footnote>
  <w:footnote w:id="92">
    <w:p w14:paraId="088F746D" w14:textId="09702E42" w:rsidR="00E87221" w:rsidRPr="007C2810" w:rsidRDefault="00E87221" w:rsidP="00A95C27">
      <w:pPr>
        <w:autoSpaceDE w:val="0"/>
        <w:autoSpaceDN w:val="0"/>
        <w:adjustRightInd w:val="0"/>
        <w:rPr>
          <w:sz w:val="20"/>
        </w:rPr>
      </w:pPr>
      <w:r w:rsidRPr="00271729">
        <w:rPr>
          <w:rStyle w:val="FootnoteReference"/>
          <w:sz w:val="18"/>
          <w:szCs w:val="18"/>
        </w:rPr>
        <w:footnoteRef/>
      </w:r>
      <w:r w:rsidRPr="00271729">
        <w:rPr>
          <w:sz w:val="18"/>
          <w:szCs w:val="18"/>
        </w:rPr>
        <w:t xml:space="preserve"> </w:t>
      </w:r>
      <w:r w:rsidRPr="007C2810">
        <w:rPr>
          <w:rFonts w:cs="TimesNewRomanPSMT"/>
          <w:sz w:val="20"/>
        </w:rPr>
        <w:t xml:space="preserve">NICE Clinical Guideline 92: </w:t>
      </w:r>
      <w:r w:rsidRPr="007C2810">
        <w:rPr>
          <w:rFonts w:cs="TimesNewRomanPS-ItalicMT"/>
          <w:i/>
          <w:iCs/>
          <w:sz w:val="20"/>
        </w:rPr>
        <w:t>Venous thromboembolism: reducing the risk</w:t>
      </w:r>
      <w:r>
        <w:rPr>
          <w:rFonts w:cs="TimesNewRomanPS-ItalicMT"/>
          <w:i/>
          <w:iCs/>
          <w:sz w:val="20"/>
        </w:rPr>
        <w:t>.</w:t>
      </w:r>
    </w:p>
  </w:footnote>
  <w:footnote w:id="93">
    <w:p w14:paraId="02722715" w14:textId="52192350" w:rsidR="00E87221" w:rsidRPr="007C2810" w:rsidRDefault="00E87221" w:rsidP="00A95C27">
      <w:pPr>
        <w:pStyle w:val="FootnoteText"/>
        <w:rPr>
          <w:rFonts w:asciiTheme="minorHAnsi" w:hAnsiTheme="minorHAnsi"/>
        </w:rPr>
      </w:pPr>
      <w:r w:rsidRPr="007C2810">
        <w:rPr>
          <w:rStyle w:val="FootnoteReference"/>
          <w:rFonts w:asciiTheme="minorHAnsi" w:hAnsiTheme="minorHAnsi"/>
        </w:rPr>
        <w:footnoteRef/>
      </w:r>
      <w:r w:rsidRPr="007C2810">
        <w:rPr>
          <w:rFonts w:asciiTheme="minorHAnsi" w:hAnsiTheme="minorHAnsi"/>
        </w:rPr>
        <w:t xml:space="preserve"> </w:t>
      </w:r>
      <w:r>
        <w:t xml:space="preserve">ibid </w:t>
      </w:r>
      <w:r w:rsidRPr="007C2810">
        <w:rPr>
          <w:rFonts w:asciiTheme="minorHAnsi" w:hAnsiTheme="minorHAnsi"/>
        </w:rPr>
        <w:t>73</w:t>
      </w:r>
      <w:r>
        <w:rPr>
          <w:rFonts w:asciiTheme="minorHAnsi" w:hAnsiTheme="minorHAnsi"/>
        </w:rPr>
        <w:t>.</w:t>
      </w:r>
    </w:p>
  </w:footnote>
  <w:footnote w:id="94">
    <w:p w14:paraId="70520DEB" w14:textId="1DF1996E" w:rsidR="00E87221" w:rsidRPr="003D7DF9" w:rsidRDefault="00E87221" w:rsidP="00A95C27">
      <w:pPr>
        <w:pStyle w:val="FootnoteText"/>
      </w:pPr>
      <w:r w:rsidRPr="003D7DF9">
        <w:rPr>
          <w:rStyle w:val="FootnoteReference"/>
        </w:rPr>
        <w:footnoteRef/>
      </w:r>
      <w:r w:rsidRPr="003D7DF9">
        <w:t xml:space="preserve"> </w:t>
      </w:r>
      <w:r w:rsidRPr="003D7DF9">
        <w:rPr>
          <w:rFonts w:asciiTheme="minorHAnsi" w:hAnsiTheme="minorHAnsi" w:cs="Arial"/>
          <w:i/>
          <w:iCs/>
        </w:rPr>
        <w:t xml:space="preserve">Velarde v Guy’s and St Thomas NHS Foundation </w:t>
      </w:r>
      <w:r w:rsidRPr="003D7DF9">
        <w:rPr>
          <w:rStyle w:val="st1"/>
          <w:rFonts w:asciiTheme="minorHAnsi" w:hAnsiTheme="minorHAnsi" w:cs="Arial"/>
        </w:rPr>
        <w:t>[2017] EWHC 1250 (QB)</w:t>
      </w:r>
      <w:r>
        <w:rPr>
          <w:rStyle w:val="st1"/>
          <w:rFonts w:asciiTheme="minorHAnsi" w:hAnsiTheme="minorHAnsi" w:cs="Arial"/>
        </w:rPr>
        <w:t>.</w:t>
      </w:r>
    </w:p>
  </w:footnote>
  <w:footnote w:id="95">
    <w:p w14:paraId="16ECE08B" w14:textId="2CD0BFB1" w:rsidR="00E87221" w:rsidRPr="003D7DF9" w:rsidRDefault="00E87221" w:rsidP="00A95C27">
      <w:pPr>
        <w:pStyle w:val="FootnoteText"/>
      </w:pPr>
      <w:r w:rsidRPr="003D7DF9">
        <w:rPr>
          <w:rStyle w:val="FootnoteReference"/>
        </w:rPr>
        <w:footnoteRef/>
      </w:r>
      <w:r w:rsidRPr="003D7DF9">
        <w:t xml:space="preserve"> </w:t>
      </w:r>
      <w:r>
        <w:t xml:space="preserve">ibid </w:t>
      </w:r>
      <w:r w:rsidRPr="003D7DF9">
        <w:t>69.</w:t>
      </w:r>
    </w:p>
  </w:footnote>
  <w:footnote w:id="96">
    <w:p w14:paraId="186EFBC1" w14:textId="77777777" w:rsidR="00E87221" w:rsidRPr="003D7DF9" w:rsidRDefault="00E87221" w:rsidP="00A95C27">
      <w:pPr>
        <w:pStyle w:val="FootnoteText"/>
      </w:pPr>
      <w:r w:rsidRPr="003D7DF9">
        <w:rPr>
          <w:rStyle w:val="FootnoteReference"/>
        </w:rPr>
        <w:footnoteRef/>
      </w:r>
      <w:r w:rsidRPr="003D7DF9">
        <w:t xml:space="preserve"> </w:t>
      </w:r>
      <w:r>
        <w:t xml:space="preserve">Respondent 11: </w:t>
      </w:r>
      <w:r w:rsidRPr="003D7DF9">
        <w:t>(Barrister)(SFT).</w:t>
      </w:r>
    </w:p>
  </w:footnote>
  <w:footnote w:id="97">
    <w:p w14:paraId="74BCEAFC" w14:textId="77777777" w:rsidR="00E87221" w:rsidRDefault="00E87221" w:rsidP="00A95C27">
      <w:pPr>
        <w:pStyle w:val="FootnoteText"/>
      </w:pPr>
      <w:r>
        <w:rPr>
          <w:rStyle w:val="FootnoteReference"/>
        </w:rPr>
        <w:footnoteRef/>
      </w:r>
      <w:r>
        <w:t xml:space="preserve"> Respondent 9: </w:t>
      </w:r>
      <w:r w:rsidRPr="0023021C">
        <w:t>(Solicitor)(SFT)</w:t>
      </w:r>
      <w:r>
        <w:t>.</w:t>
      </w:r>
    </w:p>
  </w:footnote>
  <w:footnote w:id="98">
    <w:p w14:paraId="0E8FB784" w14:textId="1DAF4692" w:rsidR="00E87221" w:rsidRDefault="00E87221" w:rsidP="00A95C27">
      <w:pPr>
        <w:pStyle w:val="FootnoteText"/>
      </w:pPr>
      <w:r>
        <w:rPr>
          <w:rStyle w:val="FootnoteReference"/>
        </w:rPr>
        <w:footnoteRef/>
      </w:r>
      <w:r>
        <w:t xml:space="preserve"> Respondent 28: </w:t>
      </w:r>
      <w:r w:rsidRPr="0023021C">
        <w:t>(Solicitor)</w:t>
      </w:r>
      <w:r>
        <w:t>(</w:t>
      </w:r>
      <w:r w:rsidRPr="0023021C">
        <w:t>SFT).</w:t>
      </w:r>
    </w:p>
  </w:footnote>
  <w:footnote w:id="99">
    <w:p w14:paraId="3A800112" w14:textId="68331C4A" w:rsidR="00E87221" w:rsidRDefault="00E87221" w:rsidP="00A95C27">
      <w:pPr>
        <w:pStyle w:val="FootnoteText"/>
      </w:pPr>
      <w:r>
        <w:rPr>
          <w:rStyle w:val="FootnoteReference"/>
        </w:rPr>
        <w:footnoteRef/>
      </w:r>
      <w:r>
        <w:t xml:space="preserve"> Respondent 26: </w:t>
      </w:r>
      <w:r w:rsidRPr="0023021C">
        <w:t>(Solicitor)</w:t>
      </w:r>
      <w:r>
        <w:t>(</w:t>
      </w:r>
      <w:r w:rsidRPr="0023021C">
        <w:t>SFT).</w:t>
      </w:r>
      <w:r w:rsidRPr="008963D9">
        <w:rPr>
          <w:sz w:val="32"/>
          <w:szCs w:val="32"/>
        </w:rPr>
        <w:t xml:space="preserve"> </w:t>
      </w:r>
      <w:r>
        <w:rPr>
          <w:sz w:val="32"/>
          <w:szCs w:val="32"/>
        </w:rPr>
        <w:t xml:space="preserve"> </w:t>
      </w:r>
    </w:p>
  </w:footnote>
  <w:footnote w:id="100">
    <w:p w14:paraId="5BB5D944" w14:textId="77777777" w:rsidR="00E87221" w:rsidRDefault="00E87221" w:rsidP="00A95C27">
      <w:pPr>
        <w:pStyle w:val="FootnoteText"/>
      </w:pPr>
      <w:r>
        <w:rPr>
          <w:rStyle w:val="FootnoteReference"/>
        </w:rPr>
        <w:footnoteRef/>
      </w:r>
      <w:r>
        <w:t xml:space="preserve"> Participant 2: </w:t>
      </w:r>
      <w:r w:rsidRPr="0023021C">
        <w:t>(Barrister)</w:t>
      </w:r>
      <w:r>
        <w:t>(IDI).</w:t>
      </w:r>
    </w:p>
  </w:footnote>
  <w:footnote w:id="101">
    <w:p w14:paraId="6A5CFBB7" w14:textId="77777777" w:rsidR="00E87221" w:rsidRDefault="00E87221" w:rsidP="00A95C27">
      <w:pPr>
        <w:pStyle w:val="FootnoteText"/>
      </w:pPr>
      <w:r>
        <w:rPr>
          <w:rStyle w:val="FootnoteReference"/>
        </w:rPr>
        <w:footnoteRef/>
      </w:r>
      <w:r>
        <w:t xml:space="preserve"> Respondent 35: </w:t>
      </w:r>
      <w:r w:rsidRPr="00DF1788">
        <w:t>(Solicitor)(SFT).</w:t>
      </w:r>
    </w:p>
  </w:footnote>
  <w:footnote w:id="102">
    <w:p w14:paraId="0C31788B" w14:textId="77777777" w:rsidR="00E87221" w:rsidRDefault="00E87221" w:rsidP="00A95C27">
      <w:pPr>
        <w:pStyle w:val="FootnoteText"/>
      </w:pPr>
      <w:r>
        <w:rPr>
          <w:rStyle w:val="FootnoteReference"/>
        </w:rPr>
        <w:footnoteRef/>
      </w:r>
      <w:r>
        <w:t xml:space="preserve"> Respondent 23: </w:t>
      </w:r>
      <w:r w:rsidRPr="00DF1788">
        <w:t>(Barrister)(SFT)</w:t>
      </w:r>
      <w:r>
        <w:t>.</w:t>
      </w:r>
    </w:p>
  </w:footnote>
  <w:footnote w:id="103">
    <w:p w14:paraId="60EA36E6" w14:textId="77777777" w:rsidR="00E87221" w:rsidRDefault="00E87221" w:rsidP="00A95C27">
      <w:pPr>
        <w:pStyle w:val="FootnoteText"/>
      </w:pPr>
      <w:r>
        <w:rPr>
          <w:rStyle w:val="FootnoteReference"/>
        </w:rPr>
        <w:footnoteRef/>
      </w:r>
      <w:r>
        <w:t xml:space="preserve"> Respondent 23: </w:t>
      </w:r>
      <w:r w:rsidRPr="00DF1788">
        <w:t xml:space="preserve">(Barrister)(SFT). </w:t>
      </w:r>
      <w:r>
        <w:rPr>
          <w:sz w:val="32"/>
          <w:szCs w:val="32"/>
        </w:rPr>
        <w:t xml:space="preserve"> </w:t>
      </w:r>
    </w:p>
  </w:footnote>
  <w:footnote w:id="104">
    <w:p w14:paraId="1448FD8F" w14:textId="0F55BA2F" w:rsidR="00E87221" w:rsidRDefault="00E87221" w:rsidP="00A95C27">
      <w:pPr>
        <w:pStyle w:val="FootnoteText"/>
      </w:pPr>
      <w:r>
        <w:rPr>
          <w:rStyle w:val="FootnoteReference"/>
        </w:rPr>
        <w:footnoteRef/>
      </w:r>
      <w:r>
        <w:t xml:space="preserve"> NICE Guideline (NG 51), S</w:t>
      </w:r>
      <w:r w:rsidRPr="00DB7C81">
        <w:rPr>
          <w:rFonts w:asciiTheme="minorHAnsi" w:eastAsia="Times New Roman" w:hAnsiTheme="minorHAnsi" w:cs="Times New Roman"/>
          <w:color w:val="0E0E0E"/>
          <w:kern w:val="36"/>
          <w:lang w:eastAsia="en-GB"/>
        </w:rPr>
        <w:t>epsis: recognition, diagnosis and early management</w:t>
      </w:r>
      <w:r>
        <w:rPr>
          <w:rFonts w:asciiTheme="minorHAnsi" w:eastAsia="Times New Roman" w:hAnsiTheme="minorHAnsi" w:cs="Times New Roman"/>
          <w:color w:val="0E0E0E"/>
          <w:kern w:val="36"/>
          <w:lang w:eastAsia="en-GB"/>
        </w:rPr>
        <w:t xml:space="preserve"> (2016).</w:t>
      </w:r>
    </w:p>
  </w:footnote>
  <w:footnote w:id="105">
    <w:p w14:paraId="4F340EEC" w14:textId="77777777" w:rsidR="00E87221" w:rsidRDefault="00E87221" w:rsidP="00A95C27">
      <w:pPr>
        <w:pStyle w:val="FootnoteText"/>
      </w:pPr>
      <w:r>
        <w:rPr>
          <w:rStyle w:val="FootnoteReference"/>
        </w:rPr>
        <w:footnoteRef/>
      </w:r>
      <w:r>
        <w:t xml:space="preserve"> </w:t>
      </w:r>
      <w:r w:rsidRPr="007F3FC3">
        <w:rPr>
          <w:i/>
        </w:rPr>
        <w:t>Rose v Thanet CCG</w:t>
      </w:r>
      <w:r>
        <w:t xml:space="preserve"> [2014] EWHC 1182.</w:t>
      </w:r>
    </w:p>
  </w:footnote>
  <w:footnote w:id="106">
    <w:p w14:paraId="1B2D4183" w14:textId="76B69FA0" w:rsidR="00E87221" w:rsidRDefault="00E87221" w:rsidP="00A95C27">
      <w:pPr>
        <w:pStyle w:val="FootnoteText"/>
      </w:pPr>
      <w:r>
        <w:rPr>
          <w:rStyle w:val="FootnoteReference"/>
        </w:rPr>
        <w:footnoteRef/>
      </w:r>
      <w:r>
        <w:t xml:space="preserve"> NICE guidance 156 (published February 2013).</w:t>
      </w:r>
    </w:p>
  </w:footnote>
  <w:footnote w:id="107">
    <w:p w14:paraId="7BBF8D36" w14:textId="284A1D7A" w:rsidR="00E87221" w:rsidRDefault="00E87221">
      <w:pPr>
        <w:pStyle w:val="FootnoteText"/>
      </w:pPr>
      <w:r>
        <w:rPr>
          <w:rStyle w:val="FootnoteReference"/>
        </w:rPr>
        <w:footnoteRef/>
      </w:r>
      <w:r>
        <w:t xml:space="preserve"> </w:t>
      </w:r>
      <w:r w:rsidRPr="007F3FC3">
        <w:rPr>
          <w:i/>
        </w:rPr>
        <w:t>Rose</w:t>
      </w:r>
      <w:r>
        <w:rPr>
          <w:i/>
        </w:rPr>
        <w:t xml:space="preserve"> </w:t>
      </w:r>
      <w:r w:rsidRPr="0053460A">
        <w:t>(n 104)</w:t>
      </w:r>
      <w:r>
        <w:rPr>
          <w:i/>
        </w:rPr>
        <w:t xml:space="preserve"> </w:t>
      </w:r>
      <w:r>
        <w:t>23.</w:t>
      </w:r>
    </w:p>
  </w:footnote>
  <w:footnote w:id="108">
    <w:p w14:paraId="323706E6" w14:textId="77777777" w:rsidR="00E87221" w:rsidRPr="007C2810" w:rsidRDefault="00E87221" w:rsidP="00A95C27">
      <w:pPr>
        <w:pStyle w:val="FootnoteText"/>
      </w:pPr>
      <w:r w:rsidRPr="007C2810">
        <w:rPr>
          <w:rStyle w:val="FootnoteReference"/>
        </w:rPr>
        <w:footnoteRef/>
      </w:r>
      <w:r w:rsidRPr="007C2810">
        <w:t xml:space="preserve"> Participant 3: (Barrister)(IDI).</w:t>
      </w:r>
    </w:p>
  </w:footnote>
  <w:footnote w:id="109">
    <w:p w14:paraId="041063E6" w14:textId="77777777" w:rsidR="00E87221" w:rsidRPr="007C2810" w:rsidRDefault="00E87221" w:rsidP="00A95C27">
      <w:pPr>
        <w:pStyle w:val="FootnoteText"/>
      </w:pPr>
      <w:r w:rsidRPr="007C2810">
        <w:rPr>
          <w:rStyle w:val="FootnoteReference"/>
        </w:rPr>
        <w:footnoteRef/>
      </w:r>
      <w:r w:rsidRPr="007C2810">
        <w:t xml:space="preserve"> Participant 5: (Solicitor)(IDI).  </w:t>
      </w:r>
    </w:p>
  </w:footnote>
  <w:footnote w:id="110">
    <w:p w14:paraId="03D526D4" w14:textId="77777777" w:rsidR="00E87221" w:rsidRPr="007C2810" w:rsidRDefault="00E87221" w:rsidP="00A95C27">
      <w:pPr>
        <w:pStyle w:val="FootnoteText"/>
      </w:pPr>
      <w:r w:rsidRPr="007C2810">
        <w:rPr>
          <w:rStyle w:val="FootnoteReference"/>
        </w:rPr>
        <w:footnoteRef/>
      </w:r>
      <w:r w:rsidRPr="007C2810">
        <w:t xml:space="preserve"> Participant 5: (Solicitor)(IDI).</w:t>
      </w:r>
    </w:p>
  </w:footnote>
  <w:footnote w:id="111">
    <w:p w14:paraId="233F564E" w14:textId="77777777" w:rsidR="00E87221" w:rsidRPr="004C6FEB" w:rsidRDefault="00E87221" w:rsidP="00A95C27">
      <w:pPr>
        <w:shd w:val="clear" w:color="auto" w:fill="FFFFFF"/>
        <w:rPr>
          <w:sz w:val="20"/>
        </w:rPr>
      </w:pPr>
      <w:r w:rsidRPr="004C6FEB">
        <w:rPr>
          <w:rStyle w:val="FootnoteReference"/>
          <w:sz w:val="20"/>
        </w:rPr>
        <w:footnoteRef/>
      </w:r>
      <w:r w:rsidRPr="004C6FEB">
        <w:rPr>
          <w:sz w:val="20"/>
        </w:rPr>
        <w:t xml:space="preserve"> J Montgomery, E Montgomery, ‘Montgomery on informed consent: an inexpert decision? (2016) 42 JME</w:t>
      </w:r>
      <w:r w:rsidRPr="004C6FEB">
        <w:rPr>
          <w:rFonts w:eastAsia="Times New Roman" w:cs="Helvetica"/>
          <w:color w:val="333333"/>
          <w:sz w:val="20"/>
          <w:lang w:eastAsia="en-GB"/>
        </w:rPr>
        <w:t xml:space="preserve"> 89-94.</w:t>
      </w:r>
    </w:p>
  </w:footnote>
  <w:footnote w:id="112">
    <w:p w14:paraId="4FDEA628" w14:textId="05EDC49A" w:rsidR="00E87221" w:rsidRPr="004C6FEB" w:rsidRDefault="00E87221" w:rsidP="00A95C27">
      <w:pPr>
        <w:pStyle w:val="FootnoteText"/>
      </w:pPr>
      <w:r w:rsidRPr="004C6FEB">
        <w:rPr>
          <w:rStyle w:val="FootnoteReference"/>
        </w:rPr>
        <w:footnoteRef/>
      </w:r>
      <w:r w:rsidRPr="004C6FEB">
        <w:t xml:space="preserve"> </w:t>
      </w:r>
      <w:r w:rsidRPr="004C6FEB">
        <w:rPr>
          <w:rStyle w:val="Emphasis"/>
          <w:rFonts w:asciiTheme="minorHAnsi" w:hAnsiTheme="minorHAnsi"/>
          <w:bCs/>
          <w:shd w:val="clear" w:color="auto" w:fill="FFFFFF"/>
        </w:rPr>
        <w:t xml:space="preserve">Bolitho </w:t>
      </w:r>
      <w:r w:rsidRPr="004C6FEB">
        <w:rPr>
          <w:rStyle w:val="Emphasis"/>
          <w:rFonts w:asciiTheme="minorHAnsi" w:hAnsiTheme="minorHAnsi"/>
          <w:bCs/>
          <w:i w:val="0"/>
          <w:shd w:val="clear" w:color="auto" w:fill="FFFFFF"/>
        </w:rPr>
        <w:t>(n 4).</w:t>
      </w:r>
    </w:p>
  </w:footnote>
  <w:footnote w:id="113">
    <w:p w14:paraId="2B9932BC" w14:textId="77777777" w:rsidR="00E87221" w:rsidRPr="007C2810" w:rsidRDefault="00E87221" w:rsidP="00A95C27">
      <w:pPr>
        <w:pStyle w:val="FootnoteText"/>
      </w:pPr>
      <w:r w:rsidRPr="007C2810">
        <w:rPr>
          <w:rStyle w:val="FootnoteReference"/>
        </w:rPr>
        <w:footnoteRef/>
      </w:r>
      <w:r w:rsidRPr="007C2810">
        <w:t xml:space="preserve"> Respondent 7: (Barrister)(SFT).</w:t>
      </w:r>
    </w:p>
  </w:footnote>
  <w:footnote w:id="114">
    <w:p w14:paraId="2F3C26D9" w14:textId="77777777" w:rsidR="00E87221" w:rsidRPr="007C2810" w:rsidRDefault="00E87221" w:rsidP="00A95C27">
      <w:pPr>
        <w:pStyle w:val="FootnoteText"/>
      </w:pPr>
      <w:r w:rsidRPr="007C2810">
        <w:rPr>
          <w:rStyle w:val="FootnoteReference"/>
        </w:rPr>
        <w:footnoteRef/>
      </w:r>
      <w:r w:rsidRPr="007C2810">
        <w:t xml:space="preserve"> Respondent 17: (Solicitor)(SFT).  </w:t>
      </w:r>
    </w:p>
  </w:footnote>
  <w:footnote w:id="115">
    <w:p w14:paraId="31AB106D" w14:textId="77777777" w:rsidR="00E87221" w:rsidRPr="007C2810" w:rsidRDefault="00E87221" w:rsidP="00A95C27">
      <w:pPr>
        <w:pStyle w:val="FootnoteText"/>
      </w:pPr>
      <w:r w:rsidRPr="007C2810">
        <w:rPr>
          <w:rStyle w:val="FootnoteReference"/>
        </w:rPr>
        <w:footnoteRef/>
      </w:r>
      <w:r w:rsidRPr="007C2810">
        <w:t xml:space="preserve"> Participant 4: (Barrister)(IDI).</w:t>
      </w:r>
    </w:p>
  </w:footnote>
  <w:footnote w:id="116">
    <w:p w14:paraId="0AA1E4EA" w14:textId="77777777" w:rsidR="00E87221" w:rsidRPr="007C2810" w:rsidRDefault="00E87221" w:rsidP="00A95C27">
      <w:pPr>
        <w:pStyle w:val="FootnoteText"/>
      </w:pPr>
      <w:r w:rsidRPr="007C2810">
        <w:rPr>
          <w:rStyle w:val="FootnoteReference"/>
        </w:rPr>
        <w:footnoteRef/>
      </w:r>
      <w:r w:rsidRPr="007C2810">
        <w:t xml:space="preserve"> Respondent 31: (Barrister)(SFT).</w:t>
      </w:r>
    </w:p>
  </w:footnote>
  <w:footnote w:id="117">
    <w:p w14:paraId="7FD7AB23" w14:textId="77777777" w:rsidR="00E87221" w:rsidRDefault="00E87221" w:rsidP="00A95C27">
      <w:pPr>
        <w:pStyle w:val="FootnoteText"/>
      </w:pPr>
      <w:r>
        <w:rPr>
          <w:rStyle w:val="FootnoteReference"/>
        </w:rPr>
        <w:footnoteRef/>
      </w:r>
      <w:r>
        <w:t xml:space="preserve"> </w:t>
      </w:r>
      <w:r w:rsidRPr="00A47E03">
        <w:rPr>
          <w:i/>
        </w:rPr>
        <w:t>Daubert v Merrell Dow Pharmaceuticals Inc</w:t>
      </w:r>
      <w:r>
        <w:rPr>
          <w:i/>
        </w:rPr>
        <w:t xml:space="preserve"> </w:t>
      </w:r>
      <w:r>
        <w:t xml:space="preserve">(1993) 509 US 579. </w:t>
      </w:r>
    </w:p>
  </w:footnote>
  <w:footnote w:id="118">
    <w:p w14:paraId="0FCD5E85" w14:textId="20DE1E43" w:rsidR="00E87221" w:rsidRDefault="00E87221" w:rsidP="00A95C27">
      <w:pPr>
        <w:pStyle w:val="FootnoteText"/>
      </w:pPr>
      <w:r>
        <w:rPr>
          <w:rStyle w:val="FootnoteReference"/>
        </w:rPr>
        <w:footnoteRef/>
      </w:r>
      <w:r>
        <w:t xml:space="preserve"> RP Solomon, ‘Guidelines in the United States: Perspectives on Law and Litigation’ in Guidelines: Law, Policy and Practice (Cavendish, London, 2002): 137–59.</w:t>
      </w:r>
    </w:p>
  </w:footnote>
  <w:footnote w:id="119">
    <w:p w14:paraId="54AFD115" w14:textId="1B8299DE" w:rsidR="00E87221" w:rsidRPr="00946908" w:rsidRDefault="00E87221" w:rsidP="004C6FEB">
      <w:pPr>
        <w:spacing w:line="254" w:lineRule="auto"/>
        <w:rPr>
          <w:color w:val="00B050"/>
          <w:sz w:val="20"/>
        </w:rPr>
      </w:pPr>
      <w:r>
        <w:rPr>
          <w:rStyle w:val="FootnoteReference"/>
        </w:rPr>
        <w:footnoteRef/>
      </w:r>
      <w:r>
        <w:t xml:space="preserve"> </w:t>
      </w:r>
      <w:r w:rsidRPr="00946908">
        <w:rPr>
          <w:color w:val="00B050"/>
          <w:sz w:val="20"/>
        </w:rPr>
        <w:t>In 1998 the National Guidelines Clearing House (NGC) was created. It aim</w:t>
      </w:r>
      <w:r>
        <w:rPr>
          <w:color w:val="00B050"/>
          <w:sz w:val="20"/>
        </w:rPr>
        <w:t xml:space="preserve">ed </w:t>
      </w:r>
      <w:r w:rsidRPr="00946908">
        <w:rPr>
          <w:color w:val="00B050"/>
          <w:sz w:val="20"/>
        </w:rPr>
        <w:t xml:space="preserve">to provide healthcare providers and users with an accessible database to obtain objective, detailed information on CGs and to support their dissemination, implementation and usage. </w:t>
      </w:r>
      <w:r>
        <w:rPr>
          <w:color w:val="00B050"/>
          <w:sz w:val="20"/>
        </w:rPr>
        <w:t xml:space="preserve">When it closed </w:t>
      </w:r>
      <w:r w:rsidRPr="00946908">
        <w:rPr>
          <w:color w:val="00B050"/>
          <w:sz w:val="20"/>
        </w:rPr>
        <w:t>in 2018 the repository included over five-thousand guidelines</w:t>
      </w:r>
      <w:r>
        <w:rPr>
          <w:color w:val="00B050"/>
          <w:sz w:val="20"/>
        </w:rPr>
        <w:t xml:space="preserve"> and </w:t>
      </w:r>
      <w:r w:rsidRPr="00946908">
        <w:rPr>
          <w:color w:val="00B050"/>
          <w:sz w:val="20"/>
        </w:rPr>
        <w:t xml:space="preserve">expert commentaries (www.guideline.gov).   </w:t>
      </w:r>
    </w:p>
  </w:footnote>
  <w:footnote w:id="120">
    <w:p w14:paraId="77F4F861" w14:textId="77777777" w:rsidR="00E87221" w:rsidRPr="00946908" w:rsidRDefault="00E87221" w:rsidP="004C6FEB">
      <w:pPr>
        <w:pStyle w:val="FootnoteText"/>
        <w:rPr>
          <w:highlight w:val="yellow"/>
        </w:rPr>
      </w:pPr>
      <w:r w:rsidRPr="00946908">
        <w:rPr>
          <w:rStyle w:val="FootnoteReference"/>
        </w:rPr>
        <w:footnoteRef/>
      </w:r>
      <w:r w:rsidRPr="00946908">
        <w:t xml:space="preserve"> </w:t>
      </w:r>
      <w:r w:rsidRPr="00946908">
        <w:rPr>
          <w:i/>
        </w:rPr>
        <w:t>Jewett v Our Lady of Mercy Hospital</w:t>
      </w:r>
      <w:r w:rsidRPr="00946908">
        <w:t xml:space="preserve"> (1992) 82 Ohio App 3D 428 612 NE 2d 724.      </w:t>
      </w:r>
    </w:p>
  </w:footnote>
  <w:footnote w:id="121">
    <w:p w14:paraId="0BE994B5" w14:textId="77777777" w:rsidR="00E87221" w:rsidRPr="001247BC" w:rsidRDefault="00E87221" w:rsidP="00A95C27">
      <w:pPr>
        <w:pStyle w:val="FootnoteText"/>
      </w:pPr>
      <w:r w:rsidRPr="00946908">
        <w:rPr>
          <w:rStyle w:val="FootnoteReference"/>
        </w:rPr>
        <w:footnoteRef/>
      </w:r>
      <w:r w:rsidRPr="00946908">
        <w:t xml:space="preserve"> </w:t>
      </w:r>
      <w:r w:rsidRPr="00946908">
        <w:rPr>
          <w:i/>
        </w:rPr>
        <w:t xml:space="preserve">Levine v Rosen </w:t>
      </w:r>
      <w:r w:rsidRPr="00946908">
        <w:t>(1992) 616 A 2d 623 (Pa).</w:t>
      </w:r>
      <w:r>
        <w:t xml:space="preserve"> </w:t>
      </w:r>
      <w:r w:rsidRPr="00986036">
        <w:rPr>
          <w:i/>
        </w:rPr>
        <w:t xml:space="preserve"> </w:t>
      </w:r>
      <w:r>
        <w:t xml:space="preserve">   </w:t>
      </w:r>
    </w:p>
  </w:footnote>
  <w:footnote w:id="122">
    <w:p w14:paraId="1AFA93C9" w14:textId="0F370493" w:rsidR="00E87221" w:rsidRDefault="00E87221" w:rsidP="00A95C27">
      <w:pPr>
        <w:pStyle w:val="FootnoteText"/>
      </w:pPr>
      <w:r w:rsidRPr="00165C2A">
        <w:rPr>
          <w:rStyle w:val="FootnoteReference"/>
        </w:rPr>
        <w:footnoteRef/>
      </w:r>
      <w:r>
        <w:t xml:space="preserve"> </w:t>
      </w:r>
      <w:r w:rsidRPr="008A46E9">
        <w:t>Samanta</w:t>
      </w:r>
      <w:r>
        <w:t xml:space="preserve"> (n 13) 344.</w:t>
      </w:r>
    </w:p>
  </w:footnote>
  <w:footnote w:id="123">
    <w:p w14:paraId="1A044A0F" w14:textId="6000E240" w:rsidR="00E87221" w:rsidRDefault="00E87221" w:rsidP="00A95C27">
      <w:pPr>
        <w:pStyle w:val="FootnoteText"/>
      </w:pPr>
      <w:r>
        <w:rPr>
          <w:rStyle w:val="FootnoteReference"/>
        </w:rPr>
        <w:footnoteRef/>
      </w:r>
      <w:r>
        <w:t xml:space="preserve"> LL </w:t>
      </w:r>
      <w:proofErr w:type="spellStart"/>
      <w:r w:rsidRPr="003E399A">
        <w:rPr>
          <w:rFonts w:asciiTheme="minorHAnsi" w:hAnsiTheme="minorHAnsi" w:cs="Helvetica"/>
          <w:shd w:val="clear" w:color="auto" w:fill="FFFFFF"/>
        </w:rPr>
        <w:t>LeCraw</w:t>
      </w:r>
      <w:proofErr w:type="spellEnd"/>
      <w:r>
        <w:rPr>
          <w:rFonts w:asciiTheme="minorHAnsi" w:hAnsiTheme="minorHAnsi" w:cs="Helvetica"/>
          <w:shd w:val="clear" w:color="auto" w:fill="FFFFFF"/>
        </w:rPr>
        <w:t>, ‘</w:t>
      </w:r>
      <w:r w:rsidRPr="003E399A">
        <w:rPr>
          <w:rFonts w:asciiTheme="minorHAnsi" w:hAnsiTheme="minorHAnsi" w:cs="Helvetica"/>
          <w:shd w:val="clear" w:color="auto" w:fill="FFFFFF"/>
        </w:rPr>
        <w:t>Use of clinical practice guidelines in medical malpractice litigation</w:t>
      </w:r>
      <w:r>
        <w:rPr>
          <w:rFonts w:asciiTheme="minorHAnsi" w:hAnsiTheme="minorHAnsi" w:cs="Helvetica"/>
          <w:shd w:val="clear" w:color="auto" w:fill="FFFFFF"/>
        </w:rPr>
        <w:t xml:space="preserve">’ (2007) 3(5) </w:t>
      </w:r>
      <w:r w:rsidRPr="00F61C3F">
        <w:rPr>
          <w:rFonts w:asciiTheme="minorHAnsi" w:hAnsiTheme="minorHAnsi" w:cs="Helvetica"/>
          <w:i/>
          <w:shd w:val="clear" w:color="auto" w:fill="FFFFFF"/>
        </w:rPr>
        <w:t xml:space="preserve">J </w:t>
      </w:r>
      <w:r w:rsidRPr="003E399A">
        <w:rPr>
          <w:rFonts w:asciiTheme="minorHAnsi" w:hAnsiTheme="minorHAnsi" w:cs="Helvetica"/>
          <w:i/>
          <w:iCs/>
          <w:shd w:val="clear" w:color="auto" w:fill="FFFFFF"/>
        </w:rPr>
        <w:t xml:space="preserve">Oncol </w:t>
      </w:r>
      <w:proofErr w:type="spellStart"/>
      <w:r w:rsidRPr="003E399A">
        <w:rPr>
          <w:rFonts w:asciiTheme="minorHAnsi" w:hAnsiTheme="minorHAnsi" w:cs="Helvetica"/>
          <w:i/>
          <w:iCs/>
          <w:shd w:val="clear" w:color="auto" w:fill="FFFFFF"/>
        </w:rPr>
        <w:t>Pract</w:t>
      </w:r>
      <w:proofErr w:type="spellEnd"/>
      <w:r>
        <w:rPr>
          <w:rFonts w:asciiTheme="minorHAnsi" w:hAnsiTheme="minorHAnsi" w:cs="Helvetica"/>
          <w:shd w:val="clear" w:color="auto" w:fill="FFFFFF"/>
        </w:rPr>
        <w:t xml:space="preserve"> </w:t>
      </w:r>
      <w:r w:rsidRPr="003E399A">
        <w:rPr>
          <w:rFonts w:asciiTheme="minorHAnsi" w:hAnsiTheme="minorHAnsi" w:cs="Helvetica"/>
          <w:shd w:val="clear" w:color="auto" w:fill="FFFFFF"/>
        </w:rPr>
        <w:t>254.</w:t>
      </w:r>
    </w:p>
  </w:footnote>
  <w:footnote w:id="124">
    <w:p w14:paraId="3199D23B" w14:textId="089138BF" w:rsidR="00E87221" w:rsidRPr="00577A03" w:rsidRDefault="00E87221" w:rsidP="00A95C27">
      <w:pPr>
        <w:pStyle w:val="FootnoteText"/>
        <w:jc w:val="left"/>
        <w:rPr>
          <w:rFonts w:asciiTheme="minorHAnsi" w:hAnsiTheme="minorHAnsi"/>
        </w:rPr>
      </w:pPr>
      <w:r>
        <w:rPr>
          <w:rStyle w:val="FootnoteReference"/>
        </w:rPr>
        <w:footnoteRef/>
      </w:r>
      <w:r>
        <w:t xml:space="preserve"> P </w:t>
      </w:r>
      <w:r w:rsidRPr="004339F6">
        <w:rPr>
          <w:rFonts w:asciiTheme="minorHAnsi" w:hAnsiTheme="minorHAnsi" w:cs="Helvetica"/>
          <w:shd w:val="clear" w:color="auto" w:fill="FFFFFF"/>
        </w:rPr>
        <w:t>Orszag</w:t>
      </w:r>
      <w:r>
        <w:rPr>
          <w:rFonts w:asciiTheme="minorHAnsi" w:hAnsiTheme="minorHAnsi" w:cs="Helvetica"/>
          <w:shd w:val="clear" w:color="auto" w:fill="FFFFFF"/>
        </w:rPr>
        <w:t>, ‘</w:t>
      </w:r>
      <w:r w:rsidRPr="004339F6">
        <w:rPr>
          <w:rFonts w:asciiTheme="minorHAnsi" w:hAnsiTheme="minorHAnsi" w:cs="Helvetica"/>
          <w:shd w:val="clear" w:color="auto" w:fill="FFFFFF"/>
        </w:rPr>
        <w:t>Malpractice methodology</w:t>
      </w:r>
      <w:r>
        <w:rPr>
          <w:rFonts w:asciiTheme="minorHAnsi" w:hAnsiTheme="minorHAnsi" w:cs="Helvetica"/>
          <w:shd w:val="clear" w:color="auto" w:fill="FFFFFF"/>
        </w:rPr>
        <w:t xml:space="preserve">’ (20 October 2010) </w:t>
      </w:r>
      <w:r w:rsidRPr="004339F6">
        <w:rPr>
          <w:rFonts w:asciiTheme="minorHAnsi" w:hAnsiTheme="minorHAnsi" w:cs="Helvetica"/>
          <w:i/>
          <w:iCs/>
          <w:shd w:val="clear" w:color="auto" w:fill="FFFFFF"/>
        </w:rPr>
        <w:t>New York Times</w:t>
      </w:r>
      <w:r>
        <w:rPr>
          <w:rFonts w:asciiTheme="minorHAnsi" w:hAnsiTheme="minorHAnsi" w:cs="Helvetica"/>
          <w:shd w:val="clear" w:color="auto" w:fill="FFFFFF"/>
        </w:rPr>
        <w:t xml:space="preserve"> at </w:t>
      </w:r>
      <w:hyperlink r:id="rId9" w:tgtFrame="_blank" w:history="1">
        <w:r w:rsidRPr="00577A03">
          <w:rPr>
            <w:rFonts w:asciiTheme="minorHAnsi" w:hAnsiTheme="minorHAnsi" w:cs="Helvetica"/>
            <w:shd w:val="clear" w:color="auto" w:fill="FFFFFF"/>
          </w:rPr>
          <w:t>http://www.nytimes.com/2010/10/21/opinion/21orszag.html</w:t>
        </w:r>
      </w:hyperlink>
      <w:r w:rsidRPr="00577A03">
        <w:rPr>
          <w:rFonts w:asciiTheme="minorHAnsi" w:hAnsiTheme="minorHAnsi" w:cs="Helvetica"/>
          <w:shd w:val="clear" w:color="auto" w:fill="FFFFFF"/>
        </w:rPr>
        <w:t xml:space="preserve">. </w:t>
      </w:r>
    </w:p>
  </w:footnote>
  <w:footnote w:id="125">
    <w:p w14:paraId="7522DE6C" w14:textId="463AA4CB" w:rsidR="00E87221" w:rsidRPr="00577A03" w:rsidRDefault="00E87221" w:rsidP="00A95C27">
      <w:pPr>
        <w:pStyle w:val="Heading2"/>
        <w:spacing w:before="0"/>
        <w:jc w:val="left"/>
        <w:rPr>
          <w:rFonts w:asciiTheme="minorHAnsi" w:hAnsiTheme="minorHAnsi"/>
        </w:rPr>
      </w:pPr>
      <w:r w:rsidRPr="006E6303">
        <w:rPr>
          <w:rStyle w:val="FootnoteReference"/>
          <w:color w:val="auto"/>
        </w:rPr>
        <w:footnoteRef/>
      </w:r>
      <w:r w:rsidRPr="006E6303">
        <w:rPr>
          <w:color w:val="auto"/>
          <w:sz w:val="20"/>
          <w:szCs w:val="20"/>
        </w:rPr>
        <w:t xml:space="preserve"> </w:t>
      </w:r>
      <w:r w:rsidRPr="002E40B9">
        <w:rPr>
          <w:rFonts w:asciiTheme="minorHAnsi" w:hAnsiTheme="minorHAnsi" w:cs="Helvetica"/>
          <w:color w:val="auto"/>
          <w:sz w:val="20"/>
          <w:szCs w:val="20"/>
        </w:rPr>
        <w:t xml:space="preserve">TK Mackey, B Liang, </w:t>
      </w:r>
      <w:r>
        <w:rPr>
          <w:rFonts w:asciiTheme="minorHAnsi" w:hAnsiTheme="minorHAnsi" w:cs="Helvetica"/>
          <w:color w:val="auto"/>
          <w:sz w:val="20"/>
          <w:szCs w:val="20"/>
        </w:rPr>
        <w:t>‘</w:t>
      </w:r>
      <w:r w:rsidRPr="006E6303">
        <w:rPr>
          <w:rFonts w:asciiTheme="minorHAnsi" w:eastAsia="Times New Roman" w:hAnsiTheme="minorHAnsi" w:cs="Times New Roman"/>
          <w:bCs/>
          <w:color w:val="auto"/>
          <w:sz w:val="20"/>
          <w:szCs w:val="20"/>
          <w:lang w:eastAsia="en-GB"/>
        </w:rPr>
        <w:t xml:space="preserve">The Role of Practice Guidelines in Medical Malpractice </w:t>
      </w:r>
      <w:r w:rsidRPr="00577A03">
        <w:rPr>
          <w:rFonts w:asciiTheme="minorHAnsi" w:eastAsia="Times New Roman" w:hAnsiTheme="minorHAnsi" w:cs="Times New Roman"/>
          <w:bCs/>
          <w:color w:val="auto"/>
          <w:sz w:val="20"/>
          <w:szCs w:val="20"/>
          <w:lang w:eastAsia="en-GB"/>
        </w:rPr>
        <w:t xml:space="preserve">Litigation’ </w:t>
      </w:r>
      <w:r>
        <w:rPr>
          <w:rFonts w:asciiTheme="minorHAnsi" w:eastAsia="Times New Roman" w:hAnsiTheme="minorHAnsi" w:cs="Times New Roman"/>
          <w:bCs/>
          <w:color w:val="auto"/>
          <w:sz w:val="20"/>
          <w:szCs w:val="20"/>
          <w:lang w:eastAsia="en-GB"/>
        </w:rPr>
        <w:t xml:space="preserve">(2011) 13(1) </w:t>
      </w:r>
      <w:r w:rsidRPr="00577A03">
        <w:rPr>
          <w:rStyle w:val="Emphasis"/>
          <w:rFonts w:asciiTheme="minorHAnsi" w:hAnsiTheme="minorHAnsi" w:cs="Helvetica"/>
          <w:color w:val="auto"/>
          <w:sz w:val="20"/>
          <w:szCs w:val="20"/>
        </w:rPr>
        <w:t>Virtual Mentor</w:t>
      </w:r>
      <w:r w:rsidRPr="00577A03">
        <w:rPr>
          <w:rFonts w:asciiTheme="minorHAnsi" w:hAnsiTheme="minorHAnsi" w:cs="Helvetica"/>
          <w:color w:val="auto"/>
          <w:sz w:val="20"/>
          <w:szCs w:val="20"/>
          <w:shd w:val="clear" w:color="auto" w:fill="F1F1F1"/>
        </w:rPr>
        <w:t>:</w:t>
      </w:r>
      <w:r>
        <w:rPr>
          <w:rFonts w:asciiTheme="minorHAnsi" w:hAnsiTheme="minorHAnsi" w:cs="Helvetica"/>
          <w:color w:val="auto"/>
          <w:sz w:val="20"/>
          <w:szCs w:val="20"/>
          <w:shd w:val="clear" w:color="auto" w:fill="F1F1F1"/>
        </w:rPr>
        <w:t xml:space="preserve"> </w:t>
      </w:r>
      <w:r w:rsidRPr="00577A03">
        <w:rPr>
          <w:rFonts w:asciiTheme="minorHAnsi" w:hAnsiTheme="minorHAnsi" w:cs="Helvetica"/>
          <w:color w:val="auto"/>
          <w:sz w:val="20"/>
          <w:szCs w:val="20"/>
          <w:shd w:val="clear" w:color="auto" w:fill="F1F1F1"/>
        </w:rPr>
        <w:t>36-41</w:t>
      </w:r>
      <w:r>
        <w:rPr>
          <w:rFonts w:asciiTheme="minorHAnsi" w:hAnsiTheme="minorHAnsi" w:cs="Helvetica"/>
          <w:color w:val="auto"/>
          <w:sz w:val="20"/>
          <w:szCs w:val="20"/>
          <w:shd w:val="clear" w:color="auto" w:fill="F1F1F1"/>
        </w:rPr>
        <w:t>.</w:t>
      </w:r>
    </w:p>
  </w:footnote>
  <w:footnote w:id="126">
    <w:p w14:paraId="55BBCFE4" w14:textId="77777777" w:rsidR="00E87221" w:rsidRDefault="00E87221" w:rsidP="00A95C27">
      <w:pPr>
        <w:pStyle w:val="FootnoteText"/>
      </w:pPr>
      <w:r>
        <w:rPr>
          <w:rStyle w:val="FootnoteReference"/>
        </w:rPr>
        <w:footnoteRef/>
      </w:r>
      <w:r>
        <w:t xml:space="preserve"> Respondent 10: </w:t>
      </w:r>
      <w:r w:rsidRPr="00DF1788">
        <w:t>(Solicitor)(SFT).</w:t>
      </w:r>
    </w:p>
  </w:footnote>
  <w:footnote w:id="127">
    <w:p w14:paraId="21234502" w14:textId="77777777" w:rsidR="00E87221" w:rsidRDefault="00E87221" w:rsidP="00A95C27">
      <w:pPr>
        <w:pStyle w:val="FootnoteText"/>
      </w:pPr>
      <w:r>
        <w:rPr>
          <w:rStyle w:val="FootnoteReference"/>
        </w:rPr>
        <w:footnoteRef/>
      </w:r>
      <w:r>
        <w:t xml:space="preserve"> Respondent 31: </w:t>
      </w:r>
      <w:r w:rsidRPr="00DF1788">
        <w:t>(Barrister)(SFT).</w:t>
      </w:r>
      <w:r w:rsidRPr="008963D9">
        <w:rPr>
          <w:sz w:val="32"/>
          <w:szCs w:val="32"/>
        </w:rPr>
        <w:t xml:space="preserve">  </w:t>
      </w:r>
    </w:p>
  </w:footnote>
  <w:footnote w:id="128">
    <w:p w14:paraId="611B15C5" w14:textId="77777777" w:rsidR="00E87221" w:rsidRDefault="00E87221" w:rsidP="00A95C27">
      <w:pPr>
        <w:pStyle w:val="FootnoteText"/>
      </w:pPr>
      <w:r>
        <w:rPr>
          <w:rStyle w:val="FootnoteReference"/>
        </w:rPr>
        <w:footnoteRef/>
      </w:r>
      <w:r>
        <w:t xml:space="preserve"> Respondent 31: </w:t>
      </w:r>
      <w:r w:rsidRPr="00DF1788">
        <w:t>(Barrister)(SFT).</w:t>
      </w:r>
      <w:r w:rsidRPr="008963D9">
        <w:rPr>
          <w:sz w:val="32"/>
          <w:szCs w:val="32"/>
        </w:rPr>
        <w:t xml:space="preserve">  </w:t>
      </w:r>
    </w:p>
  </w:footnote>
  <w:footnote w:id="129">
    <w:p w14:paraId="671F21AC" w14:textId="77777777" w:rsidR="00E87221" w:rsidRPr="008955E3" w:rsidRDefault="00E87221" w:rsidP="00A95C27">
      <w:pPr>
        <w:rPr>
          <w:sz w:val="20"/>
        </w:rPr>
      </w:pPr>
      <w:r>
        <w:rPr>
          <w:rStyle w:val="FootnoteReference"/>
        </w:rPr>
        <w:footnoteRef/>
      </w:r>
      <w:r>
        <w:t xml:space="preserve"> </w:t>
      </w:r>
      <w:r w:rsidRPr="008955E3">
        <w:rPr>
          <w:sz w:val="20"/>
        </w:rPr>
        <w:t>Respondent 32: (Barrister)(SFT).</w:t>
      </w:r>
    </w:p>
  </w:footnote>
  <w:footnote w:id="130">
    <w:p w14:paraId="305BAE09" w14:textId="77777777" w:rsidR="00E87221" w:rsidRDefault="00E87221" w:rsidP="00A95C27">
      <w:pPr>
        <w:pStyle w:val="FootnoteText"/>
      </w:pPr>
      <w:r>
        <w:rPr>
          <w:rStyle w:val="FootnoteReference"/>
        </w:rPr>
        <w:footnoteRef/>
      </w:r>
      <w:r>
        <w:t xml:space="preserve"> </w:t>
      </w:r>
      <w:r w:rsidRPr="000E3D7A">
        <w:rPr>
          <w:i/>
          <w:iCs/>
        </w:rPr>
        <w:t>KR v Lanarkshire Health Board</w:t>
      </w:r>
      <w:r>
        <w:t xml:space="preserve"> [2016] CSOH 133</w:t>
      </w:r>
    </w:p>
  </w:footnote>
  <w:footnote w:id="131">
    <w:p w14:paraId="48304DFC" w14:textId="77777777" w:rsidR="00E87221" w:rsidRDefault="00E87221" w:rsidP="00A95C27">
      <w:pPr>
        <w:pStyle w:val="FootnoteText"/>
      </w:pPr>
      <w:r>
        <w:rPr>
          <w:rStyle w:val="FootnoteReference"/>
        </w:rPr>
        <w:footnoteRef/>
      </w:r>
      <w:r>
        <w:t xml:space="preserve"> The evidence therefore failed the </w:t>
      </w:r>
      <w:r w:rsidRPr="00F32631">
        <w:rPr>
          <w:i/>
        </w:rPr>
        <w:t>Bolitho</w:t>
      </w:r>
      <w:r>
        <w:t xml:space="preserve"> test. </w:t>
      </w:r>
    </w:p>
  </w:footnote>
  <w:footnote w:id="132">
    <w:p w14:paraId="002C97AA" w14:textId="77777777" w:rsidR="00E87221" w:rsidRDefault="00E87221" w:rsidP="00A95C27">
      <w:pPr>
        <w:pStyle w:val="FootnoteText"/>
      </w:pPr>
      <w:r>
        <w:rPr>
          <w:rStyle w:val="FootnoteReference"/>
        </w:rPr>
        <w:footnoteRef/>
      </w:r>
      <w:r>
        <w:t xml:space="preserve"> </w:t>
      </w:r>
      <w:r w:rsidRPr="000F231A">
        <w:rPr>
          <w:i/>
        </w:rPr>
        <w:t>Vernon v Bloomsbury Health Authority</w:t>
      </w:r>
      <w:r>
        <w:t xml:space="preserve"> (1995) 6 Med LR 297.</w:t>
      </w:r>
    </w:p>
  </w:footnote>
  <w:footnote w:id="133">
    <w:p w14:paraId="0144A7FD" w14:textId="50A20714" w:rsidR="00E87221" w:rsidRDefault="00E87221">
      <w:pPr>
        <w:pStyle w:val="FootnoteText"/>
      </w:pPr>
      <w:r>
        <w:rPr>
          <w:rStyle w:val="FootnoteReference"/>
        </w:rPr>
        <w:footnoteRef/>
      </w:r>
      <w:r>
        <w:t xml:space="preserve"> Participant 4: </w:t>
      </w:r>
      <w:r w:rsidRPr="00CB1189">
        <w:rPr>
          <w:rFonts w:asciiTheme="minorHAnsi" w:hAnsiTheme="minorHAnsi" w:cstheme="minorBidi"/>
          <w:szCs w:val="22"/>
        </w:rPr>
        <w:t xml:space="preserve">(Barrister)(IDI).  </w:t>
      </w:r>
    </w:p>
  </w:footnote>
  <w:footnote w:id="134">
    <w:p w14:paraId="2220F231" w14:textId="24E7B187" w:rsidR="00E87221" w:rsidRDefault="00E87221">
      <w:pPr>
        <w:pStyle w:val="FootnoteText"/>
      </w:pPr>
      <w:r>
        <w:rPr>
          <w:rStyle w:val="FootnoteReference"/>
        </w:rPr>
        <w:footnoteRef/>
      </w:r>
      <w:r>
        <w:t xml:space="preserve"> Participant 1: </w:t>
      </w:r>
      <w:r w:rsidRPr="00CB1189">
        <w:rPr>
          <w:rFonts w:asciiTheme="minorHAnsi" w:hAnsiTheme="minorHAnsi" w:cstheme="minorBidi"/>
          <w:szCs w:val="22"/>
        </w:rPr>
        <w:t xml:space="preserve">(Barrister)(IDI).  </w:t>
      </w:r>
    </w:p>
  </w:footnote>
  <w:footnote w:id="135">
    <w:p w14:paraId="79E3D286" w14:textId="358E9B51" w:rsidR="00E87221" w:rsidRDefault="00E87221">
      <w:pPr>
        <w:pStyle w:val="FootnoteText"/>
      </w:pPr>
      <w:r>
        <w:rPr>
          <w:rStyle w:val="FootnoteReference"/>
        </w:rPr>
        <w:footnoteRef/>
      </w:r>
      <w:r>
        <w:t xml:space="preserve"> Respondent 11: </w:t>
      </w:r>
      <w:r w:rsidRPr="00CB1189">
        <w:rPr>
          <w:rFonts w:asciiTheme="minorHAnsi" w:hAnsiTheme="minorHAnsi" w:cstheme="minorBidi"/>
          <w:szCs w:val="22"/>
        </w:rPr>
        <w:t xml:space="preserve">(Barrister)(SFT).  </w:t>
      </w:r>
    </w:p>
  </w:footnote>
  <w:footnote w:id="136">
    <w:p w14:paraId="69CDF0E8" w14:textId="60267930" w:rsidR="00E87221" w:rsidRDefault="00E87221">
      <w:pPr>
        <w:pStyle w:val="FootnoteText"/>
      </w:pPr>
      <w:r>
        <w:rPr>
          <w:rStyle w:val="FootnoteReference"/>
        </w:rPr>
        <w:footnoteRef/>
      </w:r>
      <w:r>
        <w:t xml:space="preserve"> Participant 6: </w:t>
      </w:r>
      <w:r w:rsidRPr="00CB1189">
        <w:rPr>
          <w:rFonts w:asciiTheme="minorHAnsi" w:hAnsiTheme="minorHAnsi" w:cstheme="minorBidi"/>
          <w:szCs w:val="22"/>
        </w:rPr>
        <w:t xml:space="preserve">(Claims </w:t>
      </w:r>
      <w:proofErr w:type="gramStart"/>
      <w:r w:rsidRPr="00CB1189">
        <w:rPr>
          <w:rFonts w:asciiTheme="minorHAnsi" w:hAnsiTheme="minorHAnsi" w:cstheme="minorBidi"/>
          <w:szCs w:val="22"/>
        </w:rPr>
        <w:t>expert)(</w:t>
      </w:r>
      <w:proofErr w:type="gramEnd"/>
      <w:r w:rsidRPr="00CB1189">
        <w:rPr>
          <w:rFonts w:asciiTheme="minorHAnsi" w:hAnsiTheme="minorHAnsi" w:cstheme="minorBidi"/>
          <w:szCs w:val="22"/>
        </w:rPr>
        <w:t>IDI).</w:t>
      </w:r>
    </w:p>
  </w:footnote>
  <w:footnote w:id="137">
    <w:p w14:paraId="33A0AE86" w14:textId="3836B5A8" w:rsidR="00E87221" w:rsidRDefault="00E87221">
      <w:pPr>
        <w:pStyle w:val="FootnoteText"/>
      </w:pPr>
      <w:r>
        <w:rPr>
          <w:rStyle w:val="FootnoteReference"/>
        </w:rPr>
        <w:footnoteRef/>
      </w:r>
      <w:r>
        <w:t xml:space="preserve"> Respondent 32: </w:t>
      </w:r>
      <w:r w:rsidRPr="00CB1189">
        <w:rPr>
          <w:rFonts w:asciiTheme="minorHAnsi" w:hAnsiTheme="minorHAnsi" w:cstheme="minorBidi"/>
          <w:szCs w:val="22"/>
        </w:rPr>
        <w:t>(Barrister)(SFT).</w:t>
      </w:r>
    </w:p>
  </w:footnote>
  <w:footnote w:id="138">
    <w:p w14:paraId="65796D68" w14:textId="324BB6B3" w:rsidR="00E87221" w:rsidRPr="00620473" w:rsidRDefault="00E87221" w:rsidP="00620473">
      <w:r>
        <w:rPr>
          <w:rStyle w:val="FootnoteReference"/>
        </w:rPr>
        <w:footnoteRef/>
      </w:r>
      <w:r>
        <w:t xml:space="preserve"> </w:t>
      </w:r>
      <w:r w:rsidRPr="00620473">
        <w:rPr>
          <w:rFonts w:asciiTheme="minorHAnsi" w:hAnsiTheme="minorHAnsi" w:cstheme="minorBidi"/>
          <w:sz w:val="20"/>
        </w:rPr>
        <w:t xml:space="preserve">We </w:t>
      </w:r>
      <w:r>
        <w:rPr>
          <w:rFonts w:asciiTheme="minorHAnsi" w:hAnsiTheme="minorHAnsi" w:cstheme="minorBidi"/>
          <w:sz w:val="20"/>
        </w:rPr>
        <w:t xml:space="preserve">could not </w:t>
      </w:r>
      <w:r w:rsidRPr="00620473">
        <w:rPr>
          <w:rFonts w:asciiTheme="minorHAnsi" w:hAnsiTheme="minorHAnsi" w:cstheme="minorBidi"/>
          <w:sz w:val="20"/>
        </w:rPr>
        <w:t>obtain case files as these were retained by solicitors instructed by NHS Resolution.</w:t>
      </w:r>
    </w:p>
  </w:footnote>
  <w:footnote w:id="139">
    <w:p w14:paraId="741EC522" w14:textId="410BAAFB" w:rsidR="00E87221" w:rsidRPr="00B467AC" w:rsidRDefault="00E87221" w:rsidP="00620473">
      <w:pPr>
        <w:pStyle w:val="Heading1"/>
        <w:spacing w:before="0"/>
        <w:rPr>
          <w:sz w:val="20"/>
          <w:szCs w:val="20"/>
        </w:rPr>
      </w:pPr>
      <w:r w:rsidRPr="00B467AC">
        <w:rPr>
          <w:rStyle w:val="FootnoteReference"/>
          <w:rFonts w:asciiTheme="minorHAnsi" w:hAnsiTheme="minorHAnsi"/>
          <w:color w:val="auto"/>
          <w:sz w:val="20"/>
          <w:szCs w:val="20"/>
        </w:rPr>
        <w:footnoteRef/>
      </w:r>
      <w:r w:rsidRPr="00B467AC">
        <w:rPr>
          <w:rFonts w:asciiTheme="minorHAnsi" w:hAnsiTheme="minorHAnsi"/>
          <w:color w:val="auto"/>
          <w:sz w:val="20"/>
          <w:szCs w:val="20"/>
        </w:rPr>
        <w:t xml:space="preserve"> </w:t>
      </w:r>
      <w:r>
        <w:rPr>
          <w:rFonts w:asciiTheme="minorHAnsi" w:hAnsiTheme="minorHAnsi"/>
          <w:color w:val="auto"/>
          <w:sz w:val="20"/>
          <w:szCs w:val="20"/>
        </w:rPr>
        <w:t xml:space="preserve">J </w:t>
      </w:r>
      <w:r w:rsidRPr="00B467AC">
        <w:rPr>
          <w:rFonts w:asciiTheme="minorHAnsi" w:hAnsiTheme="minorHAnsi"/>
          <w:color w:val="auto"/>
          <w:sz w:val="20"/>
          <w:szCs w:val="20"/>
        </w:rPr>
        <w:t>Hyde</w:t>
      </w:r>
      <w:r>
        <w:rPr>
          <w:rFonts w:asciiTheme="minorHAnsi" w:hAnsiTheme="minorHAnsi"/>
          <w:color w:val="auto"/>
          <w:sz w:val="20"/>
          <w:szCs w:val="20"/>
        </w:rPr>
        <w:t>, ‘</w:t>
      </w:r>
      <w:r w:rsidRPr="00B467AC">
        <w:rPr>
          <w:rFonts w:asciiTheme="minorHAnsi" w:eastAsia="Times New Roman" w:hAnsiTheme="minorHAnsi" w:cs="Arial"/>
          <w:color w:val="auto"/>
          <w:kern w:val="36"/>
          <w:sz w:val="20"/>
          <w:szCs w:val="20"/>
          <w:lang w:eastAsia="en-GB"/>
        </w:rPr>
        <w:t xml:space="preserve">Jackson </w:t>
      </w:r>
      <w:r w:rsidRPr="00B467AC">
        <w:rPr>
          <w:rFonts w:asciiTheme="minorHAnsi" w:eastAsia="Times New Roman" w:hAnsiTheme="minorHAnsi" w:cs="Arial"/>
          <w:color w:val="212121"/>
          <w:kern w:val="36"/>
          <w:sz w:val="20"/>
          <w:szCs w:val="20"/>
          <w:lang w:eastAsia="en-GB"/>
        </w:rPr>
        <w:t>backs new clinical negligence liability test to allow more claims</w:t>
      </w:r>
      <w:r>
        <w:rPr>
          <w:rFonts w:asciiTheme="minorHAnsi" w:eastAsia="Times New Roman" w:hAnsiTheme="minorHAnsi" w:cs="Arial"/>
          <w:color w:val="212121"/>
          <w:kern w:val="36"/>
          <w:sz w:val="20"/>
          <w:szCs w:val="20"/>
          <w:lang w:eastAsia="en-GB"/>
        </w:rPr>
        <w:t>’</w:t>
      </w:r>
      <w:r w:rsidRPr="00B467AC">
        <w:rPr>
          <w:rFonts w:asciiTheme="minorHAnsi" w:eastAsia="Times New Roman" w:hAnsiTheme="minorHAnsi" w:cs="Arial"/>
          <w:color w:val="212121"/>
          <w:kern w:val="36"/>
          <w:sz w:val="20"/>
          <w:szCs w:val="20"/>
          <w:lang w:eastAsia="en-GB"/>
        </w:rPr>
        <w:t xml:space="preserve"> (</w:t>
      </w:r>
      <w:r>
        <w:rPr>
          <w:rFonts w:asciiTheme="minorHAnsi" w:eastAsia="Times New Roman" w:hAnsiTheme="minorHAnsi" w:cs="Arial"/>
          <w:color w:val="212121"/>
          <w:kern w:val="36"/>
          <w:sz w:val="20"/>
          <w:szCs w:val="20"/>
          <w:lang w:eastAsia="en-GB"/>
        </w:rPr>
        <w:t xml:space="preserve">17 May </w:t>
      </w:r>
      <w:r w:rsidRPr="00B467AC">
        <w:rPr>
          <w:rFonts w:asciiTheme="minorHAnsi" w:eastAsia="Times New Roman" w:hAnsiTheme="minorHAnsi" w:cs="Arial"/>
          <w:color w:val="212121"/>
          <w:kern w:val="36"/>
          <w:sz w:val="20"/>
          <w:szCs w:val="20"/>
          <w:lang w:eastAsia="en-GB"/>
        </w:rPr>
        <w:t xml:space="preserve">2019) Gazette </w:t>
      </w:r>
      <w:hyperlink r:id="rId10" w:history="1">
        <w:r w:rsidRPr="00B467AC">
          <w:rPr>
            <w:rFonts w:ascii="Calibri" w:eastAsiaTheme="minorHAnsi" w:hAnsi="Calibri" w:cs="Calibri"/>
            <w:color w:val="0000FF"/>
            <w:sz w:val="20"/>
            <w:szCs w:val="20"/>
            <w:u w:val="single"/>
          </w:rPr>
          <w:t>https://www.lawgazette.co.uk/news/jackson-backs-new-clinical-negligence-liability-test-to-allow-more-claims/5070323.article</w:t>
        </w:r>
      </w:hyperlink>
      <w:r>
        <w:rPr>
          <w:rFonts w:ascii="Calibri" w:eastAsiaTheme="minorHAnsi" w:hAnsi="Calibri" w:cs="Calibri"/>
          <w:color w:val="0000FF"/>
          <w:sz w:val="20"/>
          <w:szCs w:val="20"/>
          <w:u w:val="single"/>
        </w:rPr>
        <w:t>.</w:t>
      </w:r>
    </w:p>
  </w:footnote>
  <w:footnote w:id="140">
    <w:p w14:paraId="3D02425A" w14:textId="3ECFB7EE" w:rsidR="00E87221" w:rsidRDefault="00E87221" w:rsidP="00B467AC">
      <w:pPr>
        <w:pStyle w:val="FootnoteText"/>
      </w:pPr>
      <w:r>
        <w:rPr>
          <w:rStyle w:val="FootnoteReference"/>
        </w:rPr>
        <w:footnoteRef/>
      </w:r>
      <w:r>
        <w:t xml:space="preserve"> With AS. </w:t>
      </w:r>
    </w:p>
  </w:footnote>
  <w:footnote w:id="141">
    <w:p w14:paraId="5914688B" w14:textId="4512522F" w:rsidR="00E87221" w:rsidRDefault="00E87221">
      <w:pPr>
        <w:pStyle w:val="FootnoteText"/>
      </w:pPr>
      <w:r>
        <w:rPr>
          <w:rStyle w:val="FootnoteReference"/>
        </w:rPr>
        <w:footnoteRef/>
      </w:r>
      <w:r>
        <w:t xml:space="preserve"> </w:t>
      </w:r>
      <w:r w:rsidRPr="001B6A23">
        <w:rPr>
          <w:i/>
        </w:rPr>
        <w:t>Wilsher v Essex AHA,</w:t>
      </w:r>
      <w:r>
        <w:t xml:space="preserve"> [1987] Q.B. 730 (1986) </w:t>
      </w:r>
      <w:r w:rsidRPr="00787999">
        <w:rPr>
          <w:i/>
        </w:rPr>
        <w:t>per</w:t>
      </w:r>
      <w:r>
        <w:t xml:space="preserve"> Browne-Wilkinson 778 A-C.</w:t>
      </w:r>
    </w:p>
  </w:footnote>
  <w:footnote w:id="142">
    <w:p w14:paraId="5D14A05D" w14:textId="41CFF6D5" w:rsidR="00E87221" w:rsidRDefault="00E87221" w:rsidP="00E906C4">
      <w:pPr>
        <w:pStyle w:val="FootnoteText"/>
      </w:pPr>
      <w:r>
        <w:rPr>
          <w:rStyle w:val="FootnoteReference"/>
        </w:rPr>
        <w:footnoteRef/>
      </w:r>
      <w:r>
        <w:t xml:space="preserve"> </w:t>
      </w:r>
      <w:r>
        <w:rPr>
          <w:i/>
          <w:lang w:val="en"/>
        </w:rPr>
        <w:t>Hunter v Hanley</w:t>
      </w:r>
      <w:r>
        <w:t xml:space="preserve"> 1955 S.C. 200.</w:t>
      </w:r>
    </w:p>
  </w:footnote>
  <w:footnote w:id="143">
    <w:p w14:paraId="7B590ABD" w14:textId="623D2D42" w:rsidR="00E87221" w:rsidRDefault="00E87221" w:rsidP="00E906C4">
      <w:pPr>
        <w:pStyle w:val="FootnoteText"/>
      </w:pPr>
      <w:r>
        <w:rPr>
          <w:rStyle w:val="FootnoteReference"/>
        </w:rPr>
        <w:footnoteRef/>
      </w:r>
      <w:r>
        <w:t xml:space="preserve"> </w:t>
      </w:r>
      <w:r>
        <w:rPr>
          <w:i/>
        </w:rPr>
        <w:t>Maynard v West Midlands Regional Health Authority</w:t>
      </w:r>
      <w:r>
        <w:t xml:space="preserve"> [1984] 1 WLR 634.</w:t>
      </w:r>
    </w:p>
  </w:footnote>
  <w:footnote w:id="144">
    <w:p w14:paraId="21FDF7A3" w14:textId="70791444" w:rsidR="00E87221" w:rsidRDefault="00E87221" w:rsidP="00E906C4">
      <w:pPr>
        <w:rPr>
          <w:sz w:val="20"/>
        </w:rPr>
      </w:pPr>
      <w:r>
        <w:rPr>
          <w:rStyle w:val="FootnoteReference"/>
        </w:rPr>
        <w:footnoteRef/>
      </w:r>
      <w:r>
        <w:t xml:space="preserve"> </w:t>
      </w:r>
      <w:r>
        <w:rPr>
          <w:sz w:val="20"/>
        </w:rPr>
        <w:t>Brazier (n 2).</w:t>
      </w:r>
    </w:p>
  </w:footnote>
  <w:footnote w:id="145">
    <w:p w14:paraId="7B43E670" w14:textId="77777777" w:rsidR="00E87221" w:rsidRDefault="00E87221" w:rsidP="00A60AB8">
      <w:pPr>
        <w:pStyle w:val="Heading1"/>
        <w:shd w:val="clear" w:color="auto" w:fill="FFFFFF"/>
        <w:spacing w:before="0"/>
        <w:jc w:val="left"/>
      </w:pPr>
      <w:r w:rsidRPr="00E23E23">
        <w:rPr>
          <w:rStyle w:val="FootnoteReference"/>
          <w:rFonts w:asciiTheme="minorHAnsi" w:hAnsiTheme="minorHAnsi"/>
          <w:color w:val="auto"/>
          <w:sz w:val="20"/>
          <w:szCs w:val="20"/>
        </w:rPr>
        <w:footnoteRef/>
      </w:r>
      <w:r w:rsidRPr="00E23E23">
        <w:rPr>
          <w:rFonts w:asciiTheme="minorHAnsi" w:hAnsiTheme="minorHAnsi"/>
          <w:color w:val="auto"/>
          <w:sz w:val="20"/>
          <w:szCs w:val="20"/>
        </w:rPr>
        <w:t xml:space="preserve"> </w:t>
      </w:r>
      <w:r>
        <w:rPr>
          <w:rFonts w:asciiTheme="minorHAnsi" w:hAnsiTheme="minorHAnsi"/>
          <w:color w:val="auto"/>
          <w:sz w:val="20"/>
          <w:szCs w:val="20"/>
        </w:rPr>
        <w:t>S Boseley and M Davey, ‘</w:t>
      </w:r>
      <w:r w:rsidRPr="00E23E23">
        <w:rPr>
          <w:rFonts w:asciiTheme="minorHAnsi" w:eastAsia="Times New Roman" w:hAnsiTheme="minorHAnsi" w:cs="Times New Roman"/>
          <w:color w:val="auto"/>
          <w:kern w:val="36"/>
          <w:sz w:val="20"/>
          <w:szCs w:val="20"/>
          <w:lang w:eastAsia="en-GB"/>
        </w:rPr>
        <w:t>Covid-19: Lancet retracts paper that halted hydroxychloroquine trials</w:t>
      </w:r>
      <w:r>
        <w:rPr>
          <w:rFonts w:asciiTheme="minorHAnsi" w:eastAsia="Times New Roman" w:hAnsiTheme="minorHAnsi" w:cs="Times New Roman"/>
          <w:color w:val="auto"/>
          <w:kern w:val="36"/>
          <w:sz w:val="20"/>
          <w:szCs w:val="20"/>
          <w:lang w:eastAsia="en-GB"/>
        </w:rPr>
        <w:t xml:space="preserve">’ (4 June 2020) </w:t>
      </w:r>
      <w:r w:rsidRPr="00A30099">
        <w:rPr>
          <w:rFonts w:asciiTheme="minorHAnsi" w:eastAsia="Times New Roman" w:hAnsiTheme="minorHAnsi" w:cs="Times New Roman"/>
          <w:color w:val="auto"/>
          <w:kern w:val="36"/>
          <w:sz w:val="20"/>
          <w:szCs w:val="20"/>
          <w:lang w:eastAsia="en-GB"/>
        </w:rPr>
        <w:t xml:space="preserve">Guardian at </w:t>
      </w:r>
      <w:hyperlink r:id="rId11" w:history="1">
        <w:r w:rsidRPr="00A30099">
          <w:rPr>
            <w:rFonts w:ascii="Calibri" w:eastAsiaTheme="minorHAnsi" w:hAnsi="Calibri" w:cs="Calibri"/>
            <w:color w:val="0000FF"/>
            <w:sz w:val="20"/>
            <w:szCs w:val="20"/>
            <w:u w:val="single"/>
          </w:rPr>
          <w:t>https://www.theguardian.com/world/2020/jun/04/covid-19-lancet-retracts-paper-that-halted-hydroxychloroquine-trials</w:t>
        </w:r>
      </w:hyperlink>
      <w:r w:rsidRPr="00A30099">
        <w:rPr>
          <w:rFonts w:ascii="Calibri" w:eastAsiaTheme="minorHAnsi" w:hAnsi="Calibri" w:cs="Calibri"/>
          <w:color w:val="auto"/>
          <w:sz w:val="20"/>
          <w:szCs w:val="20"/>
        </w:rPr>
        <w:t>.</w:t>
      </w:r>
    </w:p>
  </w:footnote>
  <w:footnote w:id="146">
    <w:p w14:paraId="76EC3DDC" w14:textId="22A88D95" w:rsidR="00E87221" w:rsidRDefault="00E87221" w:rsidP="00A60AB8">
      <w:pPr>
        <w:pStyle w:val="FootnoteText"/>
      </w:pPr>
      <w:r>
        <w:rPr>
          <w:rStyle w:val="FootnoteReference"/>
        </w:rPr>
        <w:footnoteRef/>
      </w:r>
      <w:r>
        <w:t xml:space="preserve"> GD Cole, DP Francis, ‘Perioperative [Beta] Blockade: Guidelines do not reflect the problems with the evidence from the DECREASE trials (2014) 349 BMJ g5210.</w:t>
      </w:r>
    </w:p>
  </w:footnote>
  <w:footnote w:id="147">
    <w:p w14:paraId="600E25C5" w14:textId="77777777" w:rsidR="00E87221" w:rsidRDefault="00E87221" w:rsidP="00A60AB8">
      <w:pPr>
        <w:pStyle w:val="FootnoteText"/>
      </w:pPr>
      <w:r>
        <w:rPr>
          <w:rStyle w:val="FootnoteReference"/>
        </w:rPr>
        <w:footnoteRef/>
      </w:r>
      <w:r>
        <w:t xml:space="preserve"> G Vogel, ‘Suspect drug research blamed for massive death toll’ (2014) 343 Science 473-474.</w:t>
      </w:r>
    </w:p>
  </w:footnote>
  <w:footnote w:id="148">
    <w:p w14:paraId="19CBD25B" w14:textId="77777777" w:rsidR="00E87221" w:rsidRDefault="00E87221" w:rsidP="00A60AB8">
      <w:pPr>
        <w:pStyle w:val="FootnoteText"/>
      </w:pPr>
      <w:r>
        <w:rPr>
          <w:rStyle w:val="FootnoteReference"/>
        </w:rPr>
        <w:footnoteRef/>
      </w:r>
      <w:r>
        <w:t xml:space="preserve"> GKK Leung, Criminalizing medical research fraud: Towards an appropriate legal framework and policy response (2019) 19(1) Med LI 3-31. </w:t>
      </w:r>
    </w:p>
  </w:footnote>
  <w:footnote w:id="149">
    <w:p w14:paraId="7F5A760C" w14:textId="3ABC2B76" w:rsidR="00E87221" w:rsidRDefault="00E87221" w:rsidP="003853DC">
      <w:pPr>
        <w:pStyle w:val="FootnoteText"/>
      </w:pPr>
      <w:r>
        <w:rPr>
          <w:rStyle w:val="FootnoteReference"/>
        </w:rPr>
        <w:footnoteRef/>
      </w:r>
      <w:r>
        <w:t xml:space="preserve"> JL Montrose, ‘Is negligence an ethical or sociological concept?’ (1958) 21 MLR 259-264.</w:t>
      </w:r>
    </w:p>
  </w:footnote>
  <w:footnote w:id="150">
    <w:p w14:paraId="4C6F9834" w14:textId="6E9501D9" w:rsidR="00E87221" w:rsidRDefault="00E87221" w:rsidP="003853DC">
      <w:pPr>
        <w:pStyle w:val="FootnoteText"/>
      </w:pPr>
      <w:r>
        <w:rPr>
          <w:rStyle w:val="FootnoteReference"/>
        </w:rPr>
        <w:footnoteRef/>
      </w:r>
      <w:r>
        <w:t xml:space="preserve"> K </w:t>
      </w:r>
      <w:proofErr w:type="spellStart"/>
      <w:r>
        <w:t>McK</w:t>
      </w:r>
      <w:proofErr w:type="spellEnd"/>
      <w:r>
        <w:t xml:space="preserve"> Norrie, ‘Reasonable: the keystone of negligence’ (1987) 13 JME 92-94.</w:t>
      </w:r>
    </w:p>
  </w:footnote>
  <w:footnote w:id="151">
    <w:p w14:paraId="702EE7D1" w14:textId="308D88F0" w:rsidR="00E87221" w:rsidRDefault="00E87221" w:rsidP="003853DC">
      <w:pPr>
        <w:pStyle w:val="FootnoteText"/>
      </w:pPr>
      <w:r>
        <w:rPr>
          <w:rStyle w:val="FootnoteReference"/>
        </w:rPr>
        <w:footnoteRef/>
      </w:r>
      <w:r>
        <w:t xml:space="preserve"> </w:t>
      </w:r>
      <w:r w:rsidRPr="00580AA5">
        <w:rPr>
          <w:rStyle w:val="Emphasis"/>
          <w:rFonts w:asciiTheme="minorHAnsi" w:hAnsiTheme="minorHAnsi"/>
          <w:bCs/>
          <w:shd w:val="clear" w:color="auto" w:fill="FFFFFF"/>
        </w:rPr>
        <w:t xml:space="preserve">Bolitho </w:t>
      </w:r>
      <w:r>
        <w:rPr>
          <w:rStyle w:val="Emphasis"/>
          <w:rFonts w:asciiTheme="minorHAnsi" w:hAnsiTheme="minorHAnsi"/>
          <w:bCs/>
          <w:i w:val="0"/>
          <w:shd w:val="clear" w:color="auto" w:fill="FFFFFF"/>
        </w:rPr>
        <w:t>(n 4).</w:t>
      </w:r>
    </w:p>
  </w:footnote>
  <w:footnote w:id="152">
    <w:p w14:paraId="52803077" w14:textId="34238AC1" w:rsidR="00E87221" w:rsidRDefault="00E87221" w:rsidP="003853DC">
      <w:pPr>
        <w:pStyle w:val="FootnoteText"/>
      </w:pPr>
      <w:r>
        <w:rPr>
          <w:rStyle w:val="FootnoteReference"/>
        </w:rPr>
        <w:footnoteRef/>
      </w:r>
      <w:r>
        <w:t xml:space="preserve"> Samanta (n. 13).</w:t>
      </w:r>
    </w:p>
  </w:footnote>
  <w:footnote w:id="153">
    <w:p w14:paraId="1AD022AB" w14:textId="0ABE15EA" w:rsidR="00E87221" w:rsidRPr="00724BD3" w:rsidRDefault="00E87221" w:rsidP="003853DC">
      <w:pPr>
        <w:pStyle w:val="FootnoteText"/>
      </w:pPr>
      <w:r>
        <w:rPr>
          <w:rStyle w:val="FootnoteReference"/>
        </w:rPr>
        <w:footnoteRef/>
      </w:r>
      <w:r>
        <w:t xml:space="preserve"> “There are as many opinions as there are people”. Terence; </w:t>
      </w:r>
      <w:proofErr w:type="spellStart"/>
      <w:r>
        <w:rPr>
          <w:i/>
        </w:rPr>
        <w:t>Phormio</w:t>
      </w:r>
      <w:proofErr w:type="spellEnd"/>
      <w:r>
        <w:t>; line 454. Circa 161 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8DB8" w14:textId="77777777" w:rsidR="00E87221" w:rsidRDefault="00E87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FC30" w14:textId="77777777" w:rsidR="00E87221" w:rsidRDefault="00E87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4E20" w14:textId="77777777" w:rsidR="00E87221" w:rsidRDefault="00E8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46A"/>
    <w:multiLevelType w:val="hybridMultilevel"/>
    <w:tmpl w:val="666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059A"/>
    <w:multiLevelType w:val="hybridMultilevel"/>
    <w:tmpl w:val="08DA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70A7C"/>
    <w:multiLevelType w:val="hybridMultilevel"/>
    <w:tmpl w:val="3ABEF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E2823"/>
    <w:multiLevelType w:val="hybridMultilevel"/>
    <w:tmpl w:val="75722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002020"/>
    <w:multiLevelType w:val="hybridMultilevel"/>
    <w:tmpl w:val="47E20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160A5F"/>
    <w:multiLevelType w:val="hybridMultilevel"/>
    <w:tmpl w:val="86980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10262">
    <w:abstractNumId w:val="0"/>
  </w:num>
  <w:num w:numId="2" w16cid:durableId="263071376">
    <w:abstractNumId w:val="1"/>
  </w:num>
  <w:num w:numId="3" w16cid:durableId="1277324102">
    <w:abstractNumId w:val="3"/>
  </w:num>
  <w:num w:numId="4" w16cid:durableId="806557169">
    <w:abstractNumId w:val="5"/>
  </w:num>
  <w:num w:numId="5" w16cid:durableId="1811631248">
    <w:abstractNumId w:val="2"/>
  </w:num>
  <w:num w:numId="6" w16cid:durableId="197941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A3"/>
    <w:rsid w:val="00002006"/>
    <w:rsid w:val="00002528"/>
    <w:rsid w:val="00002D8F"/>
    <w:rsid w:val="000036F8"/>
    <w:rsid w:val="00003E11"/>
    <w:rsid w:val="000041EA"/>
    <w:rsid w:val="00006268"/>
    <w:rsid w:val="00006596"/>
    <w:rsid w:val="00006724"/>
    <w:rsid w:val="00006A6F"/>
    <w:rsid w:val="00006FA8"/>
    <w:rsid w:val="0001000F"/>
    <w:rsid w:val="000134FD"/>
    <w:rsid w:val="000145BE"/>
    <w:rsid w:val="00014769"/>
    <w:rsid w:val="00014A16"/>
    <w:rsid w:val="00015778"/>
    <w:rsid w:val="00015B8B"/>
    <w:rsid w:val="00015DBC"/>
    <w:rsid w:val="00015EA9"/>
    <w:rsid w:val="00016547"/>
    <w:rsid w:val="0001657F"/>
    <w:rsid w:val="000165B8"/>
    <w:rsid w:val="000168D8"/>
    <w:rsid w:val="0001735A"/>
    <w:rsid w:val="0002021D"/>
    <w:rsid w:val="00021485"/>
    <w:rsid w:val="000217D6"/>
    <w:rsid w:val="0002199E"/>
    <w:rsid w:val="00021A36"/>
    <w:rsid w:val="00021C32"/>
    <w:rsid w:val="00021CC1"/>
    <w:rsid w:val="0002235F"/>
    <w:rsid w:val="00022627"/>
    <w:rsid w:val="00022AA4"/>
    <w:rsid w:val="00022E37"/>
    <w:rsid w:val="00023184"/>
    <w:rsid w:val="00024129"/>
    <w:rsid w:val="00024234"/>
    <w:rsid w:val="000243C9"/>
    <w:rsid w:val="000244BA"/>
    <w:rsid w:val="000245CC"/>
    <w:rsid w:val="00024F6F"/>
    <w:rsid w:val="00026986"/>
    <w:rsid w:val="00030EE7"/>
    <w:rsid w:val="0003153E"/>
    <w:rsid w:val="0003173B"/>
    <w:rsid w:val="000335F8"/>
    <w:rsid w:val="00034064"/>
    <w:rsid w:val="00035217"/>
    <w:rsid w:val="0003560D"/>
    <w:rsid w:val="00035C12"/>
    <w:rsid w:val="0003671E"/>
    <w:rsid w:val="00036AF7"/>
    <w:rsid w:val="000373BD"/>
    <w:rsid w:val="00037F5F"/>
    <w:rsid w:val="000402A2"/>
    <w:rsid w:val="000405FA"/>
    <w:rsid w:val="000414DB"/>
    <w:rsid w:val="00042573"/>
    <w:rsid w:val="00042884"/>
    <w:rsid w:val="00042ED9"/>
    <w:rsid w:val="000430F6"/>
    <w:rsid w:val="00043901"/>
    <w:rsid w:val="00043ABB"/>
    <w:rsid w:val="00043B21"/>
    <w:rsid w:val="00043B93"/>
    <w:rsid w:val="00044167"/>
    <w:rsid w:val="00045E13"/>
    <w:rsid w:val="0004714B"/>
    <w:rsid w:val="00047B0A"/>
    <w:rsid w:val="00047E40"/>
    <w:rsid w:val="00051271"/>
    <w:rsid w:val="00051500"/>
    <w:rsid w:val="00051594"/>
    <w:rsid w:val="000519A4"/>
    <w:rsid w:val="00051BE6"/>
    <w:rsid w:val="00051D51"/>
    <w:rsid w:val="00051E7D"/>
    <w:rsid w:val="000523AA"/>
    <w:rsid w:val="00053580"/>
    <w:rsid w:val="00054240"/>
    <w:rsid w:val="000546F8"/>
    <w:rsid w:val="00054901"/>
    <w:rsid w:val="00054BCA"/>
    <w:rsid w:val="00054C4E"/>
    <w:rsid w:val="00055258"/>
    <w:rsid w:val="00055882"/>
    <w:rsid w:val="00055943"/>
    <w:rsid w:val="00055CCD"/>
    <w:rsid w:val="00055E59"/>
    <w:rsid w:val="0005603B"/>
    <w:rsid w:val="000561DC"/>
    <w:rsid w:val="0005630C"/>
    <w:rsid w:val="000565D8"/>
    <w:rsid w:val="000565F3"/>
    <w:rsid w:val="00056710"/>
    <w:rsid w:val="000569BB"/>
    <w:rsid w:val="00057039"/>
    <w:rsid w:val="00057255"/>
    <w:rsid w:val="00057345"/>
    <w:rsid w:val="00060E17"/>
    <w:rsid w:val="00060ECC"/>
    <w:rsid w:val="00061E8A"/>
    <w:rsid w:val="00061F78"/>
    <w:rsid w:val="000620F8"/>
    <w:rsid w:val="00062B01"/>
    <w:rsid w:val="00062B4E"/>
    <w:rsid w:val="000634F9"/>
    <w:rsid w:val="0006470C"/>
    <w:rsid w:val="0006593F"/>
    <w:rsid w:val="00065F48"/>
    <w:rsid w:val="00066AE1"/>
    <w:rsid w:val="00066F03"/>
    <w:rsid w:val="00066FD1"/>
    <w:rsid w:val="0006722E"/>
    <w:rsid w:val="000673AE"/>
    <w:rsid w:val="00067F04"/>
    <w:rsid w:val="00067F1A"/>
    <w:rsid w:val="00070B65"/>
    <w:rsid w:val="00070EF9"/>
    <w:rsid w:val="0007156B"/>
    <w:rsid w:val="00071AF6"/>
    <w:rsid w:val="00072BA7"/>
    <w:rsid w:val="00073412"/>
    <w:rsid w:val="00073424"/>
    <w:rsid w:val="0007423B"/>
    <w:rsid w:val="0007430A"/>
    <w:rsid w:val="00074EA8"/>
    <w:rsid w:val="00076B45"/>
    <w:rsid w:val="000779D3"/>
    <w:rsid w:val="00080B6D"/>
    <w:rsid w:val="00081738"/>
    <w:rsid w:val="00081AD3"/>
    <w:rsid w:val="00081B0E"/>
    <w:rsid w:val="00081FEC"/>
    <w:rsid w:val="00082441"/>
    <w:rsid w:val="0008306A"/>
    <w:rsid w:val="000839EB"/>
    <w:rsid w:val="00083FE7"/>
    <w:rsid w:val="0008536C"/>
    <w:rsid w:val="000858BC"/>
    <w:rsid w:val="00086013"/>
    <w:rsid w:val="0008618E"/>
    <w:rsid w:val="00086269"/>
    <w:rsid w:val="00086B93"/>
    <w:rsid w:val="0009079D"/>
    <w:rsid w:val="00090EFD"/>
    <w:rsid w:val="00091289"/>
    <w:rsid w:val="000918C0"/>
    <w:rsid w:val="0009316D"/>
    <w:rsid w:val="0009469E"/>
    <w:rsid w:val="00094F44"/>
    <w:rsid w:val="00095184"/>
    <w:rsid w:val="0009542F"/>
    <w:rsid w:val="0009615B"/>
    <w:rsid w:val="000961F8"/>
    <w:rsid w:val="00097653"/>
    <w:rsid w:val="00097D0A"/>
    <w:rsid w:val="00097E94"/>
    <w:rsid w:val="000A0716"/>
    <w:rsid w:val="000A0921"/>
    <w:rsid w:val="000A0939"/>
    <w:rsid w:val="000A1323"/>
    <w:rsid w:val="000A1C71"/>
    <w:rsid w:val="000A1D34"/>
    <w:rsid w:val="000A2B17"/>
    <w:rsid w:val="000A32B7"/>
    <w:rsid w:val="000A36A9"/>
    <w:rsid w:val="000A3B2E"/>
    <w:rsid w:val="000A477C"/>
    <w:rsid w:val="000A53C0"/>
    <w:rsid w:val="000A61A3"/>
    <w:rsid w:val="000A64A2"/>
    <w:rsid w:val="000A71A7"/>
    <w:rsid w:val="000A766C"/>
    <w:rsid w:val="000A7953"/>
    <w:rsid w:val="000A7DA7"/>
    <w:rsid w:val="000A7F42"/>
    <w:rsid w:val="000B03E7"/>
    <w:rsid w:val="000B0625"/>
    <w:rsid w:val="000B0934"/>
    <w:rsid w:val="000B22AA"/>
    <w:rsid w:val="000B2601"/>
    <w:rsid w:val="000B371C"/>
    <w:rsid w:val="000B3C41"/>
    <w:rsid w:val="000B3C6E"/>
    <w:rsid w:val="000B4EB2"/>
    <w:rsid w:val="000B508D"/>
    <w:rsid w:val="000B7B4D"/>
    <w:rsid w:val="000C0290"/>
    <w:rsid w:val="000C08AD"/>
    <w:rsid w:val="000C0BA8"/>
    <w:rsid w:val="000C0D2E"/>
    <w:rsid w:val="000C0E3A"/>
    <w:rsid w:val="000C110C"/>
    <w:rsid w:val="000C1661"/>
    <w:rsid w:val="000C1F3C"/>
    <w:rsid w:val="000C31C7"/>
    <w:rsid w:val="000C3DFA"/>
    <w:rsid w:val="000C48C7"/>
    <w:rsid w:val="000C4BA7"/>
    <w:rsid w:val="000C5BDF"/>
    <w:rsid w:val="000C6041"/>
    <w:rsid w:val="000C66F1"/>
    <w:rsid w:val="000D0213"/>
    <w:rsid w:val="000D0319"/>
    <w:rsid w:val="000D07C7"/>
    <w:rsid w:val="000D0B36"/>
    <w:rsid w:val="000D19E1"/>
    <w:rsid w:val="000D1E6B"/>
    <w:rsid w:val="000D2164"/>
    <w:rsid w:val="000D326D"/>
    <w:rsid w:val="000D3857"/>
    <w:rsid w:val="000D3B24"/>
    <w:rsid w:val="000D40E1"/>
    <w:rsid w:val="000D46E3"/>
    <w:rsid w:val="000D493B"/>
    <w:rsid w:val="000D5551"/>
    <w:rsid w:val="000D5AAA"/>
    <w:rsid w:val="000D5F2E"/>
    <w:rsid w:val="000D5F97"/>
    <w:rsid w:val="000D60BF"/>
    <w:rsid w:val="000D6446"/>
    <w:rsid w:val="000D6BAC"/>
    <w:rsid w:val="000D6F98"/>
    <w:rsid w:val="000D789F"/>
    <w:rsid w:val="000D7D38"/>
    <w:rsid w:val="000E0C5F"/>
    <w:rsid w:val="000E0EAE"/>
    <w:rsid w:val="000E17C7"/>
    <w:rsid w:val="000E2368"/>
    <w:rsid w:val="000E3875"/>
    <w:rsid w:val="000E4B81"/>
    <w:rsid w:val="000E5541"/>
    <w:rsid w:val="000E569E"/>
    <w:rsid w:val="000F0082"/>
    <w:rsid w:val="000F0340"/>
    <w:rsid w:val="000F071A"/>
    <w:rsid w:val="000F0ED9"/>
    <w:rsid w:val="000F15F0"/>
    <w:rsid w:val="000F1819"/>
    <w:rsid w:val="000F2F5B"/>
    <w:rsid w:val="000F31A2"/>
    <w:rsid w:val="000F3691"/>
    <w:rsid w:val="000F3DA4"/>
    <w:rsid w:val="000F4075"/>
    <w:rsid w:val="000F46E7"/>
    <w:rsid w:val="000F4993"/>
    <w:rsid w:val="000F4F63"/>
    <w:rsid w:val="000F50FC"/>
    <w:rsid w:val="000F5B49"/>
    <w:rsid w:val="000F62D2"/>
    <w:rsid w:val="000F64FD"/>
    <w:rsid w:val="000F6AE6"/>
    <w:rsid w:val="000F7BB0"/>
    <w:rsid w:val="0010010F"/>
    <w:rsid w:val="001009B2"/>
    <w:rsid w:val="00100CDD"/>
    <w:rsid w:val="00101060"/>
    <w:rsid w:val="001014D4"/>
    <w:rsid w:val="00101EDA"/>
    <w:rsid w:val="00102AD3"/>
    <w:rsid w:val="00102EBE"/>
    <w:rsid w:val="00103BB3"/>
    <w:rsid w:val="00104248"/>
    <w:rsid w:val="001044A8"/>
    <w:rsid w:val="001047E1"/>
    <w:rsid w:val="0010578A"/>
    <w:rsid w:val="001069A3"/>
    <w:rsid w:val="00106D30"/>
    <w:rsid w:val="00107961"/>
    <w:rsid w:val="00110EB8"/>
    <w:rsid w:val="00111509"/>
    <w:rsid w:val="001116A2"/>
    <w:rsid w:val="00111A67"/>
    <w:rsid w:val="00114240"/>
    <w:rsid w:val="00114683"/>
    <w:rsid w:val="00115832"/>
    <w:rsid w:val="00115A16"/>
    <w:rsid w:val="00116364"/>
    <w:rsid w:val="0011667C"/>
    <w:rsid w:val="001167EB"/>
    <w:rsid w:val="00116CE4"/>
    <w:rsid w:val="00121AA5"/>
    <w:rsid w:val="001223B5"/>
    <w:rsid w:val="00123B42"/>
    <w:rsid w:val="00123D39"/>
    <w:rsid w:val="00124813"/>
    <w:rsid w:val="00125AB1"/>
    <w:rsid w:val="00126AE7"/>
    <w:rsid w:val="001276B3"/>
    <w:rsid w:val="00127F09"/>
    <w:rsid w:val="001306D8"/>
    <w:rsid w:val="0013095D"/>
    <w:rsid w:val="00130B4D"/>
    <w:rsid w:val="00130DF3"/>
    <w:rsid w:val="001312E7"/>
    <w:rsid w:val="00131BE5"/>
    <w:rsid w:val="0013263B"/>
    <w:rsid w:val="00132846"/>
    <w:rsid w:val="00133002"/>
    <w:rsid w:val="00133D32"/>
    <w:rsid w:val="00134804"/>
    <w:rsid w:val="001348D6"/>
    <w:rsid w:val="00134D6C"/>
    <w:rsid w:val="001360B0"/>
    <w:rsid w:val="001361B9"/>
    <w:rsid w:val="0013638C"/>
    <w:rsid w:val="0013646F"/>
    <w:rsid w:val="00136A1B"/>
    <w:rsid w:val="00137210"/>
    <w:rsid w:val="00137578"/>
    <w:rsid w:val="00140216"/>
    <w:rsid w:val="00140BCF"/>
    <w:rsid w:val="001423FF"/>
    <w:rsid w:val="00142531"/>
    <w:rsid w:val="0014267F"/>
    <w:rsid w:val="00143BCA"/>
    <w:rsid w:val="001455DC"/>
    <w:rsid w:val="001463C3"/>
    <w:rsid w:val="001464D6"/>
    <w:rsid w:val="0014668F"/>
    <w:rsid w:val="001473BB"/>
    <w:rsid w:val="00147DCC"/>
    <w:rsid w:val="0015028B"/>
    <w:rsid w:val="0015066D"/>
    <w:rsid w:val="001513B7"/>
    <w:rsid w:val="0015171F"/>
    <w:rsid w:val="001540D2"/>
    <w:rsid w:val="001545A4"/>
    <w:rsid w:val="00154743"/>
    <w:rsid w:val="001555C7"/>
    <w:rsid w:val="00155BD1"/>
    <w:rsid w:val="001563EA"/>
    <w:rsid w:val="00156902"/>
    <w:rsid w:val="00157655"/>
    <w:rsid w:val="00157AAB"/>
    <w:rsid w:val="00157ACF"/>
    <w:rsid w:val="00160080"/>
    <w:rsid w:val="00160683"/>
    <w:rsid w:val="001607E2"/>
    <w:rsid w:val="00162127"/>
    <w:rsid w:val="0016227C"/>
    <w:rsid w:val="00162B1C"/>
    <w:rsid w:val="00163040"/>
    <w:rsid w:val="0016364B"/>
    <w:rsid w:val="00163EE5"/>
    <w:rsid w:val="001651F5"/>
    <w:rsid w:val="0016549C"/>
    <w:rsid w:val="00165C2A"/>
    <w:rsid w:val="00165FFF"/>
    <w:rsid w:val="00167054"/>
    <w:rsid w:val="0017044C"/>
    <w:rsid w:val="001705AC"/>
    <w:rsid w:val="00171476"/>
    <w:rsid w:val="0017166D"/>
    <w:rsid w:val="001720FC"/>
    <w:rsid w:val="00172A45"/>
    <w:rsid w:val="00172CC6"/>
    <w:rsid w:val="00173943"/>
    <w:rsid w:val="00173F41"/>
    <w:rsid w:val="00174288"/>
    <w:rsid w:val="00174402"/>
    <w:rsid w:val="001746C4"/>
    <w:rsid w:val="001749E5"/>
    <w:rsid w:val="00174AC6"/>
    <w:rsid w:val="00174B8F"/>
    <w:rsid w:val="00175167"/>
    <w:rsid w:val="0017598D"/>
    <w:rsid w:val="001763E2"/>
    <w:rsid w:val="00176EEB"/>
    <w:rsid w:val="00177897"/>
    <w:rsid w:val="00177B34"/>
    <w:rsid w:val="0018088B"/>
    <w:rsid w:val="0018089C"/>
    <w:rsid w:val="00180D11"/>
    <w:rsid w:val="00180E0D"/>
    <w:rsid w:val="0018114C"/>
    <w:rsid w:val="001826EE"/>
    <w:rsid w:val="0018296A"/>
    <w:rsid w:val="0018349C"/>
    <w:rsid w:val="00183542"/>
    <w:rsid w:val="00183B34"/>
    <w:rsid w:val="00185339"/>
    <w:rsid w:val="00185459"/>
    <w:rsid w:val="00186010"/>
    <w:rsid w:val="0018641A"/>
    <w:rsid w:val="00186930"/>
    <w:rsid w:val="00190EE9"/>
    <w:rsid w:val="00191823"/>
    <w:rsid w:val="0019221A"/>
    <w:rsid w:val="0019297D"/>
    <w:rsid w:val="00192A05"/>
    <w:rsid w:val="00192DDE"/>
    <w:rsid w:val="00192E25"/>
    <w:rsid w:val="00194537"/>
    <w:rsid w:val="00195F7D"/>
    <w:rsid w:val="00196421"/>
    <w:rsid w:val="00196670"/>
    <w:rsid w:val="001966C3"/>
    <w:rsid w:val="00196926"/>
    <w:rsid w:val="00196AF6"/>
    <w:rsid w:val="00197668"/>
    <w:rsid w:val="001A0400"/>
    <w:rsid w:val="001A049A"/>
    <w:rsid w:val="001A05FD"/>
    <w:rsid w:val="001A0673"/>
    <w:rsid w:val="001A08B4"/>
    <w:rsid w:val="001A0D2F"/>
    <w:rsid w:val="001A1B17"/>
    <w:rsid w:val="001A1E81"/>
    <w:rsid w:val="001A1FAF"/>
    <w:rsid w:val="001A2BC5"/>
    <w:rsid w:val="001A2EFB"/>
    <w:rsid w:val="001A3A66"/>
    <w:rsid w:val="001A3C73"/>
    <w:rsid w:val="001A45BE"/>
    <w:rsid w:val="001A47B8"/>
    <w:rsid w:val="001A5261"/>
    <w:rsid w:val="001A537D"/>
    <w:rsid w:val="001A5851"/>
    <w:rsid w:val="001A5B90"/>
    <w:rsid w:val="001A603D"/>
    <w:rsid w:val="001A63C0"/>
    <w:rsid w:val="001A65D3"/>
    <w:rsid w:val="001A7396"/>
    <w:rsid w:val="001A779B"/>
    <w:rsid w:val="001B040C"/>
    <w:rsid w:val="001B08DC"/>
    <w:rsid w:val="001B0E94"/>
    <w:rsid w:val="001B1A87"/>
    <w:rsid w:val="001B2417"/>
    <w:rsid w:val="001B33F9"/>
    <w:rsid w:val="001B37EF"/>
    <w:rsid w:val="001B3A2A"/>
    <w:rsid w:val="001B4678"/>
    <w:rsid w:val="001B4BEE"/>
    <w:rsid w:val="001B6A23"/>
    <w:rsid w:val="001B6DEA"/>
    <w:rsid w:val="001B758B"/>
    <w:rsid w:val="001B7FD4"/>
    <w:rsid w:val="001C072C"/>
    <w:rsid w:val="001C087A"/>
    <w:rsid w:val="001C1506"/>
    <w:rsid w:val="001C17D9"/>
    <w:rsid w:val="001C1D29"/>
    <w:rsid w:val="001C1F7B"/>
    <w:rsid w:val="001C4F4B"/>
    <w:rsid w:val="001C51E7"/>
    <w:rsid w:val="001C5352"/>
    <w:rsid w:val="001C594A"/>
    <w:rsid w:val="001C5EB3"/>
    <w:rsid w:val="001C6F35"/>
    <w:rsid w:val="001C7EB1"/>
    <w:rsid w:val="001D0254"/>
    <w:rsid w:val="001D0B08"/>
    <w:rsid w:val="001D3D04"/>
    <w:rsid w:val="001D3DA3"/>
    <w:rsid w:val="001D3E3D"/>
    <w:rsid w:val="001D4674"/>
    <w:rsid w:val="001D47F8"/>
    <w:rsid w:val="001D4E1B"/>
    <w:rsid w:val="001D4FA4"/>
    <w:rsid w:val="001D5470"/>
    <w:rsid w:val="001D610E"/>
    <w:rsid w:val="001D6633"/>
    <w:rsid w:val="001D6BEC"/>
    <w:rsid w:val="001D6DAA"/>
    <w:rsid w:val="001D7AD2"/>
    <w:rsid w:val="001D7B23"/>
    <w:rsid w:val="001D7CEC"/>
    <w:rsid w:val="001D7D73"/>
    <w:rsid w:val="001E0060"/>
    <w:rsid w:val="001E040A"/>
    <w:rsid w:val="001E16A2"/>
    <w:rsid w:val="001E18B7"/>
    <w:rsid w:val="001E2177"/>
    <w:rsid w:val="001E2454"/>
    <w:rsid w:val="001E270F"/>
    <w:rsid w:val="001E654A"/>
    <w:rsid w:val="001F010D"/>
    <w:rsid w:val="001F09BA"/>
    <w:rsid w:val="001F0B95"/>
    <w:rsid w:val="001F1778"/>
    <w:rsid w:val="001F29D9"/>
    <w:rsid w:val="001F2A84"/>
    <w:rsid w:val="001F2ED9"/>
    <w:rsid w:val="001F3263"/>
    <w:rsid w:val="001F39F8"/>
    <w:rsid w:val="001F3F96"/>
    <w:rsid w:val="001F3FC8"/>
    <w:rsid w:val="001F489D"/>
    <w:rsid w:val="001F686D"/>
    <w:rsid w:val="001F7720"/>
    <w:rsid w:val="001F7C53"/>
    <w:rsid w:val="002003E8"/>
    <w:rsid w:val="00201AD8"/>
    <w:rsid w:val="0020221D"/>
    <w:rsid w:val="00202BB8"/>
    <w:rsid w:val="002035EC"/>
    <w:rsid w:val="00203710"/>
    <w:rsid w:val="00203890"/>
    <w:rsid w:val="00203F13"/>
    <w:rsid w:val="00204F1F"/>
    <w:rsid w:val="00205CF7"/>
    <w:rsid w:val="00206704"/>
    <w:rsid w:val="00206CE7"/>
    <w:rsid w:val="0020732D"/>
    <w:rsid w:val="002104B7"/>
    <w:rsid w:val="00211EEC"/>
    <w:rsid w:val="002125B3"/>
    <w:rsid w:val="002132C1"/>
    <w:rsid w:val="002141A0"/>
    <w:rsid w:val="00214BE7"/>
    <w:rsid w:val="00214CBD"/>
    <w:rsid w:val="0021512D"/>
    <w:rsid w:val="00215142"/>
    <w:rsid w:val="00216656"/>
    <w:rsid w:val="00216992"/>
    <w:rsid w:val="00216BE2"/>
    <w:rsid w:val="002171E5"/>
    <w:rsid w:val="002177C0"/>
    <w:rsid w:val="00220EB8"/>
    <w:rsid w:val="00221586"/>
    <w:rsid w:val="00221951"/>
    <w:rsid w:val="00221FD8"/>
    <w:rsid w:val="00222157"/>
    <w:rsid w:val="00222414"/>
    <w:rsid w:val="002226D7"/>
    <w:rsid w:val="00223E8F"/>
    <w:rsid w:val="00224CA4"/>
    <w:rsid w:val="00225234"/>
    <w:rsid w:val="002252F4"/>
    <w:rsid w:val="002257E0"/>
    <w:rsid w:val="0022747F"/>
    <w:rsid w:val="002277AC"/>
    <w:rsid w:val="00227A41"/>
    <w:rsid w:val="00230400"/>
    <w:rsid w:val="00231A5B"/>
    <w:rsid w:val="002325B3"/>
    <w:rsid w:val="0023359F"/>
    <w:rsid w:val="00233F35"/>
    <w:rsid w:val="00234179"/>
    <w:rsid w:val="00234340"/>
    <w:rsid w:val="002346E7"/>
    <w:rsid w:val="00234B3C"/>
    <w:rsid w:val="00234C70"/>
    <w:rsid w:val="00234CFA"/>
    <w:rsid w:val="0023518D"/>
    <w:rsid w:val="00235303"/>
    <w:rsid w:val="00236BEA"/>
    <w:rsid w:val="00236F83"/>
    <w:rsid w:val="00237E52"/>
    <w:rsid w:val="00240DEF"/>
    <w:rsid w:val="002417A3"/>
    <w:rsid w:val="00241A24"/>
    <w:rsid w:val="00241CA6"/>
    <w:rsid w:val="00242176"/>
    <w:rsid w:val="00242745"/>
    <w:rsid w:val="00243498"/>
    <w:rsid w:val="00244202"/>
    <w:rsid w:val="00245126"/>
    <w:rsid w:val="00245CFA"/>
    <w:rsid w:val="00250F9E"/>
    <w:rsid w:val="0025138F"/>
    <w:rsid w:val="00251DAD"/>
    <w:rsid w:val="002525A5"/>
    <w:rsid w:val="00253ACD"/>
    <w:rsid w:val="00254E7D"/>
    <w:rsid w:val="00255595"/>
    <w:rsid w:val="002560B5"/>
    <w:rsid w:val="00256F1A"/>
    <w:rsid w:val="0025744D"/>
    <w:rsid w:val="002579C3"/>
    <w:rsid w:val="00257EBF"/>
    <w:rsid w:val="00257EF0"/>
    <w:rsid w:val="002600F8"/>
    <w:rsid w:val="0026017F"/>
    <w:rsid w:val="00260313"/>
    <w:rsid w:val="00260E63"/>
    <w:rsid w:val="00260F28"/>
    <w:rsid w:val="002626FE"/>
    <w:rsid w:val="00263136"/>
    <w:rsid w:val="00263149"/>
    <w:rsid w:val="002637D2"/>
    <w:rsid w:val="00263AAD"/>
    <w:rsid w:val="00264672"/>
    <w:rsid w:val="002651D4"/>
    <w:rsid w:val="00267277"/>
    <w:rsid w:val="0026739D"/>
    <w:rsid w:val="002712E1"/>
    <w:rsid w:val="0027163E"/>
    <w:rsid w:val="00271729"/>
    <w:rsid w:val="002718C7"/>
    <w:rsid w:val="00271AA2"/>
    <w:rsid w:val="00272204"/>
    <w:rsid w:val="002733C0"/>
    <w:rsid w:val="00273FDF"/>
    <w:rsid w:val="00274383"/>
    <w:rsid w:val="00274A09"/>
    <w:rsid w:val="002750A5"/>
    <w:rsid w:val="002750D9"/>
    <w:rsid w:val="002756F8"/>
    <w:rsid w:val="00277150"/>
    <w:rsid w:val="00277790"/>
    <w:rsid w:val="002778B3"/>
    <w:rsid w:val="00277CE1"/>
    <w:rsid w:val="002805C0"/>
    <w:rsid w:val="002806F9"/>
    <w:rsid w:val="00281607"/>
    <w:rsid w:val="002827AC"/>
    <w:rsid w:val="002829CA"/>
    <w:rsid w:val="00282A0C"/>
    <w:rsid w:val="00283168"/>
    <w:rsid w:val="00283618"/>
    <w:rsid w:val="00283AB4"/>
    <w:rsid w:val="002845E5"/>
    <w:rsid w:val="00284C42"/>
    <w:rsid w:val="00284CDC"/>
    <w:rsid w:val="002854A7"/>
    <w:rsid w:val="002857AB"/>
    <w:rsid w:val="002858F9"/>
    <w:rsid w:val="00285F7F"/>
    <w:rsid w:val="00286527"/>
    <w:rsid w:val="00286957"/>
    <w:rsid w:val="00286A13"/>
    <w:rsid w:val="00286BD6"/>
    <w:rsid w:val="002870FC"/>
    <w:rsid w:val="0028712D"/>
    <w:rsid w:val="00287158"/>
    <w:rsid w:val="0028747B"/>
    <w:rsid w:val="00290732"/>
    <w:rsid w:val="002910A5"/>
    <w:rsid w:val="0029189F"/>
    <w:rsid w:val="0029332F"/>
    <w:rsid w:val="002946F8"/>
    <w:rsid w:val="002948AE"/>
    <w:rsid w:val="00294F29"/>
    <w:rsid w:val="0029558F"/>
    <w:rsid w:val="00295B81"/>
    <w:rsid w:val="00296627"/>
    <w:rsid w:val="00297439"/>
    <w:rsid w:val="00297926"/>
    <w:rsid w:val="002A082A"/>
    <w:rsid w:val="002A095B"/>
    <w:rsid w:val="002A2CB8"/>
    <w:rsid w:val="002A31CC"/>
    <w:rsid w:val="002A39CE"/>
    <w:rsid w:val="002A3B68"/>
    <w:rsid w:val="002A3E7F"/>
    <w:rsid w:val="002A6A5D"/>
    <w:rsid w:val="002A7C20"/>
    <w:rsid w:val="002B0270"/>
    <w:rsid w:val="002B097C"/>
    <w:rsid w:val="002B2B36"/>
    <w:rsid w:val="002B35E1"/>
    <w:rsid w:val="002B3760"/>
    <w:rsid w:val="002B3AAE"/>
    <w:rsid w:val="002B3C42"/>
    <w:rsid w:val="002B4602"/>
    <w:rsid w:val="002B4DBB"/>
    <w:rsid w:val="002B52AD"/>
    <w:rsid w:val="002B5F47"/>
    <w:rsid w:val="002B6F85"/>
    <w:rsid w:val="002B78D2"/>
    <w:rsid w:val="002B7D44"/>
    <w:rsid w:val="002C088C"/>
    <w:rsid w:val="002C0C38"/>
    <w:rsid w:val="002C124E"/>
    <w:rsid w:val="002C1D4B"/>
    <w:rsid w:val="002C2244"/>
    <w:rsid w:val="002C45D6"/>
    <w:rsid w:val="002C4A3B"/>
    <w:rsid w:val="002C4C69"/>
    <w:rsid w:val="002C6320"/>
    <w:rsid w:val="002C688B"/>
    <w:rsid w:val="002C6905"/>
    <w:rsid w:val="002C6A78"/>
    <w:rsid w:val="002C721C"/>
    <w:rsid w:val="002C75E8"/>
    <w:rsid w:val="002C7B20"/>
    <w:rsid w:val="002C7BE0"/>
    <w:rsid w:val="002C7EBB"/>
    <w:rsid w:val="002D01CF"/>
    <w:rsid w:val="002D07B4"/>
    <w:rsid w:val="002D0ADB"/>
    <w:rsid w:val="002D1698"/>
    <w:rsid w:val="002D30F0"/>
    <w:rsid w:val="002D3E07"/>
    <w:rsid w:val="002D40AB"/>
    <w:rsid w:val="002D5198"/>
    <w:rsid w:val="002D52D3"/>
    <w:rsid w:val="002D58B2"/>
    <w:rsid w:val="002D5B40"/>
    <w:rsid w:val="002D5E21"/>
    <w:rsid w:val="002D6693"/>
    <w:rsid w:val="002D6A03"/>
    <w:rsid w:val="002D6DEE"/>
    <w:rsid w:val="002D74B2"/>
    <w:rsid w:val="002D7799"/>
    <w:rsid w:val="002E04B5"/>
    <w:rsid w:val="002E08AE"/>
    <w:rsid w:val="002E0AC4"/>
    <w:rsid w:val="002E2765"/>
    <w:rsid w:val="002E290F"/>
    <w:rsid w:val="002E298F"/>
    <w:rsid w:val="002E3456"/>
    <w:rsid w:val="002E4F9B"/>
    <w:rsid w:val="002E7449"/>
    <w:rsid w:val="002E78EB"/>
    <w:rsid w:val="002E7FF2"/>
    <w:rsid w:val="002F05F7"/>
    <w:rsid w:val="002F0767"/>
    <w:rsid w:val="002F1068"/>
    <w:rsid w:val="002F214B"/>
    <w:rsid w:val="002F27DC"/>
    <w:rsid w:val="002F638D"/>
    <w:rsid w:val="002F6662"/>
    <w:rsid w:val="002F7120"/>
    <w:rsid w:val="002F743D"/>
    <w:rsid w:val="002F75D4"/>
    <w:rsid w:val="002F7D46"/>
    <w:rsid w:val="003006EC"/>
    <w:rsid w:val="00302044"/>
    <w:rsid w:val="00302955"/>
    <w:rsid w:val="003029DE"/>
    <w:rsid w:val="00302F23"/>
    <w:rsid w:val="00304315"/>
    <w:rsid w:val="003044C5"/>
    <w:rsid w:val="003047B1"/>
    <w:rsid w:val="003058BA"/>
    <w:rsid w:val="00305F58"/>
    <w:rsid w:val="00306AC8"/>
    <w:rsid w:val="00306E1D"/>
    <w:rsid w:val="003072F9"/>
    <w:rsid w:val="003103A0"/>
    <w:rsid w:val="003105E3"/>
    <w:rsid w:val="0031090B"/>
    <w:rsid w:val="003122AC"/>
    <w:rsid w:val="00312C88"/>
    <w:rsid w:val="00313149"/>
    <w:rsid w:val="003137B8"/>
    <w:rsid w:val="003155D6"/>
    <w:rsid w:val="00315742"/>
    <w:rsid w:val="00315AD8"/>
    <w:rsid w:val="0031637F"/>
    <w:rsid w:val="00316782"/>
    <w:rsid w:val="00317ACD"/>
    <w:rsid w:val="0032065B"/>
    <w:rsid w:val="00320741"/>
    <w:rsid w:val="00320EA0"/>
    <w:rsid w:val="00321692"/>
    <w:rsid w:val="00321C18"/>
    <w:rsid w:val="00321EB1"/>
    <w:rsid w:val="00322703"/>
    <w:rsid w:val="00322A62"/>
    <w:rsid w:val="003239D3"/>
    <w:rsid w:val="00323B83"/>
    <w:rsid w:val="00323E78"/>
    <w:rsid w:val="00323F12"/>
    <w:rsid w:val="00325850"/>
    <w:rsid w:val="0032635C"/>
    <w:rsid w:val="00326584"/>
    <w:rsid w:val="00326E0D"/>
    <w:rsid w:val="00326E3C"/>
    <w:rsid w:val="003271C5"/>
    <w:rsid w:val="0033001F"/>
    <w:rsid w:val="00330ED9"/>
    <w:rsid w:val="00331854"/>
    <w:rsid w:val="0033231D"/>
    <w:rsid w:val="00332AF4"/>
    <w:rsid w:val="00332D9C"/>
    <w:rsid w:val="00332F97"/>
    <w:rsid w:val="00333656"/>
    <w:rsid w:val="0033549B"/>
    <w:rsid w:val="003358FC"/>
    <w:rsid w:val="0033590E"/>
    <w:rsid w:val="00335D0A"/>
    <w:rsid w:val="003360EB"/>
    <w:rsid w:val="00336DAE"/>
    <w:rsid w:val="00336EBD"/>
    <w:rsid w:val="00340300"/>
    <w:rsid w:val="0034098B"/>
    <w:rsid w:val="003421DB"/>
    <w:rsid w:val="003427D8"/>
    <w:rsid w:val="00342BB6"/>
    <w:rsid w:val="00342EA8"/>
    <w:rsid w:val="003430FE"/>
    <w:rsid w:val="003433F8"/>
    <w:rsid w:val="003439F1"/>
    <w:rsid w:val="00343DF0"/>
    <w:rsid w:val="00344474"/>
    <w:rsid w:val="003446A2"/>
    <w:rsid w:val="00344D25"/>
    <w:rsid w:val="00345531"/>
    <w:rsid w:val="0034572F"/>
    <w:rsid w:val="003461D0"/>
    <w:rsid w:val="003463FB"/>
    <w:rsid w:val="00346E14"/>
    <w:rsid w:val="00347437"/>
    <w:rsid w:val="003478C0"/>
    <w:rsid w:val="00347BF2"/>
    <w:rsid w:val="00347D6E"/>
    <w:rsid w:val="00351AD2"/>
    <w:rsid w:val="00351E69"/>
    <w:rsid w:val="003523E7"/>
    <w:rsid w:val="003529B7"/>
    <w:rsid w:val="00352B1C"/>
    <w:rsid w:val="00352F78"/>
    <w:rsid w:val="00355964"/>
    <w:rsid w:val="00357380"/>
    <w:rsid w:val="003574DA"/>
    <w:rsid w:val="00360188"/>
    <w:rsid w:val="00360808"/>
    <w:rsid w:val="003609B0"/>
    <w:rsid w:val="00360C10"/>
    <w:rsid w:val="00361B21"/>
    <w:rsid w:val="00361C39"/>
    <w:rsid w:val="00361D7E"/>
    <w:rsid w:val="00363745"/>
    <w:rsid w:val="00363906"/>
    <w:rsid w:val="003649A7"/>
    <w:rsid w:val="00364FFD"/>
    <w:rsid w:val="00365B80"/>
    <w:rsid w:val="00365C83"/>
    <w:rsid w:val="00366660"/>
    <w:rsid w:val="003668FB"/>
    <w:rsid w:val="00367F1A"/>
    <w:rsid w:val="003711D8"/>
    <w:rsid w:val="0037443C"/>
    <w:rsid w:val="00374DAC"/>
    <w:rsid w:val="003758E8"/>
    <w:rsid w:val="00376229"/>
    <w:rsid w:val="00377DAC"/>
    <w:rsid w:val="0038106E"/>
    <w:rsid w:val="00381704"/>
    <w:rsid w:val="0038175F"/>
    <w:rsid w:val="00381D3B"/>
    <w:rsid w:val="00381FA3"/>
    <w:rsid w:val="00382BFF"/>
    <w:rsid w:val="00382D3C"/>
    <w:rsid w:val="00382EEE"/>
    <w:rsid w:val="00383ECE"/>
    <w:rsid w:val="0038418D"/>
    <w:rsid w:val="003845E2"/>
    <w:rsid w:val="003848C1"/>
    <w:rsid w:val="00384BE7"/>
    <w:rsid w:val="00384FFB"/>
    <w:rsid w:val="00385143"/>
    <w:rsid w:val="003853DC"/>
    <w:rsid w:val="003854D6"/>
    <w:rsid w:val="00385CD0"/>
    <w:rsid w:val="003864F2"/>
    <w:rsid w:val="00386FDD"/>
    <w:rsid w:val="003871C3"/>
    <w:rsid w:val="00387EF5"/>
    <w:rsid w:val="00390184"/>
    <w:rsid w:val="003907BE"/>
    <w:rsid w:val="00390BEA"/>
    <w:rsid w:val="00391E85"/>
    <w:rsid w:val="00392177"/>
    <w:rsid w:val="003924B7"/>
    <w:rsid w:val="00393434"/>
    <w:rsid w:val="00393EAC"/>
    <w:rsid w:val="00394358"/>
    <w:rsid w:val="003954AB"/>
    <w:rsid w:val="00395614"/>
    <w:rsid w:val="00396B36"/>
    <w:rsid w:val="003A03FD"/>
    <w:rsid w:val="003A0427"/>
    <w:rsid w:val="003A0DEA"/>
    <w:rsid w:val="003A13B0"/>
    <w:rsid w:val="003A172B"/>
    <w:rsid w:val="003A2913"/>
    <w:rsid w:val="003A2BA5"/>
    <w:rsid w:val="003A3536"/>
    <w:rsid w:val="003A427A"/>
    <w:rsid w:val="003A4704"/>
    <w:rsid w:val="003A53DE"/>
    <w:rsid w:val="003A5595"/>
    <w:rsid w:val="003A5DE9"/>
    <w:rsid w:val="003A61A6"/>
    <w:rsid w:val="003A722E"/>
    <w:rsid w:val="003A7543"/>
    <w:rsid w:val="003A76CB"/>
    <w:rsid w:val="003A7CAF"/>
    <w:rsid w:val="003A7FA2"/>
    <w:rsid w:val="003B0150"/>
    <w:rsid w:val="003B0597"/>
    <w:rsid w:val="003B0E1F"/>
    <w:rsid w:val="003B137E"/>
    <w:rsid w:val="003B1E36"/>
    <w:rsid w:val="003B2767"/>
    <w:rsid w:val="003B31C7"/>
    <w:rsid w:val="003B5007"/>
    <w:rsid w:val="003B5136"/>
    <w:rsid w:val="003B517F"/>
    <w:rsid w:val="003B5F70"/>
    <w:rsid w:val="003B7B49"/>
    <w:rsid w:val="003C05D1"/>
    <w:rsid w:val="003C07F1"/>
    <w:rsid w:val="003C0B3A"/>
    <w:rsid w:val="003C1146"/>
    <w:rsid w:val="003C1929"/>
    <w:rsid w:val="003C1A38"/>
    <w:rsid w:val="003C1EA1"/>
    <w:rsid w:val="003C2E9B"/>
    <w:rsid w:val="003C37D6"/>
    <w:rsid w:val="003C45C4"/>
    <w:rsid w:val="003C4B64"/>
    <w:rsid w:val="003C5997"/>
    <w:rsid w:val="003C6EF7"/>
    <w:rsid w:val="003C747D"/>
    <w:rsid w:val="003C7542"/>
    <w:rsid w:val="003C7E22"/>
    <w:rsid w:val="003D0BB4"/>
    <w:rsid w:val="003D1313"/>
    <w:rsid w:val="003D1AEE"/>
    <w:rsid w:val="003D1D59"/>
    <w:rsid w:val="003D3442"/>
    <w:rsid w:val="003D4AEC"/>
    <w:rsid w:val="003D596B"/>
    <w:rsid w:val="003D606F"/>
    <w:rsid w:val="003D66A8"/>
    <w:rsid w:val="003D68DB"/>
    <w:rsid w:val="003D6E13"/>
    <w:rsid w:val="003D7430"/>
    <w:rsid w:val="003D7500"/>
    <w:rsid w:val="003D77F2"/>
    <w:rsid w:val="003D7B2B"/>
    <w:rsid w:val="003E0B77"/>
    <w:rsid w:val="003E4579"/>
    <w:rsid w:val="003E4710"/>
    <w:rsid w:val="003E59E9"/>
    <w:rsid w:val="003E5B95"/>
    <w:rsid w:val="003E61E4"/>
    <w:rsid w:val="003F08DE"/>
    <w:rsid w:val="003F0AA3"/>
    <w:rsid w:val="003F1EA8"/>
    <w:rsid w:val="003F2AEC"/>
    <w:rsid w:val="003F3205"/>
    <w:rsid w:val="003F3589"/>
    <w:rsid w:val="003F37C8"/>
    <w:rsid w:val="003F40CB"/>
    <w:rsid w:val="003F48DF"/>
    <w:rsid w:val="003F72BC"/>
    <w:rsid w:val="003F7CD7"/>
    <w:rsid w:val="00400976"/>
    <w:rsid w:val="004020B4"/>
    <w:rsid w:val="004024E6"/>
    <w:rsid w:val="00402B6D"/>
    <w:rsid w:val="004048C8"/>
    <w:rsid w:val="00404BF8"/>
    <w:rsid w:val="00404D70"/>
    <w:rsid w:val="00405121"/>
    <w:rsid w:val="00407008"/>
    <w:rsid w:val="004072B9"/>
    <w:rsid w:val="0041030B"/>
    <w:rsid w:val="00410385"/>
    <w:rsid w:val="00410618"/>
    <w:rsid w:val="0041068C"/>
    <w:rsid w:val="00410860"/>
    <w:rsid w:val="0041093F"/>
    <w:rsid w:val="00411027"/>
    <w:rsid w:val="004117D3"/>
    <w:rsid w:val="0041261E"/>
    <w:rsid w:val="00412F90"/>
    <w:rsid w:val="00413145"/>
    <w:rsid w:val="004131EB"/>
    <w:rsid w:val="0041320B"/>
    <w:rsid w:val="00413638"/>
    <w:rsid w:val="00414D87"/>
    <w:rsid w:val="00414FC3"/>
    <w:rsid w:val="004159DB"/>
    <w:rsid w:val="00415AD4"/>
    <w:rsid w:val="00416C01"/>
    <w:rsid w:val="00416D0A"/>
    <w:rsid w:val="004172A6"/>
    <w:rsid w:val="0041742D"/>
    <w:rsid w:val="0042022E"/>
    <w:rsid w:val="00420291"/>
    <w:rsid w:val="00420B84"/>
    <w:rsid w:val="00421370"/>
    <w:rsid w:val="00421546"/>
    <w:rsid w:val="00421A1F"/>
    <w:rsid w:val="004232B0"/>
    <w:rsid w:val="00423E03"/>
    <w:rsid w:val="00423E0D"/>
    <w:rsid w:val="00424E0F"/>
    <w:rsid w:val="00424F6F"/>
    <w:rsid w:val="0042503F"/>
    <w:rsid w:val="0042522A"/>
    <w:rsid w:val="00425CF2"/>
    <w:rsid w:val="00425E0A"/>
    <w:rsid w:val="0042667F"/>
    <w:rsid w:val="00426920"/>
    <w:rsid w:val="00426C9A"/>
    <w:rsid w:val="00426CAD"/>
    <w:rsid w:val="00426E14"/>
    <w:rsid w:val="00427422"/>
    <w:rsid w:val="004278CA"/>
    <w:rsid w:val="00430157"/>
    <w:rsid w:val="00430825"/>
    <w:rsid w:val="00430886"/>
    <w:rsid w:val="00430A5D"/>
    <w:rsid w:val="00431D90"/>
    <w:rsid w:val="00432544"/>
    <w:rsid w:val="00432694"/>
    <w:rsid w:val="00432764"/>
    <w:rsid w:val="00432CCF"/>
    <w:rsid w:val="00433B92"/>
    <w:rsid w:val="00434776"/>
    <w:rsid w:val="00434780"/>
    <w:rsid w:val="004350F5"/>
    <w:rsid w:val="00435D29"/>
    <w:rsid w:val="00436BA3"/>
    <w:rsid w:val="004370E2"/>
    <w:rsid w:val="00437961"/>
    <w:rsid w:val="00437A90"/>
    <w:rsid w:val="004403DC"/>
    <w:rsid w:val="004405ED"/>
    <w:rsid w:val="00440701"/>
    <w:rsid w:val="00440822"/>
    <w:rsid w:val="00441825"/>
    <w:rsid w:val="00442980"/>
    <w:rsid w:val="00443055"/>
    <w:rsid w:val="004437AA"/>
    <w:rsid w:val="00443D68"/>
    <w:rsid w:val="00443E18"/>
    <w:rsid w:val="004441FC"/>
    <w:rsid w:val="0044458D"/>
    <w:rsid w:val="004449F5"/>
    <w:rsid w:val="00444A35"/>
    <w:rsid w:val="00444E04"/>
    <w:rsid w:val="0044617B"/>
    <w:rsid w:val="00450753"/>
    <w:rsid w:val="004520EB"/>
    <w:rsid w:val="004527C1"/>
    <w:rsid w:val="00452BBA"/>
    <w:rsid w:val="004549B3"/>
    <w:rsid w:val="00454A33"/>
    <w:rsid w:val="00454C8C"/>
    <w:rsid w:val="00455A1A"/>
    <w:rsid w:val="00456899"/>
    <w:rsid w:val="00456DAB"/>
    <w:rsid w:val="0045760B"/>
    <w:rsid w:val="00457C7D"/>
    <w:rsid w:val="00460532"/>
    <w:rsid w:val="00460653"/>
    <w:rsid w:val="00461BB9"/>
    <w:rsid w:val="0046217D"/>
    <w:rsid w:val="004629E3"/>
    <w:rsid w:val="00463031"/>
    <w:rsid w:val="004632F9"/>
    <w:rsid w:val="004633E4"/>
    <w:rsid w:val="00464879"/>
    <w:rsid w:val="004648C6"/>
    <w:rsid w:val="004669D9"/>
    <w:rsid w:val="00466CD4"/>
    <w:rsid w:val="00466EAE"/>
    <w:rsid w:val="00467C8D"/>
    <w:rsid w:val="004700BD"/>
    <w:rsid w:val="0047055B"/>
    <w:rsid w:val="00472258"/>
    <w:rsid w:val="004732E8"/>
    <w:rsid w:val="0047489A"/>
    <w:rsid w:val="00474B72"/>
    <w:rsid w:val="00475B80"/>
    <w:rsid w:val="00475B8E"/>
    <w:rsid w:val="00475C58"/>
    <w:rsid w:val="00475CDC"/>
    <w:rsid w:val="0047698F"/>
    <w:rsid w:val="00477258"/>
    <w:rsid w:val="00477AB2"/>
    <w:rsid w:val="004808F2"/>
    <w:rsid w:val="004813C8"/>
    <w:rsid w:val="00481CBF"/>
    <w:rsid w:val="00481D76"/>
    <w:rsid w:val="004825ED"/>
    <w:rsid w:val="00482F4C"/>
    <w:rsid w:val="00484C63"/>
    <w:rsid w:val="0048589A"/>
    <w:rsid w:val="00485AC7"/>
    <w:rsid w:val="00485AD1"/>
    <w:rsid w:val="00486E2E"/>
    <w:rsid w:val="00487491"/>
    <w:rsid w:val="004876F6"/>
    <w:rsid w:val="00490BA7"/>
    <w:rsid w:val="004925D7"/>
    <w:rsid w:val="004931C5"/>
    <w:rsid w:val="00493243"/>
    <w:rsid w:val="00493903"/>
    <w:rsid w:val="00493D05"/>
    <w:rsid w:val="0049487A"/>
    <w:rsid w:val="00494985"/>
    <w:rsid w:val="00494C77"/>
    <w:rsid w:val="00494EDB"/>
    <w:rsid w:val="004952E3"/>
    <w:rsid w:val="00495301"/>
    <w:rsid w:val="00497E03"/>
    <w:rsid w:val="004A0208"/>
    <w:rsid w:val="004A154B"/>
    <w:rsid w:val="004A17B4"/>
    <w:rsid w:val="004A25C3"/>
    <w:rsid w:val="004A26B1"/>
    <w:rsid w:val="004A2AE0"/>
    <w:rsid w:val="004A3895"/>
    <w:rsid w:val="004A3C4E"/>
    <w:rsid w:val="004A4469"/>
    <w:rsid w:val="004A49B7"/>
    <w:rsid w:val="004A53CB"/>
    <w:rsid w:val="004A6161"/>
    <w:rsid w:val="004A6A87"/>
    <w:rsid w:val="004A6F0B"/>
    <w:rsid w:val="004A7205"/>
    <w:rsid w:val="004B04C9"/>
    <w:rsid w:val="004B0D11"/>
    <w:rsid w:val="004B0D8C"/>
    <w:rsid w:val="004B16BF"/>
    <w:rsid w:val="004B16E0"/>
    <w:rsid w:val="004B181D"/>
    <w:rsid w:val="004B2522"/>
    <w:rsid w:val="004B3017"/>
    <w:rsid w:val="004B3352"/>
    <w:rsid w:val="004B3B65"/>
    <w:rsid w:val="004B4E69"/>
    <w:rsid w:val="004B5265"/>
    <w:rsid w:val="004B568D"/>
    <w:rsid w:val="004B60A2"/>
    <w:rsid w:val="004B73DC"/>
    <w:rsid w:val="004B7538"/>
    <w:rsid w:val="004B7B90"/>
    <w:rsid w:val="004B7FDC"/>
    <w:rsid w:val="004C1342"/>
    <w:rsid w:val="004C180B"/>
    <w:rsid w:val="004C18F9"/>
    <w:rsid w:val="004C1AA8"/>
    <w:rsid w:val="004C2E25"/>
    <w:rsid w:val="004C40D2"/>
    <w:rsid w:val="004C420B"/>
    <w:rsid w:val="004C5E5E"/>
    <w:rsid w:val="004C62A7"/>
    <w:rsid w:val="004C6FEB"/>
    <w:rsid w:val="004C76A2"/>
    <w:rsid w:val="004C7731"/>
    <w:rsid w:val="004C79E1"/>
    <w:rsid w:val="004C7A4A"/>
    <w:rsid w:val="004D060E"/>
    <w:rsid w:val="004D0CCD"/>
    <w:rsid w:val="004D1051"/>
    <w:rsid w:val="004D1273"/>
    <w:rsid w:val="004D1B53"/>
    <w:rsid w:val="004D1D11"/>
    <w:rsid w:val="004D2549"/>
    <w:rsid w:val="004D27C2"/>
    <w:rsid w:val="004D39F6"/>
    <w:rsid w:val="004D3D04"/>
    <w:rsid w:val="004D45AF"/>
    <w:rsid w:val="004D56E7"/>
    <w:rsid w:val="004D62AE"/>
    <w:rsid w:val="004D6773"/>
    <w:rsid w:val="004E05B8"/>
    <w:rsid w:val="004E09CA"/>
    <w:rsid w:val="004E1049"/>
    <w:rsid w:val="004E12FC"/>
    <w:rsid w:val="004E23F7"/>
    <w:rsid w:val="004E2A81"/>
    <w:rsid w:val="004E4565"/>
    <w:rsid w:val="004E531B"/>
    <w:rsid w:val="004E5593"/>
    <w:rsid w:val="004E5956"/>
    <w:rsid w:val="004F007B"/>
    <w:rsid w:val="004F063C"/>
    <w:rsid w:val="004F0CD5"/>
    <w:rsid w:val="004F11B8"/>
    <w:rsid w:val="004F1241"/>
    <w:rsid w:val="004F2162"/>
    <w:rsid w:val="004F21CF"/>
    <w:rsid w:val="004F22B3"/>
    <w:rsid w:val="004F24DA"/>
    <w:rsid w:val="004F27BC"/>
    <w:rsid w:val="004F2A62"/>
    <w:rsid w:val="004F2F3A"/>
    <w:rsid w:val="004F3044"/>
    <w:rsid w:val="004F33DB"/>
    <w:rsid w:val="004F3728"/>
    <w:rsid w:val="004F42E4"/>
    <w:rsid w:val="004F5342"/>
    <w:rsid w:val="004F687A"/>
    <w:rsid w:val="004F7311"/>
    <w:rsid w:val="00500293"/>
    <w:rsid w:val="0050092B"/>
    <w:rsid w:val="00500967"/>
    <w:rsid w:val="00501C7E"/>
    <w:rsid w:val="00501D96"/>
    <w:rsid w:val="005032AE"/>
    <w:rsid w:val="0050404B"/>
    <w:rsid w:val="0050460F"/>
    <w:rsid w:val="00507C3C"/>
    <w:rsid w:val="00507CA2"/>
    <w:rsid w:val="00507EF6"/>
    <w:rsid w:val="00507F31"/>
    <w:rsid w:val="00510A11"/>
    <w:rsid w:val="005113CC"/>
    <w:rsid w:val="0051253F"/>
    <w:rsid w:val="00512E87"/>
    <w:rsid w:val="0051594C"/>
    <w:rsid w:val="005205A2"/>
    <w:rsid w:val="00520D1B"/>
    <w:rsid w:val="0052285F"/>
    <w:rsid w:val="00522C0E"/>
    <w:rsid w:val="00523466"/>
    <w:rsid w:val="00524146"/>
    <w:rsid w:val="00524A86"/>
    <w:rsid w:val="00525E00"/>
    <w:rsid w:val="005267EF"/>
    <w:rsid w:val="005303B4"/>
    <w:rsid w:val="00530496"/>
    <w:rsid w:val="00531340"/>
    <w:rsid w:val="00531359"/>
    <w:rsid w:val="00531DCA"/>
    <w:rsid w:val="00531EA2"/>
    <w:rsid w:val="00531F88"/>
    <w:rsid w:val="005320AD"/>
    <w:rsid w:val="005341C2"/>
    <w:rsid w:val="0053430C"/>
    <w:rsid w:val="0053460A"/>
    <w:rsid w:val="00534D27"/>
    <w:rsid w:val="00535298"/>
    <w:rsid w:val="0053547F"/>
    <w:rsid w:val="00535826"/>
    <w:rsid w:val="00540087"/>
    <w:rsid w:val="00540273"/>
    <w:rsid w:val="00540723"/>
    <w:rsid w:val="00540787"/>
    <w:rsid w:val="00540BCF"/>
    <w:rsid w:val="00540CF4"/>
    <w:rsid w:val="005417ED"/>
    <w:rsid w:val="00541B02"/>
    <w:rsid w:val="0054362C"/>
    <w:rsid w:val="00543A88"/>
    <w:rsid w:val="00544033"/>
    <w:rsid w:val="00544C88"/>
    <w:rsid w:val="00544FE1"/>
    <w:rsid w:val="005459CB"/>
    <w:rsid w:val="00546E54"/>
    <w:rsid w:val="0054750A"/>
    <w:rsid w:val="0054786B"/>
    <w:rsid w:val="00547AC5"/>
    <w:rsid w:val="005502C2"/>
    <w:rsid w:val="0055149E"/>
    <w:rsid w:val="00551C80"/>
    <w:rsid w:val="00552839"/>
    <w:rsid w:val="00552F75"/>
    <w:rsid w:val="00553662"/>
    <w:rsid w:val="00553995"/>
    <w:rsid w:val="0055502F"/>
    <w:rsid w:val="00555538"/>
    <w:rsid w:val="0055575F"/>
    <w:rsid w:val="005558A7"/>
    <w:rsid w:val="00555A36"/>
    <w:rsid w:val="00555A43"/>
    <w:rsid w:val="00555C03"/>
    <w:rsid w:val="00555C32"/>
    <w:rsid w:val="0055629E"/>
    <w:rsid w:val="005571E7"/>
    <w:rsid w:val="00557C92"/>
    <w:rsid w:val="005604E4"/>
    <w:rsid w:val="00561C60"/>
    <w:rsid w:val="00561F4A"/>
    <w:rsid w:val="0056263E"/>
    <w:rsid w:val="00563186"/>
    <w:rsid w:val="0056389D"/>
    <w:rsid w:val="00563B34"/>
    <w:rsid w:val="00563CB7"/>
    <w:rsid w:val="00564534"/>
    <w:rsid w:val="005647A9"/>
    <w:rsid w:val="00564A42"/>
    <w:rsid w:val="00565DFD"/>
    <w:rsid w:val="00566674"/>
    <w:rsid w:val="00566B02"/>
    <w:rsid w:val="0057057C"/>
    <w:rsid w:val="00571469"/>
    <w:rsid w:val="00571B4A"/>
    <w:rsid w:val="00572F3B"/>
    <w:rsid w:val="00574AC4"/>
    <w:rsid w:val="00574CBF"/>
    <w:rsid w:val="00574FD2"/>
    <w:rsid w:val="00575F2F"/>
    <w:rsid w:val="0057770F"/>
    <w:rsid w:val="0058007A"/>
    <w:rsid w:val="00580A92"/>
    <w:rsid w:val="00580AA5"/>
    <w:rsid w:val="00584B64"/>
    <w:rsid w:val="00584D6A"/>
    <w:rsid w:val="005850DE"/>
    <w:rsid w:val="005851C4"/>
    <w:rsid w:val="005856FC"/>
    <w:rsid w:val="00585737"/>
    <w:rsid w:val="00585CA3"/>
    <w:rsid w:val="00585FBC"/>
    <w:rsid w:val="00585FBF"/>
    <w:rsid w:val="00586384"/>
    <w:rsid w:val="005863D3"/>
    <w:rsid w:val="00586C0F"/>
    <w:rsid w:val="00587141"/>
    <w:rsid w:val="00587FAE"/>
    <w:rsid w:val="00590460"/>
    <w:rsid w:val="005908AB"/>
    <w:rsid w:val="0059124A"/>
    <w:rsid w:val="00591D35"/>
    <w:rsid w:val="00594BDB"/>
    <w:rsid w:val="005961A4"/>
    <w:rsid w:val="0059670D"/>
    <w:rsid w:val="00596F43"/>
    <w:rsid w:val="0059721C"/>
    <w:rsid w:val="005A0481"/>
    <w:rsid w:val="005A1507"/>
    <w:rsid w:val="005A1556"/>
    <w:rsid w:val="005A18B1"/>
    <w:rsid w:val="005A29E7"/>
    <w:rsid w:val="005A3C17"/>
    <w:rsid w:val="005A43D7"/>
    <w:rsid w:val="005A55B9"/>
    <w:rsid w:val="005A592F"/>
    <w:rsid w:val="005A7C8E"/>
    <w:rsid w:val="005B0435"/>
    <w:rsid w:val="005B13A0"/>
    <w:rsid w:val="005B1646"/>
    <w:rsid w:val="005B2A9A"/>
    <w:rsid w:val="005B314B"/>
    <w:rsid w:val="005B399E"/>
    <w:rsid w:val="005B454A"/>
    <w:rsid w:val="005B46DC"/>
    <w:rsid w:val="005B5410"/>
    <w:rsid w:val="005B64FA"/>
    <w:rsid w:val="005B6698"/>
    <w:rsid w:val="005B6DEA"/>
    <w:rsid w:val="005B7751"/>
    <w:rsid w:val="005C0797"/>
    <w:rsid w:val="005C0F65"/>
    <w:rsid w:val="005C1D2F"/>
    <w:rsid w:val="005C202F"/>
    <w:rsid w:val="005C2190"/>
    <w:rsid w:val="005C23EB"/>
    <w:rsid w:val="005C2614"/>
    <w:rsid w:val="005C2E3E"/>
    <w:rsid w:val="005C324B"/>
    <w:rsid w:val="005C32D2"/>
    <w:rsid w:val="005C40B4"/>
    <w:rsid w:val="005C4463"/>
    <w:rsid w:val="005C47B7"/>
    <w:rsid w:val="005C5D70"/>
    <w:rsid w:val="005C61B2"/>
    <w:rsid w:val="005C6CF0"/>
    <w:rsid w:val="005C7237"/>
    <w:rsid w:val="005C7CBE"/>
    <w:rsid w:val="005D0249"/>
    <w:rsid w:val="005D02D9"/>
    <w:rsid w:val="005D087C"/>
    <w:rsid w:val="005D1994"/>
    <w:rsid w:val="005D1DDE"/>
    <w:rsid w:val="005D22F3"/>
    <w:rsid w:val="005D25EE"/>
    <w:rsid w:val="005D3410"/>
    <w:rsid w:val="005D3652"/>
    <w:rsid w:val="005D3848"/>
    <w:rsid w:val="005D39F5"/>
    <w:rsid w:val="005D4D02"/>
    <w:rsid w:val="005D5567"/>
    <w:rsid w:val="005D5AB1"/>
    <w:rsid w:val="005E069D"/>
    <w:rsid w:val="005E0BE2"/>
    <w:rsid w:val="005E1349"/>
    <w:rsid w:val="005E294D"/>
    <w:rsid w:val="005E31E5"/>
    <w:rsid w:val="005E344E"/>
    <w:rsid w:val="005E428B"/>
    <w:rsid w:val="005E4AA4"/>
    <w:rsid w:val="005E4D24"/>
    <w:rsid w:val="005E50FB"/>
    <w:rsid w:val="005E53DC"/>
    <w:rsid w:val="005E62C7"/>
    <w:rsid w:val="005E64ED"/>
    <w:rsid w:val="005E665E"/>
    <w:rsid w:val="005E6995"/>
    <w:rsid w:val="005E704C"/>
    <w:rsid w:val="005E7DBE"/>
    <w:rsid w:val="005E7FA4"/>
    <w:rsid w:val="005F11D9"/>
    <w:rsid w:val="005F1269"/>
    <w:rsid w:val="005F20F5"/>
    <w:rsid w:val="005F2142"/>
    <w:rsid w:val="005F238B"/>
    <w:rsid w:val="005F37C4"/>
    <w:rsid w:val="005F3E07"/>
    <w:rsid w:val="005F4D39"/>
    <w:rsid w:val="005F6782"/>
    <w:rsid w:val="005F6C4F"/>
    <w:rsid w:val="00600045"/>
    <w:rsid w:val="0060140D"/>
    <w:rsid w:val="006019F6"/>
    <w:rsid w:val="00602BF6"/>
    <w:rsid w:val="00602F52"/>
    <w:rsid w:val="0060367F"/>
    <w:rsid w:val="00606359"/>
    <w:rsid w:val="00607960"/>
    <w:rsid w:val="00607CF0"/>
    <w:rsid w:val="00607F25"/>
    <w:rsid w:val="006106C4"/>
    <w:rsid w:val="006112A7"/>
    <w:rsid w:val="00611E53"/>
    <w:rsid w:val="0061246B"/>
    <w:rsid w:val="0061258B"/>
    <w:rsid w:val="00613458"/>
    <w:rsid w:val="00613E9D"/>
    <w:rsid w:val="006140CA"/>
    <w:rsid w:val="00614614"/>
    <w:rsid w:val="00614D65"/>
    <w:rsid w:val="00615A9C"/>
    <w:rsid w:val="00615D20"/>
    <w:rsid w:val="00616089"/>
    <w:rsid w:val="006162D7"/>
    <w:rsid w:val="006179DC"/>
    <w:rsid w:val="00620473"/>
    <w:rsid w:val="00621422"/>
    <w:rsid w:val="00621830"/>
    <w:rsid w:val="006223E3"/>
    <w:rsid w:val="00622C2E"/>
    <w:rsid w:val="00623516"/>
    <w:rsid w:val="00624D61"/>
    <w:rsid w:val="00625A62"/>
    <w:rsid w:val="006260DB"/>
    <w:rsid w:val="00626663"/>
    <w:rsid w:val="00626F3F"/>
    <w:rsid w:val="006272EC"/>
    <w:rsid w:val="0063065A"/>
    <w:rsid w:val="00631B64"/>
    <w:rsid w:val="00631CB4"/>
    <w:rsid w:val="00631DDD"/>
    <w:rsid w:val="00632D94"/>
    <w:rsid w:val="006344ED"/>
    <w:rsid w:val="00634572"/>
    <w:rsid w:val="00636503"/>
    <w:rsid w:val="00636896"/>
    <w:rsid w:val="00636CA3"/>
    <w:rsid w:val="00636DFC"/>
    <w:rsid w:val="006371C2"/>
    <w:rsid w:val="006375D5"/>
    <w:rsid w:val="00637979"/>
    <w:rsid w:val="00637D99"/>
    <w:rsid w:val="006415F6"/>
    <w:rsid w:val="00642502"/>
    <w:rsid w:val="0064315B"/>
    <w:rsid w:val="0064575A"/>
    <w:rsid w:val="00646576"/>
    <w:rsid w:val="006471A9"/>
    <w:rsid w:val="006473B0"/>
    <w:rsid w:val="0065024C"/>
    <w:rsid w:val="00650250"/>
    <w:rsid w:val="00651BC2"/>
    <w:rsid w:val="00651C5C"/>
    <w:rsid w:val="00652686"/>
    <w:rsid w:val="006528FD"/>
    <w:rsid w:val="00653478"/>
    <w:rsid w:val="00653C53"/>
    <w:rsid w:val="00653F65"/>
    <w:rsid w:val="006540B9"/>
    <w:rsid w:val="00654AED"/>
    <w:rsid w:val="00654C19"/>
    <w:rsid w:val="00654EDE"/>
    <w:rsid w:val="0065557A"/>
    <w:rsid w:val="00655A57"/>
    <w:rsid w:val="00657A8A"/>
    <w:rsid w:val="00660932"/>
    <w:rsid w:val="006613BE"/>
    <w:rsid w:val="00661A63"/>
    <w:rsid w:val="00661DBF"/>
    <w:rsid w:val="006632A9"/>
    <w:rsid w:val="00663361"/>
    <w:rsid w:val="006633FD"/>
    <w:rsid w:val="006656CF"/>
    <w:rsid w:val="00666157"/>
    <w:rsid w:val="00666F68"/>
    <w:rsid w:val="00667E2B"/>
    <w:rsid w:val="0067110D"/>
    <w:rsid w:val="0067138A"/>
    <w:rsid w:val="00671773"/>
    <w:rsid w:val="00673D6E"/>
    <w:rsid w:val="00673E0B"/>
    <w:rsid w:val="00674691"/>
    <w:rsid w:val="006755BB"/>
    <w:rsid w:val="00676565"/>
    <w:rsid w:val="00677231"/>
    <w:rsid w:val="00677A6E"/>
    <w:rsid w:val="00677DA2"/>
    <w:rsid w:val="00677FBF"/>
    <w:rsid w:val="0068051E"/>
    <w:rsid w:val="0068064F"/>
    <w:rsid w:val="0068077D"/>
    <w:rsid w:val="006808EE"/>
    <w:rsid w:val="00680CBD"/>
    <w:rsid w:val="00680D9A"/>
    <w:rsid w:val="00680DBB"/>
    <w:rsid w:val="00681E1C"/>
    <w:rsid w:val="00681EA9"/>
    <w:rsid w:val="00682873"/>
    <w:rsid w:val="006833D5"/>
    <w:rsid w:val="00685612"/>
    <w:rsid w:val="00686548"/>
    <w:rsid w:val="00686585"/>
    <w:rsid w:val="00686AB5"/>
    <w:rsid w:val="00686CC1"/>
    <w:rsid w:val="00686CE9"/>
    <w:rsid w:val="006875AC"/>
    <w:rsid w:val="006905DD"/>
    <w:rsid w:val="006909FE"/>
    <w:rsid w:val="006911D4"/>
    <w:rsid w:val="00691427"/>
    <w:rsid w:val="00691DDD"/>
    <w:rsid w:val="00691F80"/>
    <w:rsid w:val="00692172"/>
    <w:rsid w:val="00692415"/>
    <w:rsid w:val="00693710"/>
    <w:rsid w:val="00693A91"/>
    <w:rsid w:val="00693F48"/>
    <w:rsid w:val="006948CE"/>
    <w:rsid w:val="00694A40"/>
    <w:rsid w:val="0069503A"/>
    <w:rsid w:val="0069570B"/>
    <w:rsid w:val="00696816"/>
    <w:rsid w:val="00696B79"/>
    <w:rsid w:val="006A04B0"/>
    <w:rsid w:val="006A1D01"/>
    <w:rsid w:val="006A232C"/>
    <w:rsid w:val="006A23AF"/>
    <w:rsid w:val="006A4188"/>
    <w:rsid w:val="006A42DB"/>
    <w:rsid w:val="006A4ADA"/>
    <w:rsid w:val="006A5369"/>
    <w:rsid w:val="006A54BC"/>
    <w:rsid w:val="006A551A"/>
    <w:rsid w:val="006A66D3"/>
    <w:rsid w:val="006A6BCD"/>
    <w:rsid w:val="006A7780"/>
    <w:rsid w:val="006B0BD0"/>
    <w:rsid w:val="006B1072"/>
    <w:rsid w:val="006B10C7"/>
    <w:rsid w:val="006B2C85"/>
    <w:rsid w:val="006B3046"/>
    <w:rsid w:val="006B37A9"/>
    <w:rsid w:val="006B3A3F"/>
    <w:rsid w:val="006B4EBD"/>
    <w:rsid w:val="006B5429"/>
    <w:rsid w:val="006B5E23"/>
    <w:rsid w:val="006B720E"/>
    <w:rsid w:val="006B7316"/>
    <w:rsid w:val="006B73B3"/>
    <w:rsid w:val="006C051F"/>
    <w:rsid w:val="006C07DF"/>
    <w:rsid w:val="006C0859"/>
    <w:rsid w:val="006C101A"/>
    <w:rsid w:val="006C2693"/>
    <w:rsid w:val="006C3712"/>
    <w:rsid w:val="006C5947"/>
    <w:rsid w:val="006C5EA5"/>
    <w:rsid w:val="006C65D6"/>
    <w:rsid w:val="006C6684"/>
    <w:rsid w:val="006D0892"/>
    <w:rsid w:val="006D0CAD"/>
    <w:rsid w:val="006D10FC"/>
    <w:rsid w:val="006D1BF7"/>
    <w:rsid w:val="006D1E38"/>
    <w:rsid w:val="006D1ED9"/>
    <w:rsid w:val="006D2751"/>
    <w:rsid w:val="006D31F0"/>
    <w:rsid w:val="006D3F1E"/>
    <w:rsid w:val="006D4C48"/>
    <w:rsid w:val="006D52D2"/>
    <w:rsid w:val="006D5ABF"/>
    <w:rsid w:val="006D69CF"/>
    <w:rsid w:val="006D6A46"/>
    <w:rsid w:val="006D6B74"/>
    <w:rsid w:val="006D6E76"/>
    <w:rsid w:val="006D7185"/>
    <w:rsid w:val="006D75ED"/>
    <w:rsid w:val="006D763B"/>
    <w:rsid w:val="006E0045"/>
    <w:rsid w:val="006E0A2A"/>
    <w:rsid w:val="006E0C9E"/>
    <w:rsid w:val="006E14CB"/>
    <w:rsid w:val="006E1875"/>
    <w:rsid w:val="006E20E1"/>
    <w:rsid w:val="006E25D4"/>
    <w:rsid w:val="006E2741"/>
    <w:rsid w:val="006E3201"/>
    <w:rsid w:val="006E33AA"/>
    <w:rsid w:val="006E3878"/>
    <w:rsid w:val="006E3AE9"/>
    <w:rsid w:val="006E3E8D"/>
    <w:rsid w:val="006E43FD"/>
    <w:rsid w:val="006E444E"/>
    <w:rsid w:val="006E4D22"/>
    <w:rsid w:val="006E5415"/>
    <w:rsid w:val="006E5CDE"/>
    <w:rsid w:val="006E6323"/>
    <w:rsid w:val="006E7880"/>
    <w:rsid w:val="006E7AA3"/>
    <w:rsid w:val="006E7BE4"/>
    <w:rsid w:val="006F13C1"/>
    <w:rsid w:val="006F1577"/>
    <w:rsid w:val="006F2115"/>
    <w:rsid w:val="006F2325"/>
    <w:rsid w:val="006F2F6D"/>
    <w:rsid w:val="006F30C7"/>
    <w:rsid w:val="006F3202"/>
    <w:rsid w:val="006F33D2"/>
    <w:rsid w:val="006F3EB3"/>
    <w:rsid w:val="006F434D"/>
    <w:rsid w:val="006F5845"/>
    <w:rsid w:val="006F6175"/>
    <w:rsid w:val="006F6468"/>
    <w:rsid w:val="006F6825"/>
    <w:rsid w:val="006F6E14"/>
    <w:rsid w:val="006F7723"/>
    <w:rsid w:val="0070045B"/>
    <w:rsid w:val="00701210"/>
    <w:rsid w:val="00701985"/>
    <w:rsid w:val="00702174"/>
    <w:rsid w:val="007026C7"/>
    <w:rsid w:val="00702BB8"/>
    <w:rsid w:val="007034EF"/>
    <w:rsid w:val="007056BB"/>
    <w:rsid w:val="007059E2"/>
    <w:rsid w:val="0070620E"/>
    <w:rsid w:val="007062E6"/>
    <w:rsid w:val="00706723"/>
    <w:rsid w:val="00707670"/>
    <w:rsid w:val="00710349"/>
    <w:rsid w:val="00711020"/>
    <w:rsid w:val="007111C3"/>
    <w:rsid w:val="0071127F"/>
    <w:rsid w:val="00711329"/>
    <w:rsid w:val="00712F62"/>
    <w:rsid w:val="007130C9"/>
    <w:rsid w:val="007130E4"/>
    <w:rsid w:val="007132B6"/>
    <w:rsid w:val="007138CB"/>
    <w:rsid w:val="00715AF4"/>
    <w:rsid w:val="00716637"/>
    <w:rsid w:val="007167F0"/>
    <w:rsid w:val="007171F5"/>
    <w:rsid w:val="007173DF"/>
    <w:rsid w:val="007174F0"/>
    <w:rsid w:val="00717543"/>
    <w:rsid w:val="0071797B"/>
    <w:rsid w:val="007210A3"/>
    <w:rsid w:val="00721E86"/>
    <w:rsid w:val="00722313"/>
    <w:rsid w:val="00722AD7"/>
    <w:rsid w:val="00722DAE"/>
    <w:rsid w:val="0072423F"/>
    <w:rsid w:val="00724570"/>
    <w:rsid w:val="0072596C"/>
    <w:rsid w:val="00725D9D"/>
    <w:rsid w:val="00726639"/>
    <w:rsid w:val="00726E40"/>
    <w:rsid w:val="00727615"/>
    <w:rsid w:val="00730178"/>
    <w:rsid w:val="00730B78"/>
    <w:rsid w:val="00730F02"/>
    <w:rsid w:val="0073152F"/>
    <w:rsid w:val="007322D2"/>
    <w:rsid w:val="007327AD"/>
    <w:rsid w:val="00733204"/>
    <w:rsid w:val="007335AB"/>
    <w:rsid w:val="00733DDB"/>
    <w:rsid w:val="0073405B"/>
    <w:rsid w:val="007347B4"/>
    <w:rsid w:val="00734F0E"/>
    <w:rsid w:val="007353B2"/>
    <w:rsid w:val="00736048"/>
    <w:rsid w:val="00736170"/>
    <w:rsid w:val="00736498"/>
    <w:rsid w:val="00736A7C"/>
    <w:rsid w:val="00737F25"/>
    <w:rsid w:val="00742342"/>
    <w:rsid w:val="007433BA"/>
    <w:rsid w:val="00744FFE"/>
    <w:rsid w:val="007467E9"/>
    <w:rsid w:val="00746C07"/>
    <w:rsid w:val="00747455"/>
    <w:rsid w:val="00747602"/>
    <w:rsid w:val="00747BAD"/>
    <w:rsid w:val="00747E1C"/>
    <w:rsid w:val="00750F1B"/>
    <w:rsid w:val="00752056"/>
    <w:rsid w:val="00754751"/>
    <w:rsid w:val="00754EA8"/>
    <w:rsid w:val="00755882"/>
    <w:rsid w:val="00755A91"/>
    <w:rsid w:val="00756124"/>
    <w:rsid w:val="00756EA4"/>
    <w:rsid w:val="007576D0"/>
    <w:rsid w:val="00757952"/>
    <w:rsid w:val="00760309"/>
    <w:rsid w:val="0076037A"/>
    <w:rsid w:val="00760A29"/>
    <w:rsid w:val="00760C1B"/>
    <w:rsid w:val="00760CD5"/>
    <w:rsid w:val="00760D06"/>
    <w:rsid w:val="00761AEF"/>
    <w:rsid w:val="00761E37"/>
    <w:rsid w:val="007629CC"/>
    <w:rsid w:val="00764799"/>
    <w:rsid w:val="0076580A"/>
    <w:rsid w:val="00765BA6"/>
    <w:rsid w:val="0076608F"/>
    <w:rsid w:val="007661E6"/>
    <w:rsid w:val="007664B4"/>
    <w:rsid w:val="00766730"/>
    <w:rsid w:val="0076712D"/>
    <w:rsid w:val="00767B69"/>
    <w:rsid w:val="0077027C"/>
    <w:rsid w:val="00773C24"/>
    <w:rsid w:val="00774D47"/>
    <w:rsid w:val="007760D1"/>
    <w:rsid w:val="00776542"/>
    <w:rsid w:val="00776CDC"/>
    <w:rsid w:val="00776DAD"/>
    <w:rsid w:val="007777EC"/>
    <w:rsid w:val="00780D78"/>
    <w:rsid w:val="007815E4"/>
    <w:rsid w:val="00782F90"/>
    <w:rsid w:val="0078314F"/>
    <w:rsid w:val="00783AAF"/>
    <w:rsid w:val="0078421F"/>
    <w:rsid w:val="00784D10"/>
    <w:rsid w:val="00785FCB"/>
    <w:rsid w:val="0078624E"/>
    <w:rsid w:val="00787129"/>
    <w:rsid w:val="0078732B"/>
    <w:rsid w:val="00787710"/>
    <w:rsid w:val="00787999"/>
    <w:rsid w:val="007900D9"/>
    <w:rsid w:val="007904FC"/>
    <w:rsid w:val="00790AE1"/>
    <w:rsid w:val="0079142D"/>
    <w:rsid w:val="00791608"/>
    <w:rsid w:val="0079170B"/>
    <w:rsid w:val="00791B91"/>
    <w:rsid w:val="00792142"/>
    <w:rsid w:val="007923D8"/>
    <w:rsid w:val="00792C03"/>
    <w:rsid w:val="00792EB1"/>
    <w:rsid w:val="0079362B"/>
    <w:rsid w:val="00793820"/>
    <w:rsid w:val="0079382E"/>
    <w:rsid w:val="00795550"/>
    <w:rsid w:val="00797B3B"/>
    <w:rsid w:val="007A09C7"/>
    <w:rsid w:val="007A15D0"/>
    <w:rsid w:val="007A179C"/>
    <w:rsid w:val="007A1995"/>
    <w:rsid w:val="007A1BFD"/>
    <w:rsid w:val="007A253B"/>
    <w:rsid w:val="007A2DDE"/>
    <w:rsid w:val="007A3256"/>
    <w:rsid w:val="007A3EAF"/>
    <w:rsid w:val="007A5AE9"/>
    <w:rsid w:val="007A6181"/>
    <w:rsid w:val="007A69EA"/>
    <w:rsid w:val="007A759C"/>
    <w:rsid w:val="007A7881"/>
    <w:rsid w:val="007A789E"/>
    <w:rsid w:val="007B02EB"/>
    <w:rsid w:val="007B0A92"/>
    <w:rsid w:val="007B1308"/>
    <w:rsid w:val="007B1434"/>
    <w:rsid w:val="007B1F54"/>
    <w:rsid w:val="007B212B"/>
    <w:rsid w:val="007B2EA4"/>
    <w:rsid w:val="007B2F5B"/>
    <w:rsid w:val="007B3333"/>
    <w:rsid w:val="007B43A1"/>
    <w:rsid w:val="007B565A"/>
    <w:rsid w:val="007B5821"/>
    <w:rsid w:val="007C0624"/>
    <w:rsid w:val="007C06DB"/>
    <w:rsid w:val="007C0D06"/>
    <w:rsid w:val="007C1189"/>
    <w:rsid w:val="007C1544"/>
    <w:rsid w:val="007C2810"/>
    <w:rsid w:val="007C2EDB"/>
    <w:rsid w:val="007C3AFA"/>
    <w:rsid w:val="007C3DCD"/>
    <w:rsid w:val="007C44E4"/>
    <w:rsid w:val="007C4904"/>
    <w:rsid w:val="007C6072"/>
    <w:rsid w:val="007C660D"/>
    <w:rsid w:val="007C6819"/>
    <w:rsid w:val="007C6C71"/>
    <w:rsid w:val="007D151C"/>
    <w:rsid w:val="007D1CDD"/>
    <w:rsid w:val="007D1D6C"/>
    <w:rsid w:val="007D2AB3"/>
    <w:rsid w:val="007D3B24"/>
    <w:rsid w:val="007D3E06"/>
    <w:rsid w:val="007D5513"/>
    <w:rsid w:val="007D57F7"/>
    <w:rsid w:val="007D605E"/>
    <w:rsid w:val="007D772D"/>
    <w:rsid w:val="007E04AD"/>
    <w:rsid w:val="007E0765"/>
    <w:rsid w:val="007E1222"/>
    <w:rsid w:val="007E142B"/>
    <w:rsid w:val="007E1E71"/>
    <w:rsid w:val="007E2310"/>
    <w:rsid w:val="007E3C7D"/>
    <w:rsid w:val="007E4EA7"/>
    <w:rsid w:val="007E50A1"/>
    <w:rsid w:val="007F069A"/>
    <w:rsid w:val="007F13E8"/>
    <w:rsid w:val="007F14BB"/>
    <w:rsid w:val="007F1988"/>
    <w:rsid w:val="007F19B5"/>
    <w:rsid w:val="007F3FC3"/>
    <w:rsid w:val="007F4B74"/>
    <w:rsid w:val="007F56E7"/>
    <w:rsid w:val="007F6462"/>
    <w:rsid w:val="007F6584"/>
    <w:rsid w:val="007F7204"/>
    <w:rsid w:val="007F781D"/>
    <w:rsid w:val="007F7DE4"/>
    <w:rsid w:val="0080021D"/>
    <w:rsid w:val="008013E5"/>
    <w:rsid w:val="008015F9"/>
    <w:rsid w:val="00801CA3"/>
    <w:rsid w:val="00801D24"/>
    <w:rsid w:val="00802F79"/>
    <w:rsid w:val="008041BC"/>
    <w:rsid w:val="008041D5"/>
    <w:rsid w:val="00804BAC"/>
    <w:rsid w:val="00804D28"/>
    <w:rsid w:val="00804F5E"/>
    <w:rsid w:val="0080648F"/>
    <w:rsid w:val="008067BA"/>
    <w:rsid w:val="00806CE3"/>
    <w:rsid w:val="008073E0"/>
    <w:rsid w:val="0080789D"/>
    <w:rsid w:val="00807E03"/>
    <w:rsid w:val="00811AAF"/>
    <w:rsid w:val="008132F3"/>
    <w:rsid w:val="00813D1F"/>
    <w:rsid w:val="00813ED0"/>
    <w:rsid w:val="0081444C"/>
    <w:rsid w:val="00814892"/>
    <w:rsid w:val="00814BDB"/>
    <w:rsid w:val="00816430"/>
    <w:rsid w:val="00816441"/>
    <w:rsid w:val="008166AE"/>
    <w:rsid w:val="00816E09"/>
    <w:rsid w:val="00817929"/>
    <w:rsid w:val="00817BE8"/>
    <w:rsid w:val="00821510"/>
    <w:rsid w:val="00821683"/>
    <w:rsid w:val="00821F46"/>
    <w:rsid w:val="008220B8"/>
    <w:rsid w:val="0082373E"/>
    <w:rsid w:val="00824785"/>
    <w:rsid w:val="008261A7"/>
    <w:rsid w:val="00827BE1"/>
    <w:rsid w:val="008311B5"/>
    <w:rsid w:val="008318D2"/>
    <w:rsid w:val="008327E8"/>
    <w:rsid w:val="00832DF3"/>
    <w:rsid w:val="00834128"/>
    <w:rsid w:val="008342E5"/>
    <w:rsid w:val="0083607E"/>
    <w:rsid w:val="00836EA6"/>
    <w:rsid w:val="00841A6E"/>
    <w:rsid w:val="008425C3"/>
    <w:rsid w:val="00842B2C"/>
    <w:rsid w:val="00842F48"/>
    <w:rsid w:val="00843CD5"/>
    <w:rsid w:val="0084597A"/>
    <w:rsid w:val="00846840"/>
    <w:rsid w:val="00847BD7"/>
    <w:rsid w:val="008508A5"/>
    <w:rsid w:val="00850A4C"/>
    <w:rsid w:val="00851FED"/>
    <w:rsid w:val="008526C3"/>
    <w:rsid w:val="00852929"/>
    <w:rsid w:val="00852CC9"/>
    <w:rsid w:val="00853592"/>
    <w:rsid w:val="00854991"/>
    <w:rsid w:val="008556D1"/>
    <w:rsid w:val="008559C6"/>
    <w:rsid w:val="00856B80"/>
    <w:rsid w:val="00856DDC"/>
    <w:rsid w:val="00856F1A"/>
    <w:rsid w:val="008570E9"/>
    <w:rsid w:val="00857194"/>
    <w:rsid w:val="00862D22"/>
    <w:rsid w:val="00862E11"/>
    <w:rsid w:val="008630B6"/>
    <w:rsid w:val="00864740"/>
    <w:rsid w:val="008650F9"/>
    <w:rsid w:val="0086520F"/>
    <w:rsid w:val="008654FB"/>
    <w:rsid w:val="0086624A"/>
    <w:rsid w:val="00866941"/>
    <w:rsid w:val="0086732B"/>
    <w:rsid w:val="008673AC"/>
    <w:rsid w:val="008677B2"/>
    <w:rsid w:val="00872135"/>
    <w:rsid w:val="00872C10"/>
    <w:rsid w:val="00874221"/>
    <w:rsid w:val="00874403"/>
    <w:rsid w:val="00874720"/>
    <w:rsid w:val="0087498F"/>
    <w:rsid w:val="00874C1D"/>
    <w:rsid w:val="008758AF"/>
    <w:rsid w:val="0087622A"/>
    <w:rsid w:val="00876B92"/>
    <w:rsid w:val="00877074"/>
    <w:rsid w:val="0087771A"/>
    <w:rsid w:val="00877883"/>
    <w:rsid w:val="00880B1E"/>
    <w:rsid w:val="0088117F"/>
    <w:rsid w:val="008813F6"/>
    <w:rsid w:val="00881EF7"/>
    <w:rsid w:val="00884AB3"/>
    <w:rsid w:val="00884F1F"/>
    <w:rsid w:val="008851C5"/>
    <w:rsid w:val="00885CA5"/>
    <w:rsid w:val="00885CD6"/>
    <w:rsid w:val="00886269"/>
    <w:rsid w:val="008866AF"/>
    <w:rsid w:val="00890992"/>
    <w:rsid w:val="00890BA3"/>
    <w:rsid w:val="00891585"/>
    <w:rsid w:val="008925B1"/>
    <w:rsid w:val="0089282E"/>
    <w:rsid w:val="008932B8"/>
    <w:rsid w:val="00893553"/>
    <w:rsid w:val="00893A04"/>
    <w:rsid w:val="00893D7E"/>
    <w:rsid w:val="00894E51"/>
    <w:rsid w:val="008951C3"/>
    <w:rsid w:val="008955E3"/>
    <w:rsid w:val="008955F2"/>
    <w:rsid w:val="008963D9"/>
    <w:rsid w:val="008967B6"/>
    <w:rsid w:val="008967DD"/>
    <w:rsid w:val="0089780E"/>
    <w:rsid w:val="008979D6"/>
    <w:rsid w:val="00897B10"/>
    <w:rsid w:val="008A103D"/>
    <w:rsid w:val="008A1AA9"/>
    <w:rsid w:val="008A2189"/>
    <w:rsid w:val="008A29C8"/>
    <w:rsid w:val="008A2FBA"/>
    <w:rsid w:val="008A349F"/>
    <w:rsid w:val="008A3612"/>
    <w:rsid w:val="008A3E8A"/>
    <w:rsid w:val="008A41DC"/>
    <w:rsid w:val="008A4C1C"/>
    <w:rsid w:val="008A533B"/>
    <w:rsid w:val="008A53D4"/>
    <w:rsid w:val="008A5D84"/>
    <w:rsid w:val="008A5F3F"/>
    <w:rsid w:val="008A60BE"/>
    <w:rsid w:val="008A62F3"/>
    <w:rsid w:val="008A6A99"/>
    <w:rsid w:val="008A6D6B"/>
    <w:rsid w:val="008A6DE7"/>
    <w:rsid w:val="008A7311"/>
    <w:rsid w:val="008A76B0"/>
    <w:rsid w:val="008A7F29"/>
    <w:rsid w:val="008B0740"/>
    <w:rsid w:val="008B0DFA"/>
    <w:rsid w:val="008B117A"/>
    <w:rsid w:val="008B171A"/>
    <w:rsid w:val="008B270A"/>
    <w:rsid w:val="008B3081"/>
    <w:rsid w:val="008B3270"/>
    <w:rsid w:val="008B42DE"/>
    <w:rsid w:val="008B4534"/>
    <w:rsid w:val="008B51B8"/>
    <w:rsid w:val="008B550B"/>
    <w:rsid w:val="008B572C"/>
    <w:rsid w:val="008B7315"/>
    <w:rsid w:val="008B7A5A"/>
    <w:rsid w:val="008C0383"/>
    <w:rsid w:val="008C1F95"/>
    <w:rsid w:val="008C2339"/>
    <w:rsid w:val="008C239A"/>
    <w:rsid w:val="008C256B"/>
    <w:rsid w:val="008C280A"/>
    <w:rsid w:val="008C32A4"/>
    <w:rsid w:val="008C39CC"/>
    <w:rsid w:val="008C3DFA"/>
    <w:rsid w:val="008C4268"/>
    <w:rsid w:val="008C4342"/>
    <w:rsid w:val="008C476B"/>
    <w:rsid w:val="008C4FCC"/>
    <w:rsid w:val="008C505A"/>
    <w:rsid w:val="008C52A9"/>
    <w:rsid w:val="008C5B70"/>
    <w:rsid w:val="008C61D4"/>
    <w:rsid w:val="008C632E"/>
    <w:rsid w:val="008C653D"/>
    <w:rsid w:val="008C6E45"/>
    <w:rsid w:val="008C75BD"/>
    <w:rsid w:val="008D03A4"/>
    <w:rsid w:val="008D0B9B"/>
    <w:rsid w:val="008D18BE"/>
    <w:rsid w:val="008D1C95"/>
    <w:rsid w:val="008D3804"/>
    <w:rsid w:val="008D39F6"/>
    <w:rsid w:val="008D3A61"/>
    <w:rsid w:val="008D4E74"/>
    <w:rsid w:val="008D51D3"/>
    <w:rsid w:val="008D5DC7"/>
    <w:rsid w:val="008D5FE5"/>
    <w:rsid w:val="008D7BD5"/>
    <w:rsid w:val="008D7DBF"/>
    <w:rsid w:val="008E0ADE"/>
    <w:rsid w:val="008E18A5"/>
    <w:rsid w:val="008E22AC"/>
    <w:rsid w:val="008E3692"/>
    <w:rsid w:val="008E3C4A"/>
    <w:rsid w:val="008E3F7D"/>
    <w:rsid w:val="008E3F88"/>
    <w:rsid w:val="008E4DB4"/>
    <w:rsid w:val="008E53D5"/>
    <w:rsid w:val="008E5806"/>
    <w:rsid w:val="008E5ECF"/>
    <w:rsid w:val="008E61C8"/>
    <w:rsid w:val="008F0043"/>
    <w:rsid w:val="008F1724"/>
    <w:rsid w:val="008F1785"/>
    <w:rsid w:val="008F2EA1"/>
    <w:rsid w:val="008F36E9"/>
    <w:rsid w:val="008F4729"/>
    <w:rsid w:val="008F52F7"/>
    <w:rsid w:val="008F5E84"/>
    <w:rsid w:val="008F6B61"/>
    <w:rsid w:val="008F7736"/>
    <w:rsid w:val="00900077"/>
    <w:rsid w:val="00900992"/>
    <w:rsid w:val="00901B8B"/>
    <w:rsid w:val="00901E96"/>
    <w:rsid w:val="009022C4"/>
    <w:rsid w:val="0090314D"/>
    <w:rsid w:val="0090433C"/>
    <w:rsid w:val="009044C6"/>
    <w:rsid w:val="009051B8"/>
    <w:rsid w:val="00905703"/>
    <w:rsid w:val="0090693E"/>
    <w:rsid w:val="0090770C"/>
    <w:rsid w:val="00911365"/>
    <w:rsid w:val="009126D1"/>
    <w:rsid w:val="00913484"/>
    <w:rsid w:val="00914416"/>
    <w:rsid w:val="009146C6"/>
    <w:rsid w:val="0091572F"/>
    <w:rsid w:val="00915DE7"/>
    <w:rsid w:val="00920BE3"/>
    <w:rsid w:val="0092104D"/>
    <w:rsid w:val="00921177"/>
    <w:rsid w:val="00921861"/>
    <w:rsid w:val="00921E75"/>
    <w:rsid w:val="009225C2"/>
    <w:rsid w:val="0092298D"/>
    <w:rsid w:val="0092299F"/>
    <w:rsid w:val="00922ED5"/>
    <w:rsid w:val="00923120"/>
    <w:rsid w:val="00923AFC"/>
    <w:rsid w:val="00924627"/>
    <w:rsid w:val="00924B35"/>
    <w:rsid w:val="00924CFE"/>
    <w:rsid w:val="00925440"/>
    <w:rsid w:val="00926139"/>
    <w:rsid w:val="00926ADB"/>
    <w:rsid w:val="009272FF"/>
    <w:rsid w:val="0092747A"/>
    <w:rsid w:val="0092748D"/>
    <w:rsid w:val="00927620"/>
    <w:rsid w:val="00927A28"/>
    <w:rsid w:val="00927F5F"/>
    <w:rsid w:val="00930847"/>
    <w:rsid w:val="00930F06"/>
    <w:rsid w:val="00931320"/>
    <w:rsid w:val="0093194E"/>
    <w:rsid w:val="0093424F"/>
    <w:rsid w:val="0093693F"/>
    <w:rsid w:val="00936979"/>
    <w:rsid w:val="009400FF"/>
    <w:rsid w:val="009403E3"/>
    <w:rsid w:val="00940633"/>
    <w:rsid w:val="009408C8"/>
    <w:rsid w:val="00940C85"/>
    <w:rsid w:val="00941127"/>
    <w:rsid w:val="009415F2"/>
    <w:rsid w:val="00941C5C"/>
    <w:rsid w:val="0094202C"/>
    <w:rsid w:val="009426A4"/>
    <w:rsid w:val="00942B5D"/>
    <w:rsid w:val="009439CA"/>
    <w:rsid w:val="00943A04"/>
    <w:rsid w:val="00943A0A"/>
    <w:rsid w:val="00943DC7"/>
    <w:rsid w:val="00944017"/>
    <w:rsid w:val="00944B5E"/>
    <w:rsid w:val="009456D1"/>
    <w:rsid w:val="00945B72"/>
    <w:rsid w:val="00945B7B"/>
    <w:rsid w:val="00946908"/>
    <w:rsid w:val="00947186"/>
    <w:rsid w:val="0094729A"/>
    <w:rsid w:val="0094736F"/>
    <w:rsid w:val="00947A51"/>
    <w:rsid w:val="00947B8F"/>
    <w:rsid w:val="00947ECA"/>
    <w:rsid w:val="009502DE"/>
    <w:rsid w:val="009519C4"/>
    <w:rsid w:val="00952045"/>
    <w:rsid w:val="00952707"/>
    <w:rsid w:val="00952B66"/>
    <w:rsid w:val="00952DF6"/>
    <w:rsid w:val="0095308C"/>
    <w:rsid w:val="009531BD"/>
    <w:rsid w:val="00953342"/>
    <w:rsid w:val="00953A69"/>
    <w:rsid w:val="00954560"/>
    <w:rsid w:val="0095568B"/>
    <w:rsid w:val="00957929"/>
    <w:rsid w:val="00957AB5"/>
    <w:rsid w:val="00957EF9"/>
    <w:rsid w:val="0096028C"/>
    <w:rsid w:val="0096086F"/>
    <w:rsid w:val="00960B54"/>
    <w:rsid w:val="00961210"/>
    <w:rsid w:val="00961BB6"/>
    <w:rsid w:val="00961E95"/>
    <w:rsid w:val="0096304E"/>
    <w:rsid w:val="009630C3"/>
    <w:rsid w:val="00964212"/>
    <w:rsid w:val="00964F76"/>
    <w:rsid w:val="0096589F"/>
    <w:rsid w:val="009659C8"/>
    <w:rsid w:val="00965CE1"/>
    <w:rsid w:val="00967D10"/>
    <w:rsid w:val="00967F32"/>
    <w:rsid w:val="00967F9E"/>
    <w:rsid w:val="00970D7B"/>
    <w:rsid w:val="0097172B"/>
    <w:rsid w:val="00972FFE"/>
    <w:rsid w:val="00974DE5"/>
    <w:rsid w:val="00975579"/>
    <w:rsid w:val="00975E7B"/>
    <w:rsid w:val="009760E7"/>
    <w:rsid w:val="00977B5C"/>
    <w:rsid w:val="00980BD3"/>
    <w:rsid w:val="00981354"/>
    <w:rsid w:val="00981EFB"/>
    <w:rsid w:val="00982BF2"/>
    <w:rsid w:val="00982DCD"/>
    <w:rsid w:val="009831F9"/>
    <w:rsid w:val="009836A8"/>
    <w:rsid w:val="00984271"/>
    <w:rsid w:val="00984F7F"/>
    <w:rsid w:val="009857B9"/>
    <w:rsid w:val="0098585C"/>
    <w:rsid w:val="009858CE"/>
    <w:rsid w:val="00986DB1"/>
    <w:rsid w:val="00987A30"/>
    <w:rsid w:val="00987B7D"/>
    <w:rsid w:val="00990974"/>
    <w:rsid w:val="00990A43"/>
    <w:rsid w:val="00990DB2"/>
    <w:rsid w:val="00990DF4"/>
    <w:rsid w:val="009913AF"/>
    <w:rsid w:val="009919C0"/>
    <w:rsid w:val="009930A4"/>
    <w:rsid w:val="00993A1F"/>
    <w:rsid w:val="00993CAA"/>
    <w:rsid w:val="00994338"/>
    <w:rsid w:val="00994816"/>
    <w:rsid w:val="009948B5"/>
    <w:rsid w:val="009952D5"/>
    <w:rsid w:val="009954E0"/>
    <w:rsid w:val="00995F8B"/>
    <w:rsid w:val="009966DF"/>
    <w:rsid w:val="00996B70"/>
    <w:rsid w:val="00997130"/>
    <w:rsid w:val="009A04A1"/>
    <w:rsid w:val="009A1343"/>
    <w:rsid w:val="009A1519"/>
    <w:rsid w:val="009A1571"/>
    <w:rsid w:val="009A2A99"/>
    <w:rsid w:val="009A2E91"/>
    <w:rsid w:val="009A340A"/>
    <w:rsid w:val="009A36E2"/>
    <w:rsid w:val="009A4E8E"/>
    <w:rsid w:val="009A566A"/>
    <w:rsid w:val="009A5F22"/>
    <w:rsid w:val="009A615C"/>
    <w:rsid w:val="009A6AC4"/>
    <w:rsid w:val="009B020A"/>
    <w:rsid w:val="009B1735"/>
    <w:rsid w:val="009B23B8"/>
    <w:rsid w:val="009B290B"/>
    <w:rsid w:val="009B3AB9"/>
    <w:rsid w:val="009B3DBC"/>
    <w:rsid w:val="009B4067"/>
    <w:rsid w:val="009B4B3D"/>
    <w:rsid w:val="009B54E2"/>
    <w:rsid w:val="009B58BF"/>
    <w:rsid w:val="009B5D20"/>
    <w:rsid w:val="009B66CB"/>
    <w:rsid w:val="009B70CD"/>
    <w:rsid w:val="009B790B"/>
    <w:rsid w:val="009C0EAC"/>
    <w:rsid w:val="009C1FEF"/>
    <w:rsid w:val="009C2918"/>
    <w:rsid w:val="009C2B14"/>
    <w:rsid w:val="009C3B98"/>
    <w:rsid w:val="009C5A81"/>
    <w:rsid w:val="009C5AA9"/>
    <w:rsid w:val="009C5CAA"/>
    <w:rsid w:val="009C63A8"/>
    <w:rsid w:val="009C6D7D"/>
    <w:rsid w:val="009C6E8E"/>
    <w:rsid w:val="009C74CE"/>
    <w:rsid w:val="009D00AE"/>
    <w:rsid w:val="009D08D3"/>
    <w:rsid w:val="009D0C1E"/>
    <w:rsid w:val="009D0D0D"/>
    <w:rsid w:val="009D1E0E"/>
    <w:rsid w:val="009D2526"/>
    <w:rsid w:val="009D2D91"/>
    <w:rsid w:val="009D3191"/>
    <w:rsid w:val="009D372A"/>
    <w:rsid w:val="009D388A"/>
    <w:rsid w:val="009D3A9E"/>
    <w:rsid w:val="009D3D30"/>
    <w:rsid w:val="009D3E0A"/>
    <w:rsid w:val="009D4ECF"/>
    <w:rsid w:val="009D5465"/>
    <w:rsid w:val="009D588D"/>
    <w:rsid w:val="009D598D"/>
    <w:rsid w:val="009D61A4"/>
    <w:rsid w:val="009D68CC"/>
    <w:rsid w:val="009D6F4C"/>
    <w:rsid w:val="009D7997"/>
    <w:rsid w:val="009D7BE0"/>
    <w:rsid w:val="009D7FF6"/>
    <w:rsid w:val="009E0354"/>
    <w:rsid w:val="009E042F"/>
    <w:rsid w:val="009E1AF1"/>
    <w:rsid w:val="009E2B85"/>
    <w:rsid w:val="009E3236"/>
    <w:rsid w:val="009E3665"/>
    <w:rsid w:val="009E4133"/>
    <w:rsid w:val="009E422A"/>
    <w:rsid w:val="009E439B"/>
    <w:rsid w:val="009E4D8D"/>
    <w:rsid w:val="009E4E07"/>
    <w:rsid w:val="009E4F61"/>
    <w:rsid w:val="009E516C"/>
    <w:rsid w:val="009E5312"/>
    <w:rsid w:val="009E5370"/>
    <w:rsid w:val="009E6A09"/>
    <w:rsid w:val="009E6A0F"/>
    <w:rsid w:val="009E6C43"/>
    <w:rsid w:val="009E6DDC"/>
    <w:rsid w:val="009E75E9"/>
    <w:rsid w:val="009E7B2E"/>
    <w:rsid w:val="009E7CE8"/>
    <w:rsid w:val="009F06DE"/>
    <w:rsid w:val="009F0CAC"/>
    <w:rsid w:val="009F0E56"/>
    <w:rsid w:val="009F19C5"/>
    <w:rsid w:val="009F204B"/>
    <w:rsid w:val="009F2C33"/>
    <w:rsid w:val="009F368E"/>
    <w:rsid w:val="009F4494"/>
    <w:rsid w:val="009F474E"/>
    <w:rsid w:val="009F5769"/>
    <w:rsid w:val="009F5F22"/>
    <w:rsid w:val="009F5FF6"/>
    <w:rsid w:val="009F69F8"/>
    <w:rsid w:val="009F6CBA"/>
    <w:rsid w:val="009F7CE1"/>
    <w:rsid w:val="009F7EED"/>
    <w:rsid w:val="00A0041F"/>
    <w:rsid w:val="00A00D70"/>
    <w:rsid w:val="00A0232B"/>
    <w:rsid w:val="00A02975"/>
    <w:rsid w:val="00A02EF9"/>
    <w:rsid w:val="00A03270"/>
    <w:rsid w:val="00A034FA"/>
    <w:rsid w:val="00A03BB6"/>
    <w:rsid w:val="00A055DA"/>
    <w:rsid w:val="00A06803"/>
    <w:rsid w:val="00A070A4"/>
    <w:rsid w:val="00A0776E"/>
    <w:rsid w:val="00A10282"/>
    <w:rsid w:val="00A11853"/>
    <w:rsid w:val="00A11CE8"/>
    <w:rsid w:val="00A1213E"/>
    <w:rsid w:val="00A124C9"/>
    <w:rsid w:val="00A12B2D"/>
    <w:rsid w:val="00A12D6F"/>
    <w:rsid w:val="00A13631"/>
    <w:rsid w:val="00A13754"/>
    <w:rsid w:val="00A148B9"/>
    <w:rsid w:val="00A14C3F"/>
    <w:rsid w:val="00A15612"/>
    <w:rsid w:val="00A17509"/>
    <w:rsid w:val="00A17FCC"/>
    <w:rsid w:val="00A21FF1"/>
    <w:rsid w:val="00A23C71"/>
    <w:rsid w:val="00A24A7F"/>
    <w:rsid w:val="00A25A79"/>
    <w:rsid w:val="00A25B27"/>
    <w:rsid w:val="00A272CD"/>
    <w:rsid w:val="00A27A4C"/>
    <w:rsid w:val="00A27AA6"/>
    <w:rsid w:val="00A27D85"/>
    <w:rsid w:val="00A27F19"/>
    <w:rsid w:val="00A30099"/>
    <w:rsid w:val="00A3027C"/>
    <w:rsid w:val="00A302ED"/>
    <w:rsid w:val="00A30B97"/>
    <w:rsid w:val="00A31ADF"/>
    <w:rsid w:val="00A31D9D"/>
    <w:rsid w:val="00A3377F"/>
    <w:rsid w:val="00A34419"/>
    <w:rsid w:val="00A34B7B"/>
    <w:rsid w:val="00A34E41"/>
    <w:rsid w:val="00A350FE"/>
    <w:rsid w:val="00A360C2"/>
    <w:rsid w:val="00A36E56"/>
    <w:rsid w:val="00A3773A"/>
    <w:rsid w:val="00A40294"/>
    <w:rsid w:val="00A406D7"/>
    <w:rsid w:val="00A408FF"/>
    <w:rsid w:val="00A42ED3"/>
    <w:rsid w:val="00A433D6"/>
    <w:rsid w:val="00A438A1"/>
    <w:rsid w:val="00A43CA6"/>
    <w:rsid w:val="00A44015"/>
    <w:rsid w:val="00A44209"/>
    <w:rsid w:val="00A444FA"/>
    <w:rsid w:val="00A472F1"/>
    <w:rsid w:val="00A47662"/>
    <w:rsid w:val="00A47F2F"/>
    <w:rsid w:val="00A507A6"/>
    <w:rsid w:val="00A50BAD"/>
    <w:rsid w:val="00A50CF6"/>
    <w:rsid w:val="00A51FBD"/>
    <w:rsid w:val="00A5338B"/>
    <w:rsid w:val="00A54ACA"/>
    <w:rsid w:val="00A55F72"/>
    <w:rsid w:val="00A56B8D"/>
    <w:rsid w:val="00A56DE0"/>
    <w:rsid w:val="00A5741B"/>
    <w:rsid w:val="00A5753B"/>
    <w:rsid w:val="00A60AB8"/>
    <w:rsid w:val="00A60FC1"/>
    <w:rsid w:val="00A616E2"/>
    <w:rsid w:val="00A623DB"/>
    <w:rsid w:val="00A624D6"/>
    <w:rsid w:val="00A62711"/>
    <w:rsid w:val="00A62728"/>
    <w:rsid w:val="00A62F14"/>
    <w:rsid w:val="00A6337A"/>
    <w:rsid w:val="00A63637"/>
    <w:rsid w:val="00A6371D"/>
    <w:rsid w:val="00A6590D"/>
    <w:rsid w:val="00A66474"/>
    <w:rsid w:val="00A700F9"/>
    <w:rsid w:val="00A706E6"/>
    <w:rsid w:val="00A710C8"/>
    <w:rsid w:val="00A72153"/>
    <w:rsid w:val="00A726AE"/>
    <w:rsid w:val="00A75493"/>
    <w:rsid w:val="00A75654"/>
    <w:rsid w:val="00A761C9"/>
    <w:rsid w:val="00A767D6"/>
    <w:rsid w:val="00A80649"/>
    <w:rsid w:val="00A8074F"/>
    <w:rsid w:val="00A80BFD"/>
    <w:rsid w:val="00A82829"/>
    <w:rsid w:val="00A83663"/>
    <w:rsid w:val="00A84EFA"/>
    <w:rsid w:val="00A85252"/>
    <w:rsid w:val="00A85C04"/>
    <w:rsid w:val="00A85F38"/>
    <w:rsid w:val="00A86083"/>
    <w:rsid w:val="00A87318"/>
    <w:rsid w:val="00A877C1"/>
    <w:rsid w:val="00A87E17"/>
    <w:rsid w:val="00A87F55"/>
    <w:rsid w:val="00A90E0F"/>
    <w:rsid w:val="00A91730"/>
    <w:rsid w:val="00A91C11"/>
    <w:rsid w:val="00A93222"/>
    <w:rsid w:val="00A935CA"/>
    <w:rsid w:val="00A94AD9"/>
    <w:rsid w:val="00A94E80"/>
    <w:rsid w:val="00A9541F"/>
    <w:rsid w:val="00A958E0"/>
    <w:rsid w:val="00A95C27"/>
    <w:rsid w:val="00A9704A"/>
    <w:rsid w:val="00A97162"/>
    <w:rsid w:val="00A97246"/>
    <w:rsid w:val="00A9792C"/>
    <w:rsid w:val="00A97E43"/>
    <w:rsid w:val="00AA142F"/>
    <w:rsid w:val="00AA2186"/>
    <w:rsid w:val="00AA3E32"/>
    <w:rsid w:val="00AA467D"/>
    <w:rsid w:val="00AA51BD"/>
    <w:rsid w:val="00AA5B2A"/>
    <w:rsid w:val="00AA5DDC"/>
    <w:rsid w:val="00AA60D6"/>
    <w:rsid w:val="00AA7415"/>
    <w:rsid w:val="00AA77FB"/>
    <w:rsid w:val="00AA787D"/>
    <w:rsid w:val="00AA7BBE"/>
    <w:rsid w:val="00AA7D62"/>
    <w:rsid w:val="00AA7FAA"/>
    <w:rsid w:val="00AB05A8"/>
    <w:rsid w:val="00AB0AFE"/>
    <w:rsid w:val="00AB0C84"/>
    <w:rsid w:val="00AB12C7"/>
    <w:rsid w:val="00AB189B"/>
    <w:rsid w:val="00AB1ECB"/>
    <w:rsid w:val="00AB2101"/>
    <w:rsid w:val="00AB2812"/>
    <w:rsid w:val="00AB3990"/>
    <w:rsid w:val="00AB3B4D"/>
    <w:rsid w:val="00AB3E57"/>
    <w:rsid w:val="00AB3F45"/>
    <w:rsid w:val="00AB5A71"/>
    <w:rsid w:val="00AB659D"/>
    <w:rsid w:val="00AB6EEC"/>
    <w:rsid w:val="00AB790D"/>
    <w:rsid w:val="00AB79D5"/>
    <w:rsid w:val="00AC0C05"/>
    <w:rsid w:val="00AC0FFA"/>
    <w:rsid w:val="00AC1716"/>
    <w:rsid w:val="00AC1B0D"/>
    <w:rsid w:val="00AC29F8"/>
    <w:rsid w:val="00AC2C7F"/>
    <w:rsid w:val="00AC3198"/>
    <w:rsid w:val="00AC444A"/>
    <w:rsid w:val="00AC4502"/>
    <w:rsid w:val="00AC48A7"/>
    <w:rsid w:val="00AC4E71"/>
    <w:rsid w:val="00AC551F"/>
    <w:rsid w:val="00AC58E9"/>
    <w:rsid w:val="00AC5B33"/>
    <w:rsid w:val="00AC63F1"/>
    <w:rsid w:val="00AC649F"/>
    <w:rsid w:val="00AC749B"/>
    <w:rsid w:val="00AC7507"/>
    <w:rsid w:val="00AC7A74"/>
    <w:rsid w:val="00AC7CDB"/>
    <w:rsid w:val="00AD0529"/>
    <w:rsid w:val="00AD389F"/>
    <w:rsid w:val="00AD3F61"/>
    <w:rsid w:val="00AD609C"/>
    <w:rsid w:val="00AD6A4C"/>
    <w:rsid w:val="00AD7049"/>
    <w:rsid w:val="00AD7D67"/>
    <w:rsid w:val="00AE02D1"/>
    <w:rsid w:val="00AE24B9"/>
    <w:rsid w:val="00AE31CD"/>
    <w:rsid w:val="00AE398B"/>
    <w:rsid w:val="00AE3AEE"/>
    <w:rsid w:val="00AE5748"/>
    <w:rsid w:val="00AE595D"/>
    <w:rsid w:val="00AE5F37"/>
    <w:rsid w:val="00AE6F4B"/>
    <w:rsid w:val="00AE7739"/>
    <w:rsid w:val="00AF0167"/>
    <w:rsid w:val="00AF0181"/>
    <w:rsid w:val="00AF0713"/>
    <w:rsid w:val="00AF0B36"/>
    <w:rsid w:val="00AF0D55"/>
    <w:rsid w:val="00AF1462"/>
    <w:rsid w:val="00AF18DC"/>
    <w:rsid w:val="00AF2DA7"/>
    <w:rsid w:val="00AF2F5D"/>
    <w:rsid w:val="00AF2F7E"/>
    <w:rsid w:val="00AF32FC"/>
    <w:rsid w:val="00AF420D"/>
    <w:rsid w:val="00AF6055"/>
    <w:rsid w:val="00AF6F05"/>
    <w:rsid w:val="00AF7220"/>
    <w:rsid w:val="00AF747F"/>
    <w:rsid w:val="00B0023E"/>
    <w:rsid w:val="00B00A91"/>
    <w:rsid w:val="00B00EAC"/>
    <w:rsid w:val="00B01065"/>
    <w:rsid w:val="00B02286"/>
    <w:rsid w:val="00B02902"/>
    <w:rsid w:val="00B02E11"/>
    <w:rsid w:val="00B02FE1"/>
    <w:rsid w:val="00B03829"/>
    <w:rsid w:val="00B045BF"/>
    <w:rsid w:val="00B052CC"/>
    <w:rsid w:val="00B05741"/>
    <w:rsid w:val="00B0688A"/>
    <w:rsid w:val="00B06C39"/>
    <w:rsid w:val="00B07F2E"/>
    <w:rsid w:val="00B11B4B"/>
    <w:rsid w:val="00B11EAC"/>
    <w:rsid w:val="00B12396"/>
    <w:rsid w:val="00B124A5"/>
    <w:rsid w:val="00B12F47"/>
    <w:rsid w:val="00B13185"/>
    <w:rsid w:val="00B139B8"/>
    <w:rsid w:val="00B1440A"/>
    <w:rsid w:val="00B14E55"/>
    <w:rsid w:val="00B15B6E"/>
    <w:rsid w:val="00B15EA6"/>
    <w:rsid w:val="00B17A8E"/>
    <w:rsid w:val="00B17B40"/>
    <w:rsid w:val="00B20FF4"/>
    <w:rsid w:val="00B2155B"/>
    <w:rsid w:val="00B21939"/>
    <w:rsid w:val="00B21AF9"/>
    <w:rsid w:val="00B22002"/>
    <w:rsid w:val="00B2360C"/>
    <w:rsid w:val="00B24004"/>
    <w:rsid w:val="00B25559"/>
    <w:rsid w:val="00B259B7"/>
    <w:rsid w:val="00B26160"/>
    <w:rsid w:val="00B26D87"/>
    <w:rsid w:val="00B277B5"/>
    <w:rsid w:val="00B2789E"/>
    <w:rsid w:val="00B3003C"/>
    <w:rsid w:val="00B303A3"/>
    <w:rsid w:val="00B312E8"/>
    <w:rsid w:val="00B31671"/>
    <w:rsid w:val="00B31A39"/>
    <w:rsid w:val="00B31B91"/>
    <w:rsid w:val="00B32151"/>
    <w:rsid w:val="00B33B85"/>
    <w:rsid w:val="00B34ED8"/>
    <w:rsid w:val="00B351D3"/>
    <w:rsid w:val="00B354BA"/>
    <w:rsid w:val="00B3578F"/>
    <w:rsid w:val="00B35AF0"/>
    <w:rsid w:val="00B364AE"/>
    <w:rsid w:val="00B37B01"/>
    <w:rsid w:val="00B37F4C"/>
    <w:rsid w:val="00B4129C"/>
    <w:rsid w:val="00B41EB5"/>
    <w:rsid w:val="00B42886"/>
    <w:rsid w:val="00B4377F"/>
    <w:rsid w:val="00B44437"/>
    <w:rsid w:val="00B456FF"/>
    <w:rsid w:val="00B45C2C"/>
    <w:rsid w:val="00B467AC"/>
    <w:rsid w:val="00B50630"/>
    <w:rsid w:val="00B50858"/>
    <w:rsid w:val="00B50AE4"/>
    <w:rsid w:val="00B51BF2"/>
    <w:rsid w:val="00B51C97"/>
    <w:rsid w:val="00B51F0A"/>
    <w:rsid w:val="00B52ABB"/>
    <w:rsid w:val="00B53BD7"/>
    <w:rsid w:val="00B54412"/>
    <w:rsid w:val="00B552E1"/>
    <w:rsid w:val="00B55DBA"/>
    <w:rsid w:val="00B56815"/>
    <w:rsid w:val="00B56A43"/>
    <w:rsid w:val="00B6170D"/>
    <w:rsid w:val="00B61BCC"/>
    <w:rsid w:val="00B61CC6"/>
    <w:rsid w:val="00B62E27"/>
    <w:rsid w:val="00B630A9"/>
    <w:rsid w:val="00B63C26"/>
    <w:rsid w:val="00B65233"/>
    <w:rsid w:val="00B66577"/>
    <w:rsid w:val="00B66769"/>
    <w:rsid w:val="00B66B4E"/>
    <w:rsid w:val="00B66E22"/>
    <w:rsid w:val="00B673F5"/>
    <w:rsid w:val="00B67653"/>
    <w:rsid w:val="00B67A33"/>
    <w:rsid w:val="00B70267"/>
    <w:rsid w:val="00B70C8B"/>
    <w:rsid w:val="00B71430"/>
    <w:rsid w:val="00B72049"/>
    <w:rsid w:val="00B721FA"/>
    <w:rsid w:val="00B7230F"/>
    <w:rsid w:val="00B73589"/>
    <w:rsid w:val="00B73FD1"/>
    <w:rsid w:val="00B74110"/>
    <w:rsid w:val="00B74138"/>
    <w:rsid w:val="00B7507C"/>
    <w:rsid w:val="00B75838"/>
    <w:rsid w:val="00B75CB3"/>
    <w:rsid w:val="00B75D68"/>
    <w:rsid w:val="00B771DD"/>
    <w:rsid w:val="00B7751E"/>
    <w:rsid w:val="00B81B7E"/>
    <w:rsid w:val="00B82633"/>
    <w:rsid w:val="00B82CF5"/>
    <w:rsid w:val="00B82E32"/>
    <w:rsid w:val="00B831A2"/>
    <w:rsid w:val="00B83B47"/>
    <w:rsid w:val="00B84538"/>
    <w:rsid w:val="00B84937"/>
    <w:rsid w:val="00B849F3"/>
    <w:rsid w:val="00B84A94"/>
    <w:rsid w:val="00B84FF4"/>
    <w:rsid w:val="00B852C3"/>
    <w:rsid w:val="00B8585A"/>
    <w:rsid w:val="00B85986"/>
    <w:rsid w:val="00B85ECA"/>
    <w:rsid w:val="00B86411"/>
    <w:rsid w:val="00B87484"/>
    <w:rsid w:val="00B87538"/>
    <w:rsid w:val="00B8793C"/>
    <w:rsid w:val="00B87D3C"/>
    <w:rsid w:val="00B908C5"/>
    <w:rsid w:val="00B90A03"/>
    <w:rsid w:val="00B92397"/>
    <w:rsid w:val="00B92813"/>
    <w:rsid w:val="00B92AE6"/>
    <w:rsid w:val="00B92D2C"/>
    <w:rsid w:val="00B93203"/>
    <w:rsid w:val="00B9349B"/>
    <w:rsid w:val="00B939B8"/>
    <w:rsid w:val="00B93AB7"/>
    <w:rsid w:val="00B93DAB"/>
    <w:rsid w:val="00B94284"/>
    <w:rsid w:val="00B946A4"/>
    <w:rsid w:val="00B966EC"/>
    <w:rsid w:val="00B9707D"/>
    <w:rsid w:val="00B97F89"/>
    <w:rsid w:val="00BA0DFA"/>
    <w:rsid w:val="00BA15D6"/>
    <w:rsid w:val="00BA1683"/>
    <w:rsid w:val="00BA27DE"/>
    <w:rsid w:val="00BA375B"/>
    <w:rsid w:val="00BA4B0C"/>
    <w:rsid w:val="00BA4CC4"/>
    <w:rsid w:val="00BA62E5"/>
    <w:rsid w:val="00BA645C"/>
    <w:rsid w:val="00BA656B"/>
    <w:rsid w:val="00BA66F3"/>
    <w:rsid w:val="00BA67EC"/>
    <w:rsid w:val="00BA6BC3"/>
    <w:rsid w:val="00BA7FFE"/>
    <w:rsid w:val="00BB0093"/>
    <w:rsid w:val="00BB0AA6"/>
    <w:rsid w:val="00BB13CA"/>
    <w:rsid w:val="00BB1CC6"/>
    <w:rsid w:val="00BB3414"/>
    <w:rsid w:val="00BB38C3"/>
    <w:rsid w:val="00BB3992"/>
    <w:rsid w:val="00BB652F"/>
    <w:rsid w:val="00BB6916"/>
    <w:rsid w:val="00BB6978"/>
    <w:rsid w:val="00BB6E69"/>
    <w:rsid w:val="00BB77F5"/>
    <w:rsid w:val="00BC13AC"/>
    <w:rsid w:val="00BC1428"/>
    <w:rsid w:val="00BC170C"/>
    <w:rsid w:val="00BC1733"/>
    <w:rsid w:val="00BC1AEB"/>
    <w:rsid w:val="00BC1DE9"/>
    <w:rsid w:val="00BC2076"/>
    <w:rsid w:val="00BC29A2"/>
    <w:rsid w:val="00BC3174"/>
    <w:rsid w:val="00BC3663"/>
    <w:rsid w:val="00BC4311"/>
    <w:rsid w:val="00BC5114"/>
    <w:rsid w:val="00BC5950"/>
    <w:rsid w:val="00BC603F"/>
    <w:rsid w:val="00BC7A2B"/>
    <w:rsid w:val="00BC7D6C"/>
    <w:rsid w:val="00BD0459"/>
    <w:rsid w:val="00BD0D6E"/>
    <w:rsid w:val="00BD117A"/>
    <w:rsid w:val="00BD11DE"/>
    <w:rsid w:val="00BD15DC"/>
    <w:rsid w:val="00BD1CC2"/>
    <w:rsid w:val="00BD2981"/>
    <w:rsid w:val="00BD32DD"/>
    <w:rsid w:val="00BD39D7"/>
    <w:rsid w:val="00BD3D41"/>
    <w:rsid w:val="00BD45C0"/>
    <w:rsid w:val="00BD4C82"/>
    <w:rsid w:val="00BD7C7D"/>
    <w:rsid w:val="00BD7F5F"/>
    <w:rsid w:val="00BE0174"/>
    <w:rsid w:val="00BE0EF2"/>
    <w:rsid w:val="00BE1321"/>
    <w:rsid w:val="00BE2481"/>
    <w:rsid w:val="00BE2A1B"/>
    <w:rsid w:val="00BE2F96"/>
    <w:rsid w:val="00BE4968"/>
    <w:rsid w:val="00BE531C"/>
    <w:rsid w:val="00BE6679"/>
    <w:rsid w:val="00BE74A5"/>
    <w:rsid w:val="00BE7F2C"/>
    <w:rsid w:val="00BF0474"/>
    <w:rsid w:val="00BF0527"/>
    <w:rsid w:val="00BF0F81"/>
    <w:rsid w:val="00BF175E"/>
    <w:rsid w:val="00BF21CC"/>
    <w:rsid w:val="00BF2D9F"/>
    <w:rsid w:val="00BF3883"/>
    <w:rsid w:val="00BF3BDE"/>
    <w:rsid w:val="00BF452E"/>
    <w:rsid w:val="00BF467A"/>
    <w:rsid w:val="00BF485F"/>
    <w:rsid w:val="00BF4CB9"/>
    <w:rsid w:val="00BF50A2"/>
    <w:rsid w:val="00BF584C"/>
    <w:rsid w:val="00BF5877"/>
    <w:rsid w:val="00BF5BFF"/>
    <w:rsid w:val="00BF5EF9"/>
    <w:rsid w:val="00BF6810"/>
    <w:rsid w:val="00C00125"/>
    <w:rsid w:val="00C01037"/>
    <w:rsid w:val="00C0134D"/>
    <w:rsid w:val="00C0191E"/>
    <w:rsid w:val="00C01D6C"/>
    <w:rsid w:val="00C025BF"/>
    <w:rsid w:val="00C028DB"/>
    <w:rsid w:val="00C02D08"/>
    <w:rsid w:val="00C03311"/>
    <w:rsid w:val="00C040BA"/>
    <w:rsid w:val="00C04660"/>
    <w:rsid w:val="00C0487D"/>
    <w:rsid w:val="00C05048"/>
    <w:rsid w:val="00C06665"/>
    <w:rsid w:val="00C0705C"/>
    <w:rsid w:val="00C07127"/>
    <w:rsid w:val="00C0742F"/>
    <w:rsid w:val="00C07AF1"/>
    <w:rsid w:val="00C11D1B"/>
    <w:rsid w:val="00C12084"/>
    <w:rsid w:val="00C12188"/>
    <w:rsid w:val="00C13107"/>
    <w:rsid w:val="00C139AE"/>
    <w:rsid w:val="00C13C26"/>
    <w:rsid w:val="00C140A6"/>
    <w:rsid w:val="00C14B86"/>
    <w:rsid w:val="00C158EC"/>
    <w:rsid w:val="00C15A2C"/>
    <w:rsid w:val="00C1644A"/>
    <w:rsid w:val="00C165EF"/>
    <w:rsid w:val="00C1670B"/>
    <w:rsid w:val="00C1703E"/>
    <w:rsid w:val="00C17835"/>
    <w:rsid w:val="00C213FE"/>
    <w:rsid w:val="00C225AE"/>
    <w:rsid w:val="00C226AF"/>
    <w:rsid w:val="00C22A47"/>
    <w:rsid w:val="00C22C29"/>
    <w:rsid w:val="00C2346A"/>
    <w:rsid w:val="00C23783"/>
    <w:rsid w:val="00C237C7"/>
    <w:rsid w:val="00C23E6E"/>
    <w:rsid w:val="00C253A7"/>
    <w:rsid w:val="00C27181"/>
    <w:rsid w:val="00C3021B"/>
    <w:rsid w:val="00C30AB3"/>
    <w:rsid w:val="00C31398"/>
    <w:rsid w:val="00C31B79"/>
    <w:rsid w:val="00C31D9A"/>
    <w:rsid w:val="00C320C1"/>
    <w:rsid w:val="00C32AF7"/>
    <w:rsid w:val="00C334FE"/>
    <w:rsid w:val="00C3413B"/>
    <w:rsid w:val="00C345FB"/>
    <w:rsid w:val="00C35011"/>
    <w:rsid w:val="00C35277"/>
    <w:rsid w:val="00C362BB"/>
    <w:rsid w:val="00C3691E"/>
    <w:rsid w:val="00C376ED"/>
    <w:rsid w:val="00C41814"/>
    <w:rsid w:val="00C41EBF"/>
    <w:rsid w:val="00C421DF"/>
    <w:rsid w:val="00C42489"/>
    <w:rsid w:val="00C42CDA"/>
    <w:rsid w:val="00C440E6"/>
    <w:rsid w:val="00C45D34"/>
    <w:rsid w:val="00C46566"/>
    <w:rsid w:val="00C47330"/>
    <w:rsid w:val="00C474B3"/>
    <w:rsid w:val="00C4751E"/>
    <w:rsid w:val="00C47A93"/>
    <w:rsid w:val="00C50320"/>
    <w:rsid w:val="00C504DF"/>
    <w:rsid w:val="00C50617"/>
    <w:rsid w:val="00C50B8F"/>
    <w:rsid w:val="00C50CB9"/>
    <w:rsid w:val="00C5155D"/>
    <w:rsid w:val="00C51B51"/>
    <w:rsid w:val="00C51DAF"/>
    <w:rsid w:val="00C51EBB"/>
    <w:rsid w:val="00C524C1"/>
    <w:rsid w:val="00C524ED"/>
    <w:rsid w:val="00C52938"/>
    <w:rsid w:val="00C5298F"/>
    <w:rsid w:val="00C532EA"/>
    <w:rsid w:val="00C5591F"/>
    <w:rsid w:val="00C56202"/>
    <w:rsid w:val="00C563C8"/>
    <w:rsid w:val="00C56A0F"/>
    <w:rsid w:val="00C56E71"/>
    <w:rsid w:val="00C5728A"/>
    <w:rsid w:val="00C5778D"/>
    <w:rsid w:val="00C57A92"/>
    <w:rsid w:val="00C600A8"/>
    <w:rsid w:val="00C6125B"/>
    <w:rsid w:val="00C61C64"/>
    <w:rsid w:val="00C61E08"/>
    <w:rsid w:val="00C628E2"/>
    <w:rsid w:val="00C62B00"/>
    <w:rsid w:val="00C62D37"/>
    <w:rsid w:val="00C63479"/>
    <w:rsid w:val="00C6349B"/>
    <w:rsid w:val="00C63C89"/>
    <w:rsid w:val="00C65825"/>
    <w:rsid w:val="00C660DC"/>
    <w:rsid w:val="00C66396"/>
    <w:rsid w:val="00C668A3"/>
    <w:rsid w:val="00C66982"/>
    <w:rsid w:val="00C66DF1"/>
    <w:rsid w:val="00C67BC9"/>
    <w:rsid w:val="00C67CF1"/>
    <w:rsid w:val="00C70192"/>
    <w:rsid w:val="00C70331"/>
    <w:rsid w:val="00C70DE7"/>
    <w:rsid w:val="00C71398"/>
    <w:rsid w:val="00C71632"/>
    <w:rsid w:val="00C71FAC"/>
    <w:rsid w:val="00C72552"/>
    <w:rsid w:val="00C73038"/>
    <w:rsid w:val="00C74823"/>
    <w:rsid w:val="00C75161"/>
    <w:rsid w:val="00C761BF"/>
    <w:rsid w:val="00C76B44"/>
    <w:rsid w:val="00C76D5F"/>
    <w:rsid w:val="00C76EAE"/>
    <w:rsid w:val="00C800DE"/>
    <w:rsid w:val="00C8055F"/>
    <w:rsid w:val="00C80AE9"/>
    <w:rsid w:val="00C80C0F"/>
    <w:rsid w:val="00C81058"/>
    <w:rsid w:val="00C819F0"/>
    <w:rsid w:val="00C81E7B"/>
    <w:rsid w:val="00C82085"/>
    <w:rsid w:val="00C82263"/>
    <w:rsid w:val="00C823D8"/>
    <w:rsid w:val="00C82501"/>
    <w:rsid w:val="00C83135"/>
    <w:rsid w:val="00C83340"/>
    <w:rsid w:val="00C8390B"/>
    <w:rsid w:val="00C8491A"/>
    <w:rsid w:val="00C85060"/>
    <w:rsid w:val="00C85116"/>
    <w:rsid w:val="00C851E9"/>
    <w:rsid w:val="00C85843"/>
    <w:rsid w:val="00C85F65"/>
    <w:rsid w:val="00C865E7"/>
    <w:rsid w:val="00C86A01"/>
    <w:rsid w:val="00C87CC5"/>
    <w:rsid w:val="00C912AF"/>
    <w:rsid w:val="00C9149C"/>
    <w:rsid w:val="00C921EE"/>
    <w:rsid w:val="00C926C3"/>
    <w:rsid w:val="00C926F5"/>
    <w:rsid w:val="00C936CE"/>
    <w:rsid w:val="00C939C8"/>
    <w:rsid w:val="00C95537"/>
    <w:rsid w:val="00C956B9"/>
    <w:rsid w:val="00C97277"/>
    <w:rsid w:val="00C97589"/>
    <w:rsid w:val="00C97A68"/>
    <w:rsid w:val="00CA1268"/>
    <w:rsid w:val="00CA13E0"/>
    <w:rsid w:val="00CA1CF8"/>
    <w:rsid w:val="00CA286D"/>
    <w:rsid w:val="00CA427E"/>
    <w:rsid w:val="00CA43AB"/>
    <w:rsid w:val="00CA4E37"/>
    <w:rsid w:val="00CA5B8C"/>
    <w:rsid w:val="00CA6838"/>
    <w:rsid w:val="00CA75B8"/>
    <w:rsid w:val="00CA7725"/>
    <w:rsid w:val="00CA7B23"/>
    <w:rsid w:val="00CA7CF1"/>
    <w:rsid w:val="00CB1189"/>
    <w:rsid w:val="00CB17BC"/>
    <w:rsid w:val="00CB31A1"/>
    <w:rsid w:val="00CB34D6"/>
    <w:rsid w:val="00CB4F07"/>
    <w:rsid w:val="00CB4FC8"/>
    <w:rsid w:val="00CB5872"/>
    <w:rsid w:val="00CB5A28"/>
    <w:rsid w:val="00CB6E62"/>
    <w:rsid w:val="00CB733B"/>
    <w:rsid w:val="00CB735F"/>
    <w:rsid w:val="00CB7DBF"/>
    <w:rsid w:val="00CB7F80"/>
    <w:rsid w:val="00CC035C"/>
    <w:rsid w:val="00CC0959"/>
    <w:rsid w:val="00CC12EC"/>
    <w:rsid w:val="00CC15D1"/>
    <w:rsid w:val="00CC15E1"/>
    <w:rsid w:val="00CC2997"/>
    <w:rsid w:val="00CC3C91"/>
    <w:rsid w:val="00CC5150"/>
    <w:rsid w:val="00CC709E"/>
    <w:rsid w:val="00CC70EE"/>
    <w:rsid w:val="00CC7515"/>
    <w:rsid w:val="00CC757F"/>
    <w:rsid w:val="00CC7765"/>
    <w:rsid w:val="00CC7B83"/>
    <w:rsid w:val="00CC7BFF"/>
    <w:rsid w:val="00CD142A"/>
    <w:rsid w:val="00CD1538"/>
    <w:rsid w:val="00CD24A1"/>
    <w:rsid w:val="00CD3067"/>
    <w:rsid w:val="00CD3D8C"/>
    <w:rsid w:val="00CD483F"/>
    <w:rsid w:val="00CD6CFD"/>
    <w:rsid w:val="00CD6F4B"/>
    <w:rsid w:val="00CD7505"/>
    <w:rsid w:val="00CE031F"/>
    <w:rsid w:val="00CE09DC"/>
    <w:rsid w:val="00CE1852"/>
    <w:rsid w:val="00CE19AC"/>
    <w:rsid w:val="00CE1C21"/>
    <w:rsid w:val="00CE1D6B"/>
    <w:rsid w:val="00CE2681"/>
    <w:rsid w:val="00CE27C9"/>
    <w:rsid w:val="00CE2BF7"/>
    <w:rsid w:val="00CE316C"/>
    <w:rsid w:val="00CE3F82"/>
    <w:rsid w:val="00CE46CB"/>
    <w:rsid w:val="00CE4DB6"/>
    <w:rsid w:val="00CE4E5F"/>
    <w:rsid w:val="00CE67AB"/>
    <w:rsid w:val="00CE6A81"/>
    <w:rsid w:val="00CE765C"/>
    <w:rsid w:val="00CE7D34"/>
    <w:rsid w:val="00CF04BF"/>
    <w:rsid w:val="00CF07E7"/>
    <w:rsid w:val="00CF0DD7"/>
    <w:rsid w:val="00CF1282"/>
    <w:rsid w:val="00CF2C4A"/>
    <w:rsid w:val="00CF310E"/>
    <w:rsid w:val="00CF37F3"/>
    <w:rsid w:val="00CF4027"/>
    <w:rsid w:val="00CF457F"/>
    <w:rsid w:val="00CF4777"/>
    <w:rsid w:val="00CF48D7"/>
    <w:rsid w:val="00CF4B50"/>
    <w:rsid w:val="00CF4E06"/>
    <w:rsid w:val="00CF4F45"/>
    <w:rsid w:val="00CF50DE"/>
    <w:rsid w:val="00CF58BB"/>
    <w:rsid w:val="00CF63A7"/>
    <w:rsid w:val="00CF6418"/>
    <w:rsid w:val="00CF6BB7"/>
    <w:rsid w:val="00CF73FE"/>
    <w:rsid w:val="00CF7FE9"/>
    <w:rsid w:val="00D0166A"/>
    <w:rsid w:val="00D01BD4"/>
    <w:rsid w:val="00D01C1F"/>
    <w:rsid w:val="00D036F3"/>
    <w:rsid w:val="00D038CA"/>
    <w:rsid w:val="00D03B2B"/>
    <w:rsid w:val="00D043EF"/>
    <w:rsid w:val="00D051A5"/>
    <w:rsid w:val="00D0670C"/>
    <w:rsid w:val="00D06EE2"/>
    <w:rsid w:val="00D0704F"/>
    <w:rsid w:val="00D074D0"/>
    <w:rsid w:val="00D07973"/>
    <w:rsid w:val="00D07BB1"/>
    <w:rsid w:val="00D07BED"/>
    <w:rsid w:val="00D07F4E"/>
    <w:rsid w:val="00D1005D"/>
    <w:rsid w:val="00D1037A"/>
    <w:rsid w:val="00D103AF"/>
    <w:rsid w:val="00D10C0F"/>
    <w:rsid w:val="00D11070"/>
    <w:rsid w:val="00D11D4D"/>
    <w:rsid w:val="00D130AF"/>
    <w:rsid w:val="00D13387"/>
    <w:rsid w:val="00D1357D"/>
    <w:rsid w:val="00D13AF0"/>
    <w:rsid w:val="00D14DFA"/>
    <w:rsid w:val="00D163DB"/>
    <w:rsid w:val="00D1662C"/>
    <w:rsid w:val="00D167D7"/>
    <w:rsid w:val="00D16EF8"/>
    <w:rsid w:val="00D1742B"/>
    <w:rsid w:val="00D175CB"/>
    <w:rsid w:val="00D20295"/>
    <w:rsid w:val="00D209C2"/>
    <w:rsid w:val="00D2165E"/>
    <w:rsid w:val="00D2301F"/>
    <w:rsid w:val="00D24093"/>
    <w:rsid w:val="00D24646"/>
    <w:rsid w:val="00D248EE"/>
    <w:rsid w:val="00D24D3E"/>
    <w:rsid w:val="00D250EE"/>
    <w:rsid w:val="00D256CC"/>
    <w:rsid w:val="00D27703"/>
    <w:rsid w:val="00D277D2"/>
    <w:rsid w:val="00D27985"/>
    <w:rsid w:val="00D27B62"/>
    <w:rsid w:val="00D304D3"/>
    <w:rsid w:val="00D30A96"/>
    <w:rsid w:val="00D30C67"/>
    <w:rsid w:val="00D30F0E"/>
    <w:rsid w:val="00D31951"/>
    <w:rsid w:val="00D329DB"/>
    <w:rsid w:val="00D329F6"/>
    <w:rsid w:val="00D337A2"/>
    <w:rsid w:val="00D33F11"/>
    <w:rsid w:val="00D34739"/>
    <w:rsid w:val="00D34880"/>
    <w:rsid w:val="00D35138"/>
    <w:rsid w:val="00D35807"/>
    <w:rsid w:val="00D367FB"/>
    <w:rsid w:val="00D36B8F"/>
    <w:rsid w:val="00D37130"/>
    <w:rsid w:val="00D37AEC"/>
    <w:rsid w:val="00D401E5"/>
    <w:rsid w:val="00D4097A"/>
    <w:rsid w:val="00D41AB3"/>
    <w:rsid w:val="00D42926"/>
    <w:rsid w:val="00D44C8C"/>
    <w:rsid w:val="00D44F34"/>
    <w:rsid w:val="00D45035"/>
    <w:rsid w:val="00D458FC"/>
    <w:rsid w:val="00D468E6"/>
    <w:rsid w:val="00D4775D"/>
    <w:rsid w:val="00D50031"/>
    <w:rsid w:val="00D51865"/>
    <w:rsid w:val="00D52685"/>
    <w:rsid w:val="00D527A3"/>
    <w:rsid w:val="00D52C1A"/>
    <w:rsid w:val="00D536CD"/>
    <w:rsid w:val="00D54415"/>
    <w:rsid w:val="00D550B1"/>
    <w:rsid w:val="00D55F47"/>
    <w:rsid w:val="00D568CF"/>
    <w:rsid w:val="00D573A3"/>
    <w:rsid w:val="00D57634"/>
    <w:rsid w:val="00D57990"/>
    <w:rsid w:val="00D6070A"/>
    <w:rsid w:val="00D61BDE"/>
    <w:rsid w:val="00D62C39"/>
    <w:rsid w:val="00D62FD0"/>
    <w:rsid w:val="00D631A4"/>
    <w:rsid w:val="00D65525"/>
    <w:rsid w:val="00D65999"/>
    <w:rsid w:val="00D65D44"/>
    <w:rsid w:val="00D67EBD"/>
    <w:rsid w:val="00D704DE"/>
    <w:rsid w:val="00D7104A"/>
    <w:rsid w:val="00D7133D"/>
    <w:rsid w:val="00D71CE3"/>
    <w:rsid w:val="00D729E3"/>
    <w:rsid w:val="00D72DE1"/>
    <w:rsid w:val="00D734C5"/>
    <w:rsid w:val="00D739BC"/>
    <w:rsid w:val="00D73EF9"/>
    <w:rsid w:val="00D774CD"/>
    <w:rsid w:val="00D77520"/>
    <w:rsid w:val="00D77D82"/>
    <w:rsid w:val="00D801AF"/>
    <w:rsid w:val="00D8083B"/>
    <w:rsid w:val="00D80D2C"/>
    <w:rsid w:val="00D81A40"/>
    <w:rsid w:val="00D81BFA"/>
    <w:rsid w:val="00D81D2B"/>
    <w:rsid w:val="00D83226"/>
    <w:rsid w:val="00D838D9"/>
    <w:rsid w:val="00D83F7F"/>
    <w:rsid w:val="00D87D0B"/>
    <w:rsid w:val="00D90420"/>
    <w:rsid w:val="00D90A93"/>
    <w:rsid w:val="00D91132"/>
    <w:rsid w:val="00D91852"/>
    <w:rsid w:val="00D91AB2"/>
    <w:rsid w:val="00D91C3B"/>
    <w:rsid w:val="00D9274C"/>
    <w:rsid w:val="00D92AF5"/>
    <w:rsid w:val="00D92CA2"/>
    <w:rsid w:val="00D9696E"/>
    <w:rsid w:val="00D97189"/>
    <w:rsid w:val="00D97750"/>
    <w:rsid w:val="00D97B10"/>
    <w:rsid w:val="00D97C3C"/>
    <w:rsid w:val="00DA2AFA"/>
    <w:rsid w:val="00DA380C"/>
    <w:rsid w:val="00DA3A41"/>
    <w:rsid w:val="00DA42E3"/>
    <w:rsid w:val="00DA47B7"/>
    <w:rsid w:val="00DA4E9C"/>
    <w:rsid w:val="00DA5558"/>
    <w:rsid w:val="00DA5816"/>
    <w:rsid w:val="00DA6059"/>
    <w:rsid w:val="00DA6384"/>
    <w:rsid w:val="00DA707C"/>
    <w:rsid w:val="00DA725B"/>
    <w:rsid w:val="00DA730B"/>
    <w:rsid w:val="00DA7D72"/>
    <w:rsid w:val="00DA7FD0"/>
    <w:rsid w:val="00DB006B"/>
    <w:rsid w:val="00DB0749"/>
    <w:rsid w:val="00DB0AF1"/>
    <w:rsid w:val="00DB115D"/>
    <w:rsid w:val="00DB1FE8"/>
    <w:rsid w:val="00DB22E5"/>
    <w:rsid w:val="00DB3495"/>
    <w:rsid w:val="00DB3FFD"/>
    <w:rsid w:val="00DB4E01"/>
    <w:rsid w:val="00DB504C"/>
    <w:rsid w:val="00DB51B0"/>
    <w:rsid w:val="00DB5744"/>
    <w:rsid w:val="00DB640E"/>
    <w:rsid w:val="00DB6BC5"/>
    <w:rsid w:val="00DB6D43"/>
    <w:rsid w:val="00DC01C7"/>
    <w:rsid w:val="00DC1C40"/>
    <w:rsid w:val="00DC1CF0"/>
    <w:rsid w:val="00DC1EF6"/>
    <w:rsid w:val="00DC28FB"/>
    <w:rsid w:val="00DC2C91"/>
    <w:rsid w:val="00DC38F0"/>
    <w:rsid w:val="00DC4F19"/>
    <w:rsid w:val="00DC4FEA"/>
    <w:rsid w:val="00DC6F71"/>
    <w:rsid w:val="00DC6FA9"/>
    <w:rsid w:val="00DC7903"/>
    <w:rsid w:val="00DC7BD2"/>
    <w:rsid w:val="00DC7EAD"/>
    <w:rsid w:val="00DD041B"/>
    <w:rsid w:val="00DD140A"/>
    <w:rsid w:val="00DD2568"/>
    <w:rsid w:val="00DD2C66"/>
    <w:rsid w:val="00DD2EB3"/>
    <w:rsid w:val="00DD3ABF"/>
    <w:rsid w:val="00DD3B45"/>
    <w:rsid w:val="00DD465E"/>
    <w:rsid w:val="00DD5694"/>
    <w:rsid w:val="00DD5E7C"/>
    <w:rsid w:val="00DD5FB3"/>
    <w:rsid w:val="00DD7637"/>
    <w:rsid w:val="00DD78E0"/>
    <w:rsid w:val="00DE0368"/>
    <w:rsid w:val="00DE2768"/>
    <w:rsid w:val="00DE3780"/>
    <w:rsid w:val="00DE4555"/>
    <w:rsid w:val="00DE4F98"/>
    <w:rsid w:val="00DE6811"/>
    <w:rsid w:val="00DE6F01"/>
    <w:rsid w:val="00DE70DC"/>
    <w:rsid w:val="00DE71C8"/>
    <w:rsid w:val="00DE73BD"/>
    <w:rsid w:val="00DE7AAA"/>
    <w:rsid w:val="00DF007B"/>
    <w:rsid w:val="00DF31E6"/>
    <w:rsid w:val="00DF32B1"/>
    <w:rsid w:val="00DF342F"/>
    <w:rsid w:val="00DF34E3"/>
    <w:rsid w:val="00DF3987"/>
    <w:rsid w:val="00DF3D3A"/>
    <w:rsid w:val="00DF6440"/>
    <w:rsid w:val="00DF6623"/>
    <w:rsid w:val="00DF670F"/>
    <w:rsid w:val="00DF6D7F"/>
    <w:rsid w:val="00DF7205"/>
    <w:rsid w:val="00DF7302"/>
    <w:rsid w:val="00DF7E3E"/>
    <w:rsid w:val="00DF7FC3"/>
    <w:rsid w:val="00E01CFC"/>
    <w:rsid w:val="00E0235E"/>
    <w:rsid w:val="00E02652"/>
    <w:rsid w:val="00E02701"/>
    <w:rsid w:val="00E02EFB"/>
    <w:rsid w:val="00E03777"/>
    <w:rsid w:val="00E03D86"/>
    <w:rsid w:val="00E04C39"/>
    <w:rsid w:val="00E04C77"/>
    <w:rsid w:val="00E0575C"/>
    <w:rsid w:val="00E0578D"/>
    <w:rsid w:val="00E05B16"/>
    <w:rsid w:val="00E0609A"/>
    <w:rsid w:val="00E063EF"/>
    <w:rsid w:val="00E0667B"/>
    <w:rsid w:val="00E0761A"/>
    <w:rsid w:val="00E10AB1"/>
    <w:rsid w:val="00E11B5F"/>
    <w:rsid w:val="00E11B85"/>
    <w:rsid w:val="00E11E6E"/>
    <w:rsid w:val="00E12422"/>
    <w:rsid w:val="00E130E2"/>
    <w:rsid w:val="00E13639"/>
    <w:rsid w:val="00E137F6"/>
    <w:rsid w:val="00E13FE5"/>
    <w:rsid w:val="00E15857"/>
    <w:rsid w:val="00E15B45"/>
    <w:rsid w:val="00E15BAC"/>
    <w:rsid w:val="00E1690E"/>
    <w:rsid w:val="00E16EDD"/>
    <w:rsid w:val="00E17212"/>
    <w:rsid w:val="00E17EE0"/>
    <w:rsid w:val="00E20039"/>
    <w:rsid w:val="00E20577"/>
    <w:rsid w:val="00E20CEF"/>
    <w:rsid w:val="00E215A8"/>
    <w:rsid w:val="00E21DC5"/>
    <w:rsid w:val="00E23E23"/>
    <w:rsid w:val="00E2556A"/>
    <w:rsid w:val="00E25D3F"/>
    <w:rsid w:val="00E26292"/>
    <w:rsid w:val="00E266C0"/>
    <w:rsid w:val="00E26A8E"/>
    <w:rsid w:val="00E27205"/>
    <w:rsid w:val="00E27B7E"/>
    <w:rsid w:val="00E27B82"/>
    <w:rsid w:val="00E313CB"/>
    <w:rsid w:val="00E32131"/>
    <w:rsid w:val="00E3277B"/>
    <w:rsid w:val="00E327D4"/>
    <w:rsid w:val="00E32D4B"/>
    <w:rsid w:val="00E33BE9"/>
    <w:rsid w:val="00E3432A"/>
    <w:rsid w:val="00E355BB"/>
    <w:rsid w:val="00E3576F"/>
    <w:rsid w:val="00E35803"/>
    <w:rsid w:val="00E36214"/>
    <w:rsid w:val="00E3668A"/>
    <w:rsid w:val="00E40201"/>
    <w:rsid w:val="00E40DDE"/>
    <w:rsid w:val="00E410EE"/>
    <w:rsid w:val="00E415AF"/>
    <w:rsid w:val="00E4164B"/>
    <w:rsid w:val="00E41EF8"/>
    <w:rsid w:val="00E43236"/>
    <w:rsid w:val="00E432E9"/>
    <w:rsid w:val="00E43C6E"/>
    <w:rsid w:val="00E4447F"/>
    <w:rsid w:val="00E44C5B"/>
    <w:rsid w:val="00E44E01"/>
    <w:rsid w:val="00E45153"/>
    <w:rsid w:val="00E503B6"/>
    <w:rsid w:val="00E50FFB"/>
    <w:rsid w:val="00E51880"/>
    <w:rsid w:val="00E518E4"/>
    <w:rsid w:val="00E51FE2"/>
    <w:rsid w:val="00E52772"/>
    <w:rsid w:val="00E527FC"/>
    <w:rsid w:val="00E543E3"/>
    <w:rsid w:val="00E546AC"/>
    <w:rsid w:val="00E5490D"/>
    <w:rsid w:val="00E55E35"/>
    <w:rsid w:val="00E5702D"/>
    <w:rsid w:val="00E570A9"/>
    <w:rsid w:val="00E57687"/>
    <w:rsid w:val="00E577A6"/>
    <w:rsid w:val="00E60A70"/>
    <w:rsid w:val="00E60D64"/>
    <w:rsid w:val="00E60DD8"/>
    <w:rsid w:val="00E611F9"/>
    <w:rsid w:val="00E6183F"/>
    <w:rsid w:val="00E6211F"/>
    <w:rsid w:val="00E62CD1"/>
    <w:rsid w:val="00E63637"/>
    <w:rsid w:val="00E63D90"/>
    <w:rsid w:val="00E64088"/>
    <w:rsid w:val="00E64A5A"/>
    <w:rsid w:val="00E65029"/>
    <w:rsid w:val="00E65A68"/>
    <w:rsid w:val="00E66373"/>
    <w:rsid w:val="00E66FC8"/>
    <w:rsid w:val="00E679B5"/>
    <w:rsid w:val="00E679F1"/>
    <w:rsid w:val="00E71153"/>
    <w:rsid w:val="00E712C0"/>
    <w:rsid w:val="00E73035"/>
    <w:rsid w:val="00E7336F"/>
    <w:rsid w:val="00E73963"/>
    <w:rsid w:val="00E739BF"/>
    <w:rsid w:val="00E73B3F"/>
    <w:rsid w:val="00E74426"/>
    <w:rsid w:val="00E74FAA"/>
    <w:rsid w:val="00E753BB"/>
    <w:rsid w:val="00E75FC0"/>
    <w:rsid w:val="00E76386"/>
    <w:rsid w:val="00E7693D"/>
    <w:rsid w:val="00E76C96"/>
    <w:rsid w:val="00E77364"/>
    <w:rsid w:val="00E77698"/>
    <w:rsid w:val="00E80E5B"/>
    <w:rsid w:val="00E812AA"/>
    <w:rsid w:val="00E813B0"/>
    <w:rsid w:val="00E81B6A"/>
    <w:rsid w:val="00E81BFB"/>
    <w:rsid w:val="00E81C13"/>
    <w:rsid w:val="00E82560"/>
    <w:rsid w:val="00E829F5"/>
    <w:rsid w:val="00E82A0A"/>
    <w:rsid w:val="00E85261"/>
    <w:rsid w:val="00E853EA"/>
    <w:rsid w:val="00E856E8"/>
    <w:rsid w:val="00E85D92"/>
    <w:rsid w:val="00E86430"/>
    <w:rsid w:val="00E8670E"/>
    <w:rsid w:val="00E867FB"/>
    <w:rsid w:val="00E86ABE"/>
    <w:rsid w:val="00E87221"/>
    <w:rsid w:val="00E87A9C"/>
    <w:rsid w:val="00E87FDD"/>
    <w:rsid w:val="00E906B7"/>
    <w:rsid w:val="00E906C4"/>
    <w:rsid w:val="00E9097A"/>
    <w:rsid w:val="00E90D5C"/>
    <w:rsid w:val="00E91DB3"/>
    <w:rsid w:val="00E9224E"/>
    <w:rsid w:val="00E92A5E"/>
    <w:rsid w:val="00E932C1"/>
    <w:rsid w:val="00E94074"/>
    <w:rsid w:val="00E941E9"/>
    <w:rsid w:val="00E943FB"/>
    <w:rsid w:val="00E94A52"/>
    <w:rsid w:val="00E96F42"/>
    <w:rsid w:val="00E9765F"/>
    <w:rsid w:val="00EA0A9F"/>
    <w:rsid w:val="00EA1696"/>
    <w:rsid w:val="00EA17B8"/>
    <w:rsid w:val="00EA1811"/>
    <w:rsid w:val="00EA2553"/>
    <w:rsid w:val="00EA34A8"/>
    <w:rsid w:val="00EA37E9"/>
    <w:rsid w:val="00EA5568"/>
    <w:rsid w:val="00EA56CF"/>
    <w:rsid w:val="00EA5DD9"/>
    <w:rsid w:val="00EA6C73"/>
    <w:rsid w:val="00EA73F4"/>
    <w:rsid w:val="00EA7959"/>
    <w:rsid w:val="00EA7AA1"/>
    <w:rsid w:val="00EB0413"/>
    <w:rsid w:val="00EB100F"/>
    <w:rsid w:val="00EB13D9"/>
    <w:rsid w:val="00EB150C"/>
    <w:rsid w:val="00EB1AA0"/>
    <w:rsid w:val="00EB1CFC"/>
    <w:rsid w:val="00EB2FA1"/>
    <w:rsid w:val="00EB32C9"/>
    <w:rsid w:val="00EB3610"/>
    <w:rsid w:val="00EB404D"/>
    <w:rsid w:val="00EB4C9A"/>
    <w:rsid w:val="00EB4F67"/>
    <w:rsid w:val="00EB5643"/>
    <w:rsid w:val="00EB5C26"/>
    <w:rsid w:val="00EB644D"/>
    <w:rsid w:val="00EC115B"/>
    <w:rsid w:val="00EC24E2"/>
    <w:rsid w:val="00EC2B78"/>
    <w:rsid w:val="00EC40C5"/>
    <w:rsid w:val="00EC443C"/>
    <w:rsid w:val="00EC5028"/>
    <w:rsid w:val="00EC53D9"/>
    <w:rsid w:val="00EC65E0"/>
    <w:rsid w:val="00EC68B2"/>
    <w:rsid w:val="00EC6B3C"/>
    <w:rsid w:val="00ED0306"/>
    <w:rsid w:val="00ED0CE1"/>
    <w:rsid w:val="00ED1534"/>
    <w:rsid w:val="00ED2791"/>
    <w:rsid w:val="00ED2C64"/>
    <w:rsid w:val="00ED35D2"/>
    <w:rsid w:val="00ED36F7"/>
    <w:rsid w:val="00ED3922"/>
    <w:rsid w:val="00ED43F6"/>
    <w:rsid w:val="00ED49B4"/>
    <w:rsid w:val="00ED4D16"/>
    <w:rsid w:val="00ED63BB"/>
    <w:rsid w:val="00ED6E91"/>
    <w:rsid w:val="00ED6FB0"/>
    <w:rsid w:val="00EE096D"/>
    <w:rsid w:val="00EE15AF"/>
    <w:rsid w:val="00EE2942"/>
    <w:rsid w:val="00EE2A11"/>
    <w:rsid w:val="00EE2D7F"/>
    <w:rsid w:val="00EE4093"/>
    <w:rsid w:val="00EE45F0"/>
    <w:rsid w:val="00EE4626"/>
    <w:rsid w:val="00EE4AF9"/>
    <w:rsid w:val="00EE529C"/>
    <w:rsid w:val="00EE5468"/>
    <w:rsid w:val="00EE6F5B"/>
    <w:rsid w:val="00EE713E"/>
    <w:rsid w:val="00EE73EA"/>
    <w:rsid w:val="00EF1682"/>
    <w:rsid w:val="00EF1A6B"/>
    <w:rsid w:val="00EF2097"/>
    <w:rsid w:val="00EF2477"/>
    <w:rsid w:val="00EF29B6"/>
    <w:rsid w:val="00EF2CCD"/>
    <w:rsid w:val="00EF3998"/>
    <w:rsid w:val="00EF3AEE"/>
    <w:rsid w:val="00EF4007"/>
    <w:rsid w:val="00EF43E7"/>
    <w:rsid w:val="00EF462C"/>
    <w:rsid w:val="00EF469E"/>
    <w:rsid w:val="00EF5C1A"/>
    <w:rsid w:val="00EF5DFE"/>
    <w:rsid w:val="00EF6884"/>
    <w:rsid w:val="00EF7A7C"/>
    <w:rsid w:val="00F00F57"/>
    <w:rsid w:val="00F011E7"/>
    <w:rsid w:val="00F01DB2"/>
    <w:rsid w:val="00F01F43"/>
    <w:rsid w:val="00F026CE"/>
    <w:rsid w:val="00F02B85"/>
    <w:rsid w:val="00F02F89"/>
    <w:rsid w:val="00F03A5A"/>
    <w:rsid w:val="00F03AF5"/>
    <w:rsid w:val="00F04A63"/>
    <w:rsid w:val="00F058A1"/>
    <w:rsid w:val="00F05BAC"/>
    <w:rsid w:val="00F062BD"/>
    <w:rsid w:val="00F06907"/>
    <w:rsid w:val="00F07897"/>
    <w:rsid w:val="00F07EE6"/>
    <w:rsid w:val="00F113DA"/>
    <w:rsid w:val="00F11462"/>
    <w:rsid w:val="00F1230C"/>
    <w:rsid w:val="00F12B2F"/>
    <w:rsid w:val="00F12B51"/>
    <w:rsid w:val="00F132A5"/>
    <w:rsid w:val="00F135F7"/>
    <w:rsid w:val="00F13C4C"/>
    <w:rsid w:val="00F141F8"/>
    <w:rsid w:val="00F1613D"/>
    <w:rsid w:val="00F16404"/>
    <w:rsid w:val="00F170E2"/>
    <w:rsid w:val="00F17A8E"/>
    <w:rsid w:val="00F17AFE"/>
    <w:rsid w:val="00F17BB0"/>
    <w:rsid w:val="00F206F4"/>
    <w:rsid w:val="00F209E8"/>
    <w:rsid w:val="00F2104C"/>
    <w:rsid w:val="00F21187"/>
    <w:rsid w:val="00F21E9A"/>
    <w:rsid w:val="00F226BD"/>
    <w:rsid w:val="00F23DF5"/>
    <w:rsid w:val="00F2435C"/>
    <w:rsid w:val="00F244E8"/>
    <w:rsid w:val="00F247A7"/>
    <w:rsid w:val="00F256FF"/>
    <w:rsid w:val="00F266FF"/>
    <w:rsid w:val="00F27196"/>
    <w:rsid w:val="00F272F4"/>
    <w:rsid w:val="00F319B6"/>
    <w:rsid w:val="00F31CB0"/>
    <w:rsid w:val="00F32631"/>
    <w:rsid w:val="00F33380"/>
    <w:rsid w:val="00F33518"/>
    <w:rsid w:val="00F33F8C"/>
    <w:rsid w:val="00F34868"/>
    <w:rsid w:val="00F35C5B"/>
    <w:rsid w:val="00F369D0"/>
    <w:rsid w:val="00F37009"/>
    <w:rsid w:val="00F405A4"/>
    <w:rsid w:val="00F40B39"/>
    <w:rsid w:val="00F40C29"/>
    <w:rsid w:val="00F413C4"/>
    <w:rsid w:val="00F4144E"/>
    <w:rsid w:val="00F41892"/>
    <w:rsid w:val="00F418C0"/>
    <w:rsid w:val="00F41EE9"/>
    <w:rsid w:val="00F43B1C"/>
    <w:rsid w:val="00F43F57"/>
    <w:rsid w:val="00F44091"/>
    <w:rsid w:val="00F44466"/>
    <w:rsid w:val="00F4461A"/>
    <w:rsid w:val="00F447FD"/>
    <w:rsid w:val="00F44FB2"/>
    <w:rsid w:val="00F4501F"/>
    <w:rsid w:val="00F4557E"/>
    <w:rsid w:val="00F46464"/>
    <w:rsid w:val="00F472E7"/>
    <w:rsid w:val="00F50178"/>
    <w:rsid w:val="00F5117E"/>
    <w:rsid w:val="00F513C3"/>
    <w:rsid w:val="00F51802"/>
    <w:rsid w:val="00F53685"/>
    <w:rsid w:val="00F53EF5"/>
    <w:rsid w:val="00F54586"/>
    <w:rsid w:val="00F54CC6"/>
    <w:rsid w:val="00F5732A"/>
    <w:rsid w:val="00F57788"/>
    <w:rsid w:val="00F578BF"/>
    <w:rsid w:val="00F57D4F"/>
    <w:rsid w:val="00F57DE9"/>
    <w:rsid w:val="00F60AFC"/>
    <w:rsid w:val="00F6158E"/>
    <w:rsid w:val="00F61C3F"/>
    <w:rsid w:val="00F61C9B"/>
    <w:rsid w:val="00F61CF0"/>
    <w:rsid w:val="00F61DEF"/>
    <w:rsid w:val="00F61FDA"/>
    <w:rsid w:val="00F6216F"/>
    <w:rsid w:val="00F621C3"/>
    <w:rsid w:val="00F62539"/>
    <w:rsid w:val="00F625D8"/>
    <w:rsid w:val="00F6314B"/>
    <w:rsid w:val="00F6432C"/>
    <w:rsid w:val="00F643A2"/>
    <w:rsid w:val="00F6442B"/>
    <w:rsid w:val="00F6486F"/>
    <w:rsid w:val="00F65781"/>
    <w:rsid w:val="00F67261"/>
    <w:rsid w:val="00F67400"/>
    <w:rsid w:val="00F67A32"/>
    <w:rsid w:val="00F70DEC"/>
    <w:rsid w:val="00F728AD"/>
    <w:rsid w:val="00F74009"/>
    <w:rsid w:val="00F74147"/>
    <w:rsid w:val="00F75402"/>
    <w:rsid w:val="00F754A1"/>
    <w:rsid w:val="00F76DAA"/>
    <w:rsid w:val="00F80A5A"/>
    <w:rsid w:val="00F80EA2"/>
    <w:rsid w:val="00F80F1E"/>
    <w:rsid w:val="00F82A35"/>
    <w:rsid w:val="00F836DB"/>
    <w:rsid w:val="00F83C3E"/>
    <w:rsid w:val="00F83E91"/>
    <w:rsid w:val="00F84794"/>
    <w:rsid w:val="00F85209"/>
    <w:rsid w:val="00F8555C"/>
    <w:rsid w:val="00F86B13"/>
    <w:rsid w:val="00F87B04"/>
    <w:rsid w:val="00F87D01"/>
    <w:rsid w:val="00F902A5"/>
    <w:rsid w:val="00F91A2A"/>
    <w:rsid w:val="00F91B82"/>
    <w:rsid w:val="00F923FB"/>
    <w:rsid w:val="00F935DA"/>
    <w:rsid w:val="00F93736"/>
    <w:rsid w:val="00F937F4"/>
    <w:rsid w:val="00F93803"/>
    <w:rsid w:val="00F940D4"/>
    <w:rsid w:val="00F94831"/>
    <w:rsid w:val="00F94CC9"/>
    <w:rsid w:val="00F94D51"/>
    <w:rsid w:val="00F950E1"/>
    <w:rsid w:val="00F9552E"/>
    <w:rsid w:val="00F95671"/>
    <w:rsid w:val="00F95709"/>
    <w:rsid w:val="00F95DC4"/>
    <w:rsid w:val="00F96810"/>
    <w:rsid w:val="00F96E9E"/>
    <w:rsid w:val="00F9739B"/>
    <w:rsid w:val="00F97719"/>
    <w:rsid w:val="00FA05CC"/>
    <w:rsid w:val="00FA0632"/>
    <w:rsid w:val="00FA0DFB"/>
    <w:rsid w:val="00FA0E8D"/>
    <w:rsid w:val="00FA1BE3"/>
    <w:rsid w:val="00FA24A2"/>
    <w:rsid w:val="00FA3678"/>
    <w:rsid w:val="00FA3F59"/>
    <w:rsid w:val="00FA4914"/>
    <w:rsid w:val="00FA60CF"/>
    <w:rsid w:val="00FA67DA"/>
    <w:rsid w:val="00FA6B31"/>
    <w:rsid w:val="00FA7227"/>
    <w:rsid w:val="00FA7335"/>
    <w:rsid w:val="00FA760E"/>
    <w:rsid w:val="00FB04BF"/>
    <w:rsid w:val="00FB05F0"/>
    <w:rsid w:val="00FB0CD7"/>
    <w:rsid w:val="00FB1338"/>
    <w:rsid w:val="00FB2A79"/>
    <w:rsid w:val="00FB3036"/>
    <w:rsid w:val="00FB3B76"/>
    <w:rsid w:val="00FB3EF5"/>
    <w:rsid w:val="00FB5625"/>
    <w:rsid w:val="00FB56A6"/>
    <w:rsid w:val="00FB638B"/>
    <w:rsid w:val="00FB718F"/>
    <w:rsid w:val="00FB7498"/>
    <w:rsid w:val="00FC02A1"/>
    <w:rsid w:val="00FC02E7"/>
    <w:rsid w:val="00FC0589"/>
    <w:rsid w:val="00FC0C7D"/>
    <w:rsid w:val="00FC324C"/>
    <w:rsid w:val="00FC3BF7"/>
    <w:rsid w:val="00FC422A"/>
    <w:rsid w:val="00FC4B10"/>
    <w:rsid w:val="00FC5582"/>
    <w:rsid w:val="00FC5BFC"/>
    <w:rsid w:val="00FC6618"/>
    <w:rsid w:val="00FC6F1E"/>
    <w:rsid w:val="00FC749A"/>
    <w:rsid w:val="00FC759D"/>
    <w:rsid w:val="00FC76F5"/>
    <w:rsid w:val="00FC78A2"/>
    <w:rsid w:val="00FD0852"/>
    <w:rsid w:val="00FD0931"/>
    <w:rsid w:val="00FD22D6"/>
    <w:rsid w:val="00FD470C"/>
    <w:rsid w:val="00FD4D52"/>
    <w:rsid w:val="00FD4EB6"/>
    <w:rsid w:val="00FD508E"/>
    <w:rsid w:val="00FD5166"/>
    <w:rsid w:val="00FD59E8"/>
    <w:rsid w:val="00FD6E40"/>
    <w:rsid w:val="00FD7627"/>
    <w:rsid w:val="00FD7D80"/>
    <w:rsid w:val="00FD7D85"/>
    <w:rsid w:val="00FD7DA3"/>
    <w:rsid w:val="00FD7FB7"/>
    <w:rsid w:val="00FE0127"/>
    <w:rsid w:val="00FE0ECA"/>
    <w:rsid w:val="00FE1091"/>
    <w:rsid w:val="00FE1660"/>
    <w:rsid w:val="00FE228C"/>
    <w:rsid w:val="00FE2AF0"/>
    <w:rsid w:val="00FE364B"/>
    <w:rsid w:val="00FE3BE3"/>
    <w:rsid w:val="00FE41B6"/>
    <w:rsid w:val="00FE4D32"/>
    <w:rsid w:val="00FE5248"/>
    <w:rsid w:val="00FE55B5"/>
    <w:rsid w:val="00FE5C3F"/>
    <w:rsid w:val="00FE6FE6"/>
    <w:rsid w:val="00FE7177"/>
    <w:rsid w:val="00FF051B"/>
    <w:rsid w:val="00FF0763"/>
    <w:rsid w:val="00FF0EE2"/>
    <w:rsid w:val="00FF0F77"/>
    <w:rsid w:val="00FF1E15"/>
    <w:rsid w:val="00FF20DF"/>
    <w:rsid w:val="00FF28EC"/>
    <w:rsid w:val="00FF40FE"/>
    <w:rsid w:val="00FF4201"/>
    <w:rsid w:val="00FF46C2"/>
    <w:rsid w:val="00FF48FA"/>
    <w:rsid w:val="00FF49FB"/>
    <w:rsid w:val="00FF519B"/>
    <w:rsid w:val="00FF5695"/>
    <w:rsid w:val="00FF663D"/>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0730"/>
  <w15:docId w15:val="{71335A0F-A12A-47EF-B368-1250E10E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8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5C2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866941"/>
    <w:rPr>
      <w:sz w:val="20"/>
    </w:rPr>
  </w:style>
  <w:style w:type="character" w:customStyle="1" w:styleId="FootnoteTextChar">
    <w:name w:val="Footnote Text Char"/>
    <w:aliases w:val=" Char Char,Char Char"/>
    <w:basedOn w:val="DefaultParagraphFont"/>
    <w:link w:val="FootnoteText"/>
    <w:uiPriority w:val="99"/>
    <w:rsid w:val="00866941"/>
    <w:rPr>
      <w:sz w:val="20"/>
    </w:rPr>
  </w:style>
  <w:style w:type="character" w:styleId="FootnoteReference">
    <w:name w:val="footnote reference"/>
    <w:basedOn w:val="DefaultParagraphFont"/>
    <w:uiPriority w:val="99"/>
    <w:semiHidden/>
    <w:unhideWhenUsed/>
    <w:rsid w:val="00866941"/>
    <w:rPr>
      <w:vertAlign w:val="superscript"/>
    </w:rPr>
  </w:style>
  <w:style w:type="paragraph" w:styleId="Header">
    <w:name w:val="header"/>
    <w:basedOn w:val="Normal"/>
    <w:link w:val="HeaderChar"/>
    <w:uiPriority w:val="99"/>
    <w:unhideWhenUsed/>
    <w:rsid w:val="00D468E6"/>
    <w:pPr>
      <w:tabs>
        <w:tab w:val="center" w:pos="4513"/>
        <w:tab w:val="right" w:pos="9026"/>
      </w:tabs>
    </w:pPr>
  </w:style>
  <w:style w:type="character" w:customStyle="1" w:styleId="HeaderChar">
    <w:name w:val="Header Char"/>
    <w:basedOn w:val="DefaultParagraphFont"/>
    <w:link w:val="Header"/>
    <w:uiPriority w:val="99"/>
    <w:rsid w:val="00D468E6"/>
  </w:style>
  <w:style w:type="paragraph" w:styleId="Footer">
    <w:name w:val="footer"/>
    <w:basedOn w:val="Normal"/>
    <w:link w:val="FooterChar"/>
    <w:uiPriority w:val="99"/>
    <w:unhideWhenUsed/>
    <w:rsid w:val="00D468E6"/>
    <w:pPr>
      <w:tabs>
        <w:tab w:val="center" w:pos="4513"/>
        <w:tab w:val="right" w:pos="9026"/>
      </w:tabs>
    </w:pPr>
  </w:style>
  <w:style w:type="character" w:customStyle="1" w:styleId="FooterChar">
    <w:name w:val="Footer Char"/>
    <w:basedOn w:val="DefaultParagraphFont"/>
    <w:link w:val="Footer"/>
    <w:uiPriority w:val="99"/>
    <w:rsid w:val="00D468E6"/>
  </w:style>
  <w:style w:type="paragraph" w:styleId="NoSpacing">
    <w:name w:val="No Spacing"/>
    <w:link w:val="NoSpacingChar"/>
    <w:uiPriority w:val="1"/>
    <w:qFormat/>
    <w:rsid w:val="00D468E6"/>
    <w:pPr>
      <w:jc w:val="left"/>
    </w:pPr>
    <w:rPr>
      <w:rFonts w:asciiTheme="minorHAnsi" w:eastAsiaTheme="minorEastAsia" w:hAnsiTheme="minorHAnsi" w:cstheme="minorBidi"/>
      <w:szCs w:val="22"/>
      <w:lang w:val="en-US" w:eastAsia="ja-JP"/>
    </w:rPr>
  </w:style>
  <w:style w:type="character" w:customStyle="1" w:styleId="NoSpacingChar">
    <w:name w:val="No Spacing Char"/>
    <w:basedOn w:val="DefaultParagraphFont"/>
    <w:link w:val="NoSpacing"/>
    <w:uiPriority w:val="1"/>
    <w:rsid w:val="00D468E6"/>
    <w:rPr>
      <w:rFonts w:asciiTheme="minorHAnsi" w:eastAsiaTheme="minorEastAsia" w:hAnsiTheme="minorHAnsi" w:cstheme="minorBidi"/>
      <w:szCs w:val="22"/>
      <w:lang w:val="en-US" w:eastAsia="ja-JP"/>
    </w:rPr>
  </w:style>
  <w:style w:type="paragraph" w:styleId="BalloonText">
    <w:name w:val="Balloon Text"/>
    <w:basedOn w:val="Normal"/>
    <w:link w:val="BalloonTextChar"/>
    <w:uiPriority w:val="99"/>
    <w:semiHidden/>
    <w:unhideWhenUsed/>
    <w:rsid w:val="00F96E9E"/>
    <w:rPr>
      <w:rFonts w:ascii="Tahoma" w:hAnsi="Tahoma" w:cs="Tahoma"/>
      <w:sz w:val="16"/>
      <w:szCs w:val="16"/>
    </w:rPr>
  </w:style>
  <w:style w:type="character" w:customStyle="1" w:styleId="BalloonTextChar">
    <w:name w:val="Balloon Text Char"/>
    <w:basedOn w:val="DefaultParagraphFont"/>
    <w:link w:val="BalloonText"/>
    <w:uiPriority w:val="99"/>
    <w:semiHidden/>
    <w:rsid w:val="00F96E9E"/>
    <w:rPr>
      <w:rFonts w:ascii="Tahoma" w:hAnsi="Tahoma" w:cs="Tahoma"/>
      <w:sz w:val="16"/>
      <w:szCs w:val="16"/>
    </w:rPr>
  </w:style>
  <w:style w:type="paragraph" w:styleId="ListParagraph">
    <w:name w:val="List Paragraph"/>
    <w:basedOn w:val="Normal"/>
    <w:uiPriority w:val="34"/>
    <w:qFormat/>
    <w:rsid w:val="002E0AC4"/>
    <w:pPr>
      <w:ind w:left="720"/>
      <w:contextualSpacing/>
    </w:pPr>
  </w:style>
  <w:style w:type="character" w:styleId="Hyperlink">
    <w:name w:val="Hyperlink"/>
    <w:basedOn w:val="DefaultParagraphFont"/>
    <w:uiPriority w:val="99"/>
    <w:unhideWhenUsed/>
    <w:rsid w:val="00426E14"/>
    <w:rPr>
      <w:color w:val="0000FF" w:themeColor="hyperlink"/>
      <w:u w:val="single"/>
    </w:rPr>
  </w:style>
  <w:style w:type="character" w:styleId="FollowedHyperlink">
    <w:name w:val="FollowedHyperlink"/>
    <w:basedOn w:val="DefaultParagraphFont"/>
    <w:uiPriority w:val="99"/>
    <w:semiHidden/>
    <w:unhideWhenUsed/>
    <w:rsid w:val="000918C0"/>
    <w:rPr>
      <w:color w:val="800080" w:themeColor="followedHyperlink"/>
      <w:u w:val="single"/>
    </w:rPr>
  </w:style>
  <w:style w:type="character" w:customStyle="1" w:styleId="Heading1Char">
    <w:name w:val="Heading 1 Char"/>
    <w:basedOn w:val="DefaultParagraphFont"/>
    <w:link w:val="Heading1"/>
    <w:uiPriority w:val="9"/>
    <w:rsid w:val="000918C0"/>
    <w:rPr>
      <w:rFonts w:asciiTheme="majorHAnsi" w:eastAsiaTheme="majorEastAsia" w:hAnsiTheme="majorHAnsi" w:cstheme="majorBidi"/>
      <w:color w:val="365F91" w:themeColor="accent1" w:themeShade="BF"/>
      <w:sz w:val="32"/>
      <w:szCs w:val="32"/>
    </w:rPr>
  </w:style>
  <w:style w:type="paragraph" w:customStyle="1" w:styleId="Default">
    <w:name w:val="Default"/>
    <w:rsid w:val="00091289"/>
    <w:pPr>
      <w:autoSpaceDE w:val="0"/>
      <w:autoSpaceDN w:val="0"/>
      <w:adjustRightInd w:val="0"/>
      <w:jc w:val="left"/>
    </w:pPr>
    <w:rPr>
      <w:rFonts w:ascii="Times New Roman" w:hAnsi="Times New Roman" w:cs="Times New Roman"/>
      <w:color w:val="000000"/>
      <w:sz w:val="24"/>
      <w:szCs w:val="24"/>
    </w:rPr>
  </w:style>
  <w:style w:type="character" w:styleId="CommentReference">
    <w:name w:val="annotation reference"/>
    <w:semiHidden/>
    <w:rsid w:val="00EC68B2"/>
    <w:rPr>
      <w:sz w:val="16"/>
    </w:rPr>
  </w:style>
  <w:style w:type="paragraph" w:styleId="CommentText">
    <w:name w:val="annotation text"/>
    <w:basedOn w:val="Normal"/>
    <w:link w:val="CommentTextChar"/>
    <w:uiPriority w:val="99"/>
    <w:semiHidden/>
    <w:unhideWhenUsed/>
    <w:rsid w:val="00EC68B2"/>
    <w:pPr>
      <w:jc w:val="left"/>
    </w:pPr>
    <w:rPr>
      <w:rFonts w:ascii="Times New Roman" w:eastAsia="Times New Roman" w:hAnsi="Times New Roman" w:cs="Times New Roman"/>
      <w:sz w:val="20"/>
      <w:lang w:val="en-US"/>
    </w:rPr>
  </w:style>
  <w:style w:type="character" w:customStyle="1" w:styleId="CommentTextChar">
    <w:name w:val="Comment Text Char"/>
    <w:basedOn w:val="DefaultParagraphFont"/>
    <w:link w:val="CommentText"/>
    <w:uiPriority w:val="99"/>
    <w:semiHidden/>
    <w:rsid w:val="00EC68B2"/>
    <w:rPr>
      <w:rFonts w:ascii="Times New Roman" w:eastAsia="Times New Roman" w:hAnsi="Times New Roman" w:cs="Times New Roman"/>
      <w:sz w:val="20"/>
      <w:lang w:val="en-US"/>
    </w:rPr>
  </w:style>
  <w:style w:type="character" w:customStyle="1" w:styleId="e24kjd">
    <w:name w:val="e24kjd"/>
    <w:basedOn w:val="DefaultParagraphFont"/>
    <w:rsid w:val="00245CFA"/>
  </w:style>
  <w:style w:type="character" w:customStyle="1" w:styleId="st1">
    <w:name w:val="st1"/>
    <w:basedOn w:val="DefaultParagraphFont"/>
    <w:rsid w:val="00AF6055"/>
  </w:style>
  <w:style w:type="paragraph" w:styleId="CommentSubject">
    <w:name w:val="annotation subject"/>
    <w:basedOn w:val="CommentText"/>
    <w:next w:val="CommentText"/>
    <w:link w:val="CommentSubjectChar"/>
    <w:uiPriority w:val="99"/>
    <w:semiHidden/>
    <w:unhideWhenUsed/>
    <w:rsid w:val="00B92D2C"/>
    <w:pPr>
      <w:jc w:val="both"/>
    </w:pPr>
    <w:rPr>
      <w:rFonts w:ascii="Calibri" w:eastAsiaTheme="minorHAnsi" w:hAnsi="Calibri" w:cs="Calibri"/>
      <w:b/>
      <w:bCs/>
      <w:lang w:val="en-GB"/>
    </w:rPr>
  </w:style>
  <w:style w:type="character" w:customStyle="1" w:styleId="CommentSubjectChar">
    <w:name w:val="Comment Subject Char"/>
    <w:basedOn w:val="CommentTextChar"/>
    <w:link w:val="CommentSubject"/>
    <w:uiPriority w:val="99"/>
    <w:semiHidden/>
    <w:rsid w:val="00B92D2C"/>
    <w:rPr>
      <w:rFonts w:ascii="Times New Roman" w:eastAsia="Times New Roman" w:hAnsi="Times New Roman" w:cs="Times New Roman"/>
      <w:b/>
      <w:bCs/>
      <w:sz w:val="20"/>
      <w:lang w:val="en-US"/>
    </w:rPr>
  </w:style>
  <w:style w:type="paragraph" w:styleId="NormalWeb">
    <w:name w:val="Normal (Web)"/>
    <w:basedOn w:val="Normal"/>
    <w:uiPriority w:val="99"/>
    <w:semiHidden/>
    <w:unhideWhenUsed/>
    <w:rsid w:val="00FF519B"/>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95C27"/>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95C27"/>
    <w:rPr>
      <w:i/>
      <w:iCs/>
    </w:rPr>
  </w:style>
  <w:style w:type="character" w:styleId="Strong">
    <w:name w:val="Strong"/>
    <w:basedOn w:val="DefaultParagraphFont"/>
    <w:uiPriority w:val="22"/>
    <w:qFormat/>
    <w:rsid w:val="007C2810"/>
    <w:rPr>
      <w:b/>
      <w:bCs/>
    </w:rPr>
  </w:style>
  <w:style w:type="table" w:styleId="TableGrid">
    <w:name w:val="Table Grid"/>
    <w:basedOn w:val="TableNormal"/>
    <w:uiPriority w:val="39"/>
    <w:rsid w:val="00D550B1"/>
    <w:pPr>
      <w:jc w:val="left"/>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4705">
      <w:bodyDiv w:val="1"/>
      <w:marLeft w:val="0"/>
      <w:marRight w:val="0"/>
      <w:marTop w:val="0"/>
      <w:marBottom w:val="0"/>
      <w:divBdr>
        <w:top w:val="none" w:sz="0" w:space="0" w:color="auto"/>
        <w:left w:val="none" w:sz="0" w:space="0" w:color="auto"/>
        <w:bottom w:val="none" w:sz="0" w:space="0" w:color="auto"/>
        <w:right w:val="none" w:sz="0" w:space="0" w:color="auto"/>
      </w:divBdr>
    </w:div>
    <w:div w:id="96684831">
      <w:bodyDiv w:val="1"/>
      <w:marLeft w:val="0"/>
      <w:marRight w:val="0"/>
      <w:marTop w:val="0"/>
      <w:marBottom w:val="0"/>
      <w:divBdr>
        <w:top w:val="none" w:sz="0" w:space="0" w:color="auto"/>
        <w:left w:val="none" w:sz="0" w:space="0" w:color="auto"/>
        <w:bottom w:val="none" w:sz="0" w:space="0" w:color="auto"/>
        <w:right w:val="none" w:sz="0" w:space="0" w:color="auto"/>
      </w:divBdr>
    </w:div>
    <w:div w:id="118689029">
      <w:bodyDiv w:val="1"/>
      <w:marLeft w:val="0"/>
      <w:marRight w:val="0"/>
      <w:marTop w:val="0"/>
      <w:marBottom w:val="0"/>
      <w:divBdr>
        <w:top w:val="none" w:sz="0" w:space="0" w:color="auto"/>
        <w:left w:val="none" w:sz="0" w:space="0" w:color="auto"/>
        <w:bottom w:val="none" w:sz="0" w:space="0" w:color="auto"/>
        <w:right w:val="none" w:sz="0" w:space="0" w:color="auto"/>
      </w:divBdr>
    </w:div>
    <w:div w:id="136412519">
      <w:bodyDiv w:val="1"/>
      <w:marLeft w:val="0"/>
      <w:marRight w:val="0"/>
      <w:marTop w:val="0"/>
      <w:marBottom w:val="0"/>
      <w:divBdr>
        <w:top w:val="none" w:sz="0" w:space="0" w:color="auto"/>
        <w:left w:val="none" w:sz="0" w:space="0" w:color="auto"/>
        <w:bottom w:val="none" w:sz="0" w:space="0" w:color="auto"/>
        <w:right w:val="none" w:sz="0" w:space="0" w:color="auto"/>
      </w:divBdr>
    </w:div>
    <w:div w:id="229538923">
      <w:bodyDiv w:val="1"/>
      <w:marLeft w:val="0"/>
      <w:marRight w:val="0"/>
      <w:marTop w:val="0"/>
      <w:marBottom w:val="0"/>
      <w:divBdr>
        <w:top w:val="none" w:sz="0" w:space="0" w:color="auto"/>
        <w:left w:val="none" w:sz="0" w:space="0" w:color="auto"/>
        <w:bottom w:val="none" w:sz="0" w:space="0" w:color="auto"/>
        <w:right w:val="none" w:sz="0" w:space="0" w:color="auto"/>
      </w:divBdr>
    </w:div>
    <w:div w:id="263148935">
      <w:bodyDiv w:val="1"/>
      <w:marLeft w:val="0"/>
      <w:marRight w:val="0"/>
      <w:marTop w:val="0"/>
      <w:marBottom w:val="0"/>
      <w:divBdr>
        <w:top w:val="none" w:sz="0" w:space="0" w:color="auto"/>
        <w:left w:val="none" w:sz="0" w:space="0" w:color="auto"/>
        <w:bottom w:val="none" w:sz="0" w:space="0" w:color="auto"/>
        <w:right w:val="none" w:sz="0" w:space="0" w:color="auto"/>
      </w:divBdr>
    </w:div>
    <w:div w:id="349140550">
      <w:bodyDiv w:val="1"/>
      <w:marLeft w:val="0"/>
      <w:marRight w:val="0"/>
      <w:marTop w:val="0"/>
      <w:marBottom w:val="0"/>
      <w:divBdr>
        <w:top w:val="none" w:sz="0" w:space="0" w:color="auto"/>
        <w:left w:val="none" w:sz="0" w:space="0" w:color="auto"/>
        <w:bottom w:val="none" w:sz="0" w:space="0" w:color="auto"/>
        <w:right w:val="none" w:sz="0" w:space="0" w:color="auto"/>
      </w:divBdr>
    </w:div>
    <w:div w:id="621155150">
      <w:bodyDiv w:val="1"/>
      <w:marLeft w:val="0"/>
      <w:marRight w:val="0"/>
      <w:marTop w:val="0"/>
      <w:marBottom w:val="0"/>
      <w:divBdr>
        <w:top w:val="none" w:sz="0" w:space="0" w:color="auto"/>
        <w:left w:val="none" w:sz="0" w:space="0" w:color="auto"/>
        <w:bottom w:val="none" w:sz="0" w:space="0" w:color="auto"/>
        <w:right w:val="none" w:sz="0" w:space="0" w:color="auto"/>
      </w:divBdr>
    </w:div>
    <w:div w:id="783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cog.org.uk/en/guidelines-research-services/guidelines/about-rcog-guidelines/" TargetMode="External"/><Relationship Id="rId3" Type="http://schemas.openxmlformats.org/officeDocument/2006/relationships/hyperlink" Target="http://www.bristol.ac.uk/law/people/omar-madhloom/pub/149327508" TargetMode="External"/><Relationship Id="rId7" Type="http://schemas.openxmlformats.org/officeDocument/2006/relationships/hyperlink" Target="https://en.wikipedia.org/wiki/Realization_(probability)" TargetMode="External"/><Relationship Id="rId2" Type="http://schemas.openxmlformats.org/officeDocument/2006/relationships/hyperlink" Target="http://eprints.ncrm.ac.uk/89/1/MethodsReviewPaperNCRM-005.pdf" TargetMode="External"/><Relationship Id="rId1" Type="http://schemas.openxmlformats.org/officeDocument/2006/relationships/hyperlink" Target="https://www.bbc.co.uk/news/health-51180944.%20" TargetMode="External"/><Relationship Id="rId6" Type="http://schemas.openxmlformats.org/officeDocument/2006/relationships/hyperlink" Target="https://resolution.nhs.uk/services/claims-management/" TargetMode="External"/><Relationship Id="rId11" Type="http://schemas.openxmlformats.org/officeDocument/2006/relationships/hyperlink" Target="https://www.theguardian.com/world/2020/jun/04/covid-19-lancet-retracts-paper-that-halted-hydroxychloroquine-trials" TargetMode="External"/><Relationship Id="rId5" Type="http://schemas.openxmlformats.org/officeDocument/2006/relationships/hyperlink" Target="https://www.legal500.com/books/l500/directory" TargetMode="External"/><Relationship Id="rId10" Type="http://schemas.openxmlformats.org/officeDocument/2006/relationships/hyperlink" Target="https://www.lawgazette.co.uk/news/jackson-backs-new-clinical-negligence-liability-test-to-allow-more-claims/5070323.article" TargetMode="External"/><Relationship Id="rId4" Type="http://schemas.openxmlformats.org/officeDocument/2006/relationships/hyperlink" Target="https://chambers.com" TargetMode="External"/><Relationship Id="rId9" Type="http://schemas.openxmlformats.org/officeDocument/2006/relationships/hyperlink" Target="https://www.nytimes.com/2010/10/21/opinion/21orsz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1" ma:contentTypeDescription="Create a new document." ma:contentTypeScope="" ma:versionID="8bf3c0aa52c1f2cf06f7a222b56dbf0e">
  <xsd:schema xmlns:xsd="http://www.w3.org/2001/XMLSchema" xmlns:xs="http://www.w3.org/2001/XMLSchema" xmlns:p="http://schemas.microsoft.com/office/2006/metadata/properties" xmlns:ns3="3a0543ac-cf94-484a-851f-ac59fbb78faf" xmlns:ns4="134222e4-838a-475a-b395-e98d755c8d58" targetNamespace="http://schemas.microsoft.com/office/2006/metadata/properties" ma:root="true" ma:fieldsID="bed8d0562a861191ed5e7dc531e15052" ns3:_="" ns4:_="">
    <xsd:import namespace="3a0543ac-cf94-484a-851f-ac59fbb78faf"/>
    <xsd:import namespace="134222e4-838a-475a-b395-e98d755c8d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D1F19-FD52-4FA8-8AB7-DC754B31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43ac-cf94-484a-851f-ac59fbb78faf"/>
    <ds:schemaRef ds:uri="134222e4-838a-475a-b395-e98d755c8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70CB-E520-4CEE-9A75-458488079D03}">
  <ds:schemaRefs>
    <ds:schemaRef ds:uri="http://schemas.microsoft.com/sharepoint/v3/contenttype/forms"/>
  </ds:schemaRefs>
</ds:datastoreItem>
</file>

<file path=customXml/itemProps3.xml><?xml version="1.0" encoding="utf-8"?>
<ds:datastoreItem xmlns:ds="http://schemas.openxmlformats.org/officeDocument/2006/customXml" ds:itemID="{DC0AEF79-C0AB-4C7B-BC87-0A388FD13A7E}">
  <ds:schemaRefs>
    <ds:schemaRef ds:uri="http://schemas.openxmlformats.org/officeDocument/2006/bibliography"/>
  </ds:schemaRefs>
</ds:datastoreItem>
</file>

<file path=customXml/itemProps4.xml><?xml version="1.0" encoding="utf-8"?>
<ds:datastoreItem xmlns:ds="http://schemas.openxmlformats.org/officeDocument/2006/customXml" ds:itemID="{5C75C6AE-0C62-4B45-BB97-C05D11CCC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10241</Words>
  <Characters>58380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68485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WRAGG, Judith</dc:creator>
  <cp:lastModifiedBy>Jo Samanta</cp:lastModifiedBy>
  <cp:revision>10</cp:revision>
  <cp:lastPrinted>2020-07-28T20:35:00Z</cp:lastPrinted>
  <dcterms:created xsi:type="dcterms:W3CDTF">2021-01-08T10:55:00Z</dcterms:created>
  <dcterms:modified xsi:type="dcterms:W3CDTF">2023-05-02T15:35:00Z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