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ADCD" w14:textId="59591A16" w:rsidR="009E0AFC" w:rsidRPr="0006559D" w:rsidRDefault="009E0AFC">
      <w:pPr>
        <w:rPr>
          <w:rFonts w:ascii="Arial" w:hAnsi="Arial" w:cs="Arial"/>
          <w:b/>
          <w:bCs/>
          <w:sz w:val="28"/>
          <w:szCs w:val="28"/>
        </w:rPr>
      </w:pPr>
      <w:r w:rsidRPr="0006559D">
        <w:rPr>
          <w:rFonts w:ascii="Arial" w:hAnsi="Arial" w:cs="Arial"/>
          <w:b/>
          <w:bCs/>
          <w:sz w:val="28"/>
          <w:szCs w:val="28"/>
        </w:rPr>
        <w:t xml:space="preserve">Patients experiences of </w:t>
      </w:r>
      <w:r w:rsidR="0006559D">
        <w:rPr>
          <w:rFonts w:ascii="Arial" w:hAnsi="Arial" w:cs="Arial"/>
          <w:b/>
          <w:bCs/>
          <w:sz w:val="28"/>
          <w:szCs w:val="28"/>
        </w:rPr>
        <w:t>P</w:t>
      </w:r>
      <w:r w:rsidRPr="0006559D">
        <w:rPr>
          <w:rFonts w:ascii="Arial" w:hAnsi="Arial" w:cs="Arial"/>
          <w:b/>
          <w:bCs/>
          <w:sz w:val="28"/>
          <w:szCs w:val="28"/>
        </w:rPr>
        <w:t xml:space="preserve">olymyalgia </w:t>
      </w:r>
      <w:r w:rsidR="0006559D">
        <w:rPr>
          <w:rFonts w:ascii="Arial" w:hAnsi="Arial" w:cs="Arial"/>
          <w:b/>
          <w:bCs/>
          <w:sz w:val="28"/>
          <w:szCs w:val="28"/>
        </w:rPr>
        <w:t>R</w:t>
      </w:r>
      <w:r w:rsidRPr="0006559D">
        <w:rPr>
          <w:rFonts w:ascii="Arial" w:hAnsi="Arial" w:cs="Arial"/>
          <w:b/>
          <w:bCs/>
          <w:sz w:val="28"/>
          <w:szCs w:val="28"/>
        </w:rPr>
        <w:t xml:space="preserve">heumatica: a </w:t>
      </w:r>
      <w:r w:rsidR="0006559D">
        <w:rPr>
          <w:rFonts w:ascii="Arial" w:hAnsi="Arial" w:cs="Arial"/>
          <w:b/>
          <w:bCs/>
          <w:sz w:val="28"/>
          <w:szCs w:val="28"/>
        </w:rPr>
        <w:t>Q</w:t>
      </w:r>
      <w:r w:rsidRPr="0006559D">
        <w:rPr>
          <w:rFonts w:ascii="Arial" w:hAnsi="Arial" w:cs="Arial"/>
          <w:b/>
          <w:bCs/>
          <w:sz w:val="28"/>
          <w:szCs w:val="28"/>
        </w:rPr>
        <w:t xml:space="preserve">ualitative </w:t>
      </w:r>
      <w:r w:rsidR="0006559D">
        <w:rPr>
          <w:rFonts w:ascii="Arial" w:hAnsi="Arial" w:cs="Arial"/>
          <w:b/>
          <w:bCs/>
          <w:sz w:val="28"/>
          <w:szCs w:val="28"/>
        </w:rPr>
        <w:t>L</w:t>
      </w:r>
      <w:r w:rsidRPr="0006559D">
        <w:rPr>
          <w:rFonts w:ascii="Arial" w:hAnsi="Arial" w:cs="Arial"/>
          <w:b/>
          <w:bCs/>
          <w:sz w:val="28"/>
          <w:szCs w:val="28"/>
        </w:rPr>
        <w:t xml:space="preserve">iterature </w:t>
      </w:r>
      <w:r w:rsidR="0006559D">
        <w:rPr>
          <w:rFonts w:ascii="Arial" w:hAnsi="Arial" w:cs="Arial"/>
          <w:b/>
          <w:bCs/>
          <w:sz w:val="28"/>
          <w:szCs w:val="28"/>
        </w:rPr>
        <w:t>Synthesis R</w:t>
      </w:r>
      <w:r w:rsidRPr="0006559D">
        <w:rPr>
          <w:rFonts w:ascii="Arial" w:hAnsi="Arial" w:cs="Arial"/>
          <w:b/>
          <w:bCs/>
          <w:sz w:val="28"/>
          <w:szCs w:val="28"/>
        </w:rPr>
        <w:t>eview</w:t>
      </w:r>
    </w:p>
    <w:p w14:paraId="07A11E0C" w14:textId="78A58F8D" w:rsidR="009E0AFC" w:rsidRDefault="009E0AFC">
      <w:r>
        <w:t>*M Yates</w:t>
      </w:r>
      <w:r w:rsidR="009856FF" w:rsidRPr="001460C0">
        <w:rPr>
          <w:vertAlign w:val="superscript"/>
        </w:rPr>
        <w:t>1&amp;2</w:t>
      </w:r>
      <w:r>
        <w:t>, J Mo</w:t>
      </w:r>
      <w:r w:rsidR="003C1041">
        <w:t>o</w:t>
      </w:r>
      <w:r>
        <w:t>ney</w:t>
      </w:r>
      <w:r w:rsidR="009856FF" w:rsidRPr="001460C0">
        <w:rPr>
          <w:vertAlign w:val="superscript"/>
        </w:rPr>
        <w:t>3</w:t>
      </w:r>
      <w:r>
        <w:t>, Owen CE</w:t>
      </w:r>
      <w:r w:rsidR="009856FF" w:rsidRPr="001460C0">
        <w:rPr>
          <w:vertAlign w:val="superscript"/>
        </w:rPr>
        <w:t>4&amp;5</w:t>
      </w:r>
      <w:r>
        <w:t>, Mackie SL</w:t>
      </w:r>
      <w:r w:rsidR="009856FF" w:rsidRPr="001460C0">
        <w:rPr>
          <w:vertAlign w:val="superscript"/>
        </w:rPr>
        <w:t>6&amp;7</w:t>
      </w:r>
      <w:r>
        <w:t>, Falzon L</w:t>
      </w:r>
      <w:r w:rsidR="009856FF" w:rsidRPr="001460C0">
        <w:rPr>
          <w:vertAlign w:val="superscript"/>
        </w:rPr>
        <w:t>8</w:t>
      </w:r>
      <w:r>
        <w:t>, Van der Mass A</w:t>
      </w:r>
      <w:r w:rsidR="009856FF" w:rsidRPr="001460C0">
        <w:rPr>
          <w:vertAlign w:val="superscript"/>
        </w:rPr>
        <w:t>9</w:t>
      </w:r>
      <w:r>
        <w:t>, Bolhuis T</w:t>
      </w:r>
      <w:r w:rsidR="009856FF" w:rsidRPr="001460C0">
        <w:rPr>
          <w:vertAlign w:val="superscript"/>
        </w:rPr>
        <w:t>9&amp;10</w:t>
      </w:r>
      <w:r>
        <w:t>, Bosch P</w:t>
      </w:r>
      <w:r w:rsidR="009856FF" w:rsidRPr="001460C0">
        <w:rPr>
          <w:vertAlign w:val="superscript"/>
        </w:rPr>
        <w:t>11</w:t>
      </w:r>
      <w:r>
        <w:t>, Dejaco C</w:t>
      </w:r>
      <w:r w:rsidR="009856FF" w:rsidRPr="001460C0">
        <w:rPr>
          <w:vertAlign w:val="superscript"/>
        </w:rPr>
        <w:t>11-13</w:t>
      </w:r>
      <w:r>
        <w:t>, McGee M</w:t>
      </w:r>
      <w:r w:rsidR="009856FF" w:rsidRPr="001460C0">
        <w:rPr>
          <w:vertAlign w:val="superscript"/>
        </w:rPr>
        <w:t>1</w:t>
      </w:r>
      <w:r>
        <w:t>.</w:t>
      </w:r>
    </w:p>
    <w:p w14:paraId="2230D6EF" w14:textId="4CF331F4" w:rsidR="009856FF" w:rsidRDefault="000E0425">
      <w:pPr>
        <w:rPr>
          <w:sz w:val="18"/>
          <w:szCs w:val="18"/>
        </w:rPr>
      </w:pPr>
      <w:r w:rsidRPr="001460C0">
        <w:rPr>
          <w:sz w:val="18"/>
          <w:szCs w:val="18"/>
          <w:vertAlign w:val="superscript"/>
        </w:rPr>
        <w:t>1</w:t>
      </w:r>
      <w:r>
        <w:rPr>
          <w:sz w:val="18"/>
          <w:szCs w:val="18"/>
        </w:rPr>
        <w:t>University of East Anglia</w:t>
      </w:r>
      <w:r w:rsidR="009E0AFC" w:rsidRPr="00581D3B">
        <w:rPr>
          <w:sz w:val="18"/>
          <w:szCs w:val="18"/>
        </w:rPr>
        <w:t xml:space="preserve">, </w:t>
      </w:r>
      <w:r w:rsidR="009856FF">
        <w:rPr>
          <w:sz w:val="18"/>
          <w:szCs w:val="18"/>
        </w:rPr>
        <w:t>UK</w:t>
      </w:r>
      <w:r w:rsidR="009E0AFC">
        <w:rPr>
          <w:sz w:val="18"/>
          <w:szCs w:val="18"/>
        </w:rPr>
        <w:t xml:space="preserve">, </w:t>
      </w:r>
    </w:p>
    <w:p w14:paraId="3FB794DE" w14:textId="0D7887F4" w:rsidR="009856FF" w:rsidRDefault="009856FF">
      <w:pPr>
        <w:rPr>
          <w:sz w:val="18"/>
          <w:szCs w:val="18"/>
        </w:rPr>
      </w:pPr>
      <w:r w:rsidRPr="001460C0">
        <w:rPr>
          <w:sz w:val="18"/>
          <w:szCs w:val="18"/>
          <w:vertAlign w:val="superscript"/>
        </w:rPr>
        <w:t>2</w:t>
      </w:r>
      <w:r w:rsidR="009E0AFC" w:rsidRPr="00581D3B">
        <w:rPr>
          <w:sz w:val="18"/>
          <w:szCs w:val="18"/>
        </w:rPr>
        <w:t xml:space="preserve">Norfolk and Norwich University Hospital, </w:t>
      </w:r>
      <w:r>
        <w:rPr>
          <w:sz w:val="18"/>
          <w:szCs w:val="18"/>
        </w:rPr>
        <w:t>UK</w:t>
      </w:r>
      <w:r w:rsidR="009E0AFC">
        <w:rPr>
          <w:sz w:val="18"/>
          <w:szCs w:val="18"/>
        </w:rPr>
        <w:t xml:space="preserve">, </w:t>
      </w:r>
    </w:p>
    <w:p w14:paraId="50B59052" w14:textId="77777777" w:rsidR="009856FF" w:rsidRDefault="009856FF">
      <w:pPr>
        <w:rPr>
          <w:sz w:val="18"/>
          <w:szCs w:val="18"/>
        </w:rPr>
      </w:pPr>
      <w:r w:rsidRPr="001460C0">
        <w:rPr>
          <w:sz w:val="18"/>
          <w:szCs w:val="18"/>
          <w:vertAlign w:val="superscript"/>
        </w:rPr>
        <w:t>3</w:t>
      </w:r>
      <w:r>
        <w:rPr>
          <w:sz w:val="18"/>
          <w:szCs w:val="18"/>
        </w:rPr>
        <w:t xml:space="preserve">University of Staffordshire, UK., </w:t>
      </w:r>
    </w:p>
    <w:p w14:paraId="08CF7F32" w14:textId="4C48F7E7" w:rsidR="009856FF" w:rsidRDefault="009856FF">
      <w:pPr>
        <w:rPr>
          <w:sz w:val="18"/>
          <w:szCs w:val="18"/>
        </w:rPr>
      </w:pPr>
      <w:r w:rsidRPr="001460C0">
        <w:rPr>
          <w:sz w:val="18"/>
          <w:szCs w:val="18"/>
          <w:vertAlign w:val="superscript"/>
        </w:rPr>
        <w:t>4</w:t>
      </w:r>
      <w:r w:rsidRPr="00581D3B">
        <w:rPr>
          <w:sz w:val="18"/>
          <w:szCs w:val="18"/>
          <w:lang w:val="en-AU"/>
        </w:rPr>
        <w:t>The University of Melbourne, Australia</w:t>
      </w:r>
      <w:r>
        <w:rPr>
          <w:sz w:val="18"/>
          <w:szCs w:val="18"/>
        </w:rPr>
        <w:t xml:space="preserve">, </w:t>
      </w:r>
    </w:p>
    <w:p w14:paraId="4EF8B788" w14:textId="79AD0769" w:rsidR="009856FF" w:rsidRDefault="009856FF">
      <w:pPr>
        <w:rPr>
          <w:sz w:val="18"/>
          <w:szCs w:val="18"/>
        </w:rPr>
      </w:pPr>
      <w:r w:rsidRPr="001460C0">
        <w:rPr>
          <w:sz w:val="18"/>
          <w:szCs w:val="18"/>
          <w:vertAlign w:val="superscript"/>
        </w:rPr>
        <w:t>5</w:t>
      </w:r>
      <w:r w:rsidRPr="00581D3B">
        <w:rPr>
          <w:sz w:val="18"/>
          <w:szCs w:val="18"/>
          <w:lang w:val="en-AU"/>
        </w:rPr>
        <w:t>Austin Health, Heidelberg, Australia</w:t>
      </w:r>
      <w:r>
        <w:rPr>
          <w:sz w:val="18"/>
          <w:szCs w:val="18"/>
          <w:lang w:val="en-AU"/>
        </w:rPr>
        <w:t>,</w:t>
      </w:r>
      <w:r w:rsidR="009E0AFC" w:rsidRPr="00581D3B">
        <w:rPr>
          <w:sz w:val="18"/>
          <w:szCs w:val="18"/>
        </w:rPr>
        <w:t xml:space="preserve"> </w:t>
      </w:r>
    </w:p>
    <w:p w14:paraId="0FDCEE96" w14:textId="650AD6B7" w:rsidR="009856FF" w:rsidRDefault="009856FF">
      <w:pPr>
        <w:rPr>
          <w:sz w:val="18"/>
          <w:szCs w:val="18"/>
        </w:rPr>
      </w:pPr>
      <w:r w:rsidRPr="001460C0">
        <w:rPr>
          <w:sz w:val="18"/>
          <w:szCs w:val="18"/>
          <w:vertAlign w:val="superscript"/>
        </w:rPr>
        <w:t>6</w:t>
      </w:r>
      <w:r w:rsidRPr="00581D3B">
        <w:rPr>
          <w:sz w:val="18"/>
          <w:szCs w:val="18"/>
        </w:rPr>
        <w:t>Leeds Teaching Hospitals</w:t>
      </w:r>
      <w:r w:rsidR="000E0425">
        <w:rPr>
          <w:sz w:val="18"/>
          <w:szCs w:val="18"/>
        </w:rPr>
        <w:t xml:space="preserve">, </w:t>
      </w:r>
      <w:r>
        <w:rPr>
          <w:sz w:val="18"/>
          <w:szCs w:val="18"/>
        </w:rPr>
        <w:t xml:space="preserve">UK, </w:t>
      </w:r>
    </w:p>
    <w:p w14:paraId="52278F04" w14:textId="0CB3B56B" w:rsidR="009856FF" w:rsidRDefault="009856FF">
      <w:pPr>
        <w:rPr>
          <w:sz w:val="18"/>
          <w:szCs w:val="18"/>
        </w:rPr>
      </w:pPr>
      <w:r w:rsidRPr="001460C0">
        <w:rPr>
          <w:sz w:val="18"/>
          <w:szCs w:val="18"/>
          <w:vertAlign w:val="superscript"/>
        </w:rPr>
        <w:t>7</w:t>
      </w:r>
      <w:r w:rsidRPr="00581D3B">
        <w:rPr>
          <w:sz w:val="18"/>
          <w:szCs w:val="18"/>
        </w:rPr>
        <w:t xml:space="preserve">Leeds Institute for Rheumatic and Musculoskeletal Medicine, </w:t>
      </w:r>
      <w:r>
        <w:rPr>
          <w:sz w:val="18"/>
          <w:szCs w:val="18"/>
        </w:rPr>
        <w:t xml:space="preserve">UK, </w:t>
      </w:r>
    </w:p>
    <w:p w14:paraId="53F44553" w14:textId="77777777" w:rsidR="009856FF" w:rsidRDefault="009856FF">
      <w:pPr>
        <w:rPr>
          <w:sz w:val="18"/>
          <w:szCs w:val="18"/>
        </w:rPr>
      </w:pPr>
      <w:r w:rsidRPr="001460C0">
        <w:rPr>
          <w:sz w:val="18"/>
          <w:szCs w:val="18"/>
          <w:vertAlign w:val="superscript"/>
        </w:rPr>
        <w:t>8</w:t>
      </w:r>
      <w:r>
        <w:rPr>
          <w:sz w:val="18"/>
          <w:szCs w:val="18"/>
        </w:rPr>
        <w:t xml:space="preserve">School of Health and Related Research, University of Sheffield, UK, </w:t>
      </w:r>
    </w:p>
    <w:p w14:paraId="70C875E2" w14:textId="1CE90278" w:rsidR="009856FF" w:rsidRPr="003C1041" w:rsidRDefault="009856FF">
      <w:pPr>
        <w:rPr>
          <w:sz w:val="18"/>
          <w:szCs w:val="18"/>
          <w:lang w:val="nl-NL"/>
        </w:rPr>
      </w:pPr>
      <w:r w:rsidRPr="003C1041">
        <w:rPr>
          <w:sz w:val="18"/>
          <w:szCs w:val="18"/>
          <w:vertAlign w:val="superscript"/>
          <w:lang w:val="nl-NL"/>
        </w:rPr>
        <w:t>9</w:t>
      </w:r>
      <w:r w:rsidRPr="003C1041">
        <w:rPr>
          <w:sz w:val="18"/>
          <w:szCs w:val="18"/>
          <w:lang w:val="nl-NL"/>
        </w:rPr>
        <w:t xml:space="preserve">DSint Maartenskliniek, Ubbergen, The Netherlands., </w:t>
      </w:r>
    </w:p>
    <w:p w14:paraId="460C3D9D" w14:textId="3C6DC8F2" w:rsidR="009856FF" w:rsidRDefault="009856FF">
      <w:pPr>
        <w:rPr>
          <w:sz w:val="18"/>
          <w:szCs w:val="18"/>
        </w:rPr>
      </w:pPr>
      <w:r w:rsidRPr="001460C0">
        <w:rPr>
          <w:sz w:val="18"/>
          <w:szCs w:val="18"/>
          <w:vertAlign w:val="superscript"/>
        </w:rPr>
        <w:t>10</w:t>
      </w:r>
      <w:r w:rsidRPr="00581D3B">
        <w:rPr>
          <w:sz w:val="18"/>
          <w:szCs w:val="18"/>
        </w:rPr>
        <w:t xml:space="preserve">Radboud university medical </w:t>
      </w:r>
      <w:proofErr w:type="spellStart"/>
      <w:r w:rsidRPr="00581D3B">
        <w:rPr>
          <w:sz w:val="18"/>
          <w:szCs w:val="18"/>
        </w:rPr>
        <w:t>center</w:t>
      </w:r>
      <w:proofErr w:type="spellEnd"/>
      <w:r w:rsidRPr="00581D3B">
        <w:rPr>
          <w:sz w:val="18"/>
          <w:szCs w:val="18"/>
        </w:rPr>
        <w:t>, Nijmegen, The Netherlands</w:t>
      </w:r>
      <w:r>
        <w:rPr>
          <w:sz w:val="18"/>
          <w:szCs w:val="18"/>
        </w:rPr>
        <w:t xml:space="preserve">,  </w:t>
      </w:r>
    </w:p>
    <w:p w14:paraId="6975461B" w14:textId="4679E485" w:rsidR="009856FF" w:rsidRDefault="009856FF">
      <w:pPr>
        <w:rPr>
          <w:sz w:val="18"/>
          <w:szCs w:val="18"/>
        </w:rPr>
      </w:pPr>
      <w:r w:rsidRPr="001460C0">
        <w:rPr>
          <w:sz w:val="18"/>
          <w:szCs w:val="18"/>
          <w:vertAlign w:val="superscript"/>
        </w:rPr>
        <w:t>11</w:t>
      </w:r>
      <w:r w:rsidRPr="00581D3B">
        <w:rPr>
          <w:sz w:val="18"/>
          <w:szCs w:val="18"/>
        </w:rPr>
        <w:t>Medical University of Graz, Graz, Austria.</w:t>
      </w:r>
    </w:p>
    <w:p w14:paraId="60F15FE7" w14:textId="40E790E5" w:rsidR="000E0425" w:rsidRPr="003C1041" w:rsidRDefault="000E0425">
      <w:pPr>
        <w:rPr>
          <w:sz w:val="18"/>
          <w:szCs w:val="18"/>
          <w:lang w:val="pt-PT"/>
        </w:rPr>
      </w:pPr>
      <w:r w:rsidRPr="003C1041">
        <w:rPr>
          <w:sz w:val="18"/>
          <w:szCs w:val="18"/>
          <w:vertAlign w:val="superscript"/>
          <w:lang w:val="pt-PT"/>
        </w:rPr>
        <w:t>12</w:t>
      </w:r>
      <w:r w:rsidR="009E0AFC" w:rsidRPr="003C1041">
        <w:rPr>
          <w:sz w:val="18"/>
          <w:szCs w:val="18"/>
          <w:lang w:val="pt-PT"/>
        </w:rPr>
        <w:t xml:space="preserve">Hospital </w:t>
      </w:r>
      <w:proofErr w:type="spellStart"/>
      <w:r w:rsidR="009E0AFC" w:rsidRPr="003C1041">
        <w:rPr>
          <w:sz w:val="18"/>
          <w:szCs w:val="18"/>
          <w:lang w:val="pt-PT"/>
        </w:rPr>
        <w:t>of</w:t>
      </w:r>
      <w:proofErr w:type="spellEnd"/>
      <w:r w:rsidR="009E0AFC" w:rsidRPr="003C1041">
        <w:rPr>
          <w:sz w:val="18"/>
          <w:szCs w:val="18"/>
          <w:lang w:val="pt-PT"/>
        </w:rPr>
        <w:t xml:space="preserve"> </w:t>
      </w:r>
      <w:proofErr w:type="spellStart"/>
      <w:r w:rsidR="009E0AFC" w:rsidRPr="003C1041">
        <w:rPr>
          <w:sz w:val="18"/>
          <w:szCs w:val="18"/>
          <w:lang w:val="pt-PT"/>
        </w:rPr>
        <w:t>Brunico</w:t>
      </w:r>
      <w:proofErr w:type="spellEnd"/>
      <w:r w:rsidR="009E0AFC" w:rsidRPr="003C1041">
        <w:rPr>
          <w:sz w:val="18"/>
          <w:szCs w:val="18"/>
          <w:lang w:val="pt-PT"/>
        </w:rPr>
        <w:t xml:space="preserve"> (SABES-ASDAA), </w:t>
      </w:r>
      <w:proofErr w:type="spellStart"/>
      <w:r w:rsidR="009E0AFC" w:rsidRPr="003C1041">
        <w:rPr>
          <w:sz w:val="18"/>
          <w:szCs w:val="18"/>
          <w:lang w:val="pt-PT"/>
        </w:rPr>
        <w:t>Italy</w:t>
      </w:r>
      <w:proofErr w:type="spellEnd"/>
      <w:r w:rsidRPr="003C1041">
        <w:rPr>
          <w:sz w:val="18"/>
          <w:szCs w:val="18"/>
          <w:lang w:val="pt-PT"/>
        </w:rPr>
        <w:t>,</w:t>
      </w:r>
    </w:p>
    <w:p w14:paraId="731E4292" w14:textId="49D2AF70" w:rsidR="000E0425" w:rsidRDefault="000E0425">
      <w:pPr>
        <w:rPr>
          <w:sz w:val="18"/>
          <w:szCs w:val="18"/>
        </w:rPr>
      </w:pPr>
      <w:r w:rsidRPr="001460C0">
        <w:rPr>
          <w:sz w:val="18"/>
          <w:szCs w:val="18"/>
          <w:vertAlign w:val="superscript"/>
        </w:rPr>
        <w:t>13</w:t>
      </w:r>
      <w:r w:rsidR="009E0AFC">
        <w:rPr>
          <w:sz w:val="18"/>
          <w:szCs w:val="18"/>
        </w:rPr>
        <w:t xml:space="preserve">Teaching Hospital of the Paracelsus Medical University, </w:t>
      </w:r>
      <w:proofErr w:type="spellStart"/>
      <w:r w:rsidR="009E0AFC" w:rsidRPr="00581D3B">
        <w:rPr>
          <w:sz w:val="18"/>
          <w:szCs w:val="18"/>
        </w:rPr>
        <w:t>Brunico</w:t>
      </w:r>
      <w:proofErr w:type="spellEnd"/>
      <w:r w:rsidR="009E0AFC" w:rsidRPr="00581D3B">
        <w:rPr>
          <w:sz w:val="18"/>
          <w:szCs w:val="18"/>
        </w:rPr>
        <w:t>, Italy</w:t>
      </w:r>
      <w:r w:rsidR="009E0AFC">
        <w:rPr>
          <w:sz w:val="18"/>
          <w:szCs w:val="18"/>
        </w:rPr>
        <w:t xml:space="preserve">, </w:t>
      </w:r>
    </w:p>
    <w:p w14:paraId="55C8088C" w14:textId="64B2EE24" w:rsidR="000E0425" w:rsidRPr="007C24CF" w:rsidRDefault="000E0425">
      <w:pPr>
        <w:rPr>
          <w:b/>
          <w:bCs/>
        </w:rPr>
      </w:pPr>
      <w:r w:rsidRPr="007C24CF">
        <w:rPr>
          <w:b/>
          <w:bCs/>
        </w:rPr>
        <w:t>Background</w:t>
      </w:r>
    </w:p>
    <w:p w14:paraId="25657E4B" w14:textId="3D278F39" w:rsidR="000E0425" w:rsidRPr="00B54B50" w:rsidRDefault="000E0425" w:rsidP="007C512B">
      <w:r w:rsidRPr="00B54B50">
        <w:t xml:space="preserve">Qualitative research is needed to better understand the concepts of remission and relapse in </w:t>
      </w:r>
      <w:r w:rsidR="007C24CF">
        <w:t>Polymyalgia Rheumatica (</w:t>
      </w:r>
      <w:r w:rsidRPr="00B54B50">
        <w:t>PMR</w:t>
      </w:r>
      <w:r w:rsidR="007C24CF">
        <w:t>)</w:t>
      </w:r>
      <w:r w:rsidR="007C512B">
        <w:t>. R</w:t>
      </w:r>
      <w:r w:rsidRPr="00B54B50">
        <w:t>emission, relapse, and disease activity have been defined heterogeneously in clinical studies</w:t>
      </w:r>
      <w:r>
        <w:t xml:space="preserve"> which exclude the patient view</w:t>
      </w:r>
      <w:r w:rsidR="007C512B">
        <w:t xml:space="preserve"> leading to a discrepancy </w:t>
      </w:r>
      <w:r w:rsidR="007C512B" w:rsidRPr="00B54B50">
        <w:t>between physician and patient perspectives when evaluating disease activity</w:t>
      </w:r>
      <w:r w:rsidR="007C512B">
        <w:t xml:space="preserve">. </w:t>
      </w:r>
    </w:p>
    <w:p w14:paraId="21B88E4F" w14:textId="40382A37" w:rsidR="000E0425" w:rsidRPr="007C24CF" w:rsidRDefault="000E0425">
      <w:pPr>
        <w:rPr>
          <w:b/>
          <w:bCs/>
        </w:rPr>
      </w:pPr>
      <w:r w:rsidRPr="007C24CF">
        <w:rPr>
          <w:b/>
          <w:bCs/>
        </w:rPr>
        <w:t>Aims</w:t>
      </w:r>
    </w:p>
    <w:p w14:paraId="45B85EB1" w14:textId="10D640E8" w:rsidR="000E0425" w:rsidRDefault="000E0425" w:rsidP="007C512B">
      <w:r w:rsidRPr="00077ED8">
        <w:t>The present work is part of a project of the PMR Working Group of Outcome Measures in Rheumatology (OMERACT), which is a global, volunteer-driven, non-profit research group aiming to improve outcome measures in rheumatic diseases.</w:t>
      </w:r>
      <w:r w:rsidR="007C512B">
        <w:t xml:space="preserve"> We carried out a synthesis of findings from multiple qualitative studies to provide a range and depth of meanings, experiences, and perspectives of participants across health-care contexts to explore the patient perspectives of disease activity in PMR.</w:t>
      </w:r>
    </w:p>
    <w:p w14:paraId="00DA7397" w14:textId="0684B3CA" w:rsidR="000E0425" w:rsidRPr="007C24CF" w:rsidRDefault="000E0425">
      <w:pPr>
        <w:rPr>
          <w:b/>
          <w:bCs/>
        </w:rPr>
      </w:pPr>
      <w:r w:rsidRPr="007C24CF">
        <w:rPr>
          <w:b/>
          <w:bCs/>
        </w:rPr>
        <w:t>Methods</w:t>
      </w:r>
    </w:p>
    <w:p w14:paraId="2BF20601" w14:textId="2FE36DD3" w:rsidR="007C512B" w:rsidRDefault="007C512B">
      <w:r>
        <w:t xml:space="preserve">A professional librarian carried out systematic search of the qualitative research literature across Ovid (Medline), EMBASE and CINAHL to identify studies of interest. Research </w:t>
      </w:r>
      <w:r w:rsidR="00B63B41">
        <w:t>s</w:t>
      </w:r>
      <w:r>
        <w:t xml:space="preserve">ynthesis was carried out in accordance </w:t>
      </w:r>
      <w:r w:rsidR="007C24CF">
        <w:t>with</w:t>
      </w:r>
      <w:r>
        <w:t xml:space="preserve"> the ENTERQ criteria</w:t>
      </w:r>
      <w:r w:rsidR="007C24CF">
        <w:t xml:space="preserve"> by three researchers with qualitative research experience. </w:t>
      </w:r>
    </w:p>
    <w:p w14:paraId="614C3E37" w14:textId="7C186BFB" w:rsidR="000E0425" w:rsidRPr="007C24CF" w:rsidRDefault="000E0425">
      <w:pPr>
        <w:rPr>
          <w:b/>
          <w:bCs/>
        </w:rPr>
      </w:pPr>
      <w:r w:rsidRPr="007C24CF">
        <w:rPr>
          <w:b/>
          <w:bCs/>
        </w:rPr>
        <w:t>Results</w:t>
      </w:r>
    </w:p>
    <w:p w14:paraId="4FF37588" w14:textId="63B2173D" w:rsidR="007C512B" w:rsidRDefault="007C512B">
      <w:r>
        <w:t xml:space="preserve">The search was carried out from </w:t>
      </w:r>
      <w:r w:rsidR="00B63B41">
        <w:t xml:space="preserve">each of </w:t>
      </w:r>
      <w:r>
        <w:t xml:space="preserve">the database point of inception to </w:t>
      </w:r>
      <w:r w:rsidR="0006559D">
        <w:t>19/10/2023</w:t>
      </w:r>
      <w:r w:rsidR="007C24CF">
        <w:t xml:space="preserve">. </w:t>
      </w:r>
      <w:r w:rsidR="0006559D">
        <w:t xml:space="preserve">Review of abstracts, and hand searching reference lists of manuscripts identified 12 studies of interest. </w:t>
      </w:r>
      <w:r w:rsidR="007C24CF">
        <w:t xml:space="preserve">There were three main over-arching ideas identified within the published work: 1. Pathway to diagnosis, 2. </w:t>
      </w:r>
      <w:r w:rsidR="007C24CF">
        <w:lastRenderedPageBreak/>
        <w:t xml:space="preserve">Managing uncertainty and 3. Challenges to everyday life. Within these three over-arching ideas there were sub-themes identified within the conceptual scaffold </w:t>
      </w:r>
      <w:r w:rsidR="00E84E0C">
        <w:t>which were underpinned with the expression of self and control. The domain of pathway diagnosis included making sense of the condition, normalisation of symptoms and struggles navigating care systems. Within the domain of manging uncertainty where the concepts of self and illness and the positive and negative effects of steroids. The Challenges to everyday life</w:t>
      </w:r>
      <w:r w:rsidR="00B63B41">
        <w:t xml:space="preserve"> domain</w:t>
      </w:r>
      <w:r w:rsidR="00E84E0C">
        <w:t xml:space="preserve"> comprised day to day living, adaptation and psycho-social burden of disease.  </w:t>
      </w:r>
    </w:p>
    <w:p w14:paraId="6D5CD308" w14:textId="3ABB023A" w:rsidR="000E0425" w:rsidRDefault="000E0425">
      <w:pPr>
        <w:rPr>
          <w:b/>
          <w:bCs/>
        </w:rPr>
      </w:pPr>
      <w:r w:rsidRPr="007C24CF">
        <w:rPr>
          <w:b/>
          <w:bCs/>
        </w:rPr>
        <w:t>Conclusion</w:t>
      </w:r>
    </w:p>
    <w:p w14:paraId="335140DD" w14:textId="7EE9A0BF" w:rsidR="00E84E0C" w:rsidRPr="00E84E0C" w:rsidRDefault="00E84E0C">
      <w:r>
        <w:t xml:space="preserve">This research synthesis of qualitative work on PMR has identified three over-arching domains providing a rich narrative of lived experience which point to why discrepancies </w:t>
      </w:r>
      <w:r w:rsidR="0006559D">
        <w:t>exist</w:t>
      </w:r>
      <w:r>
        <w:t xml:space="preserve"> within current physician</w:t>
      </w:r>
      <w:r w:rsidR="001B2F4F">
        <w:t>-</w:t>
      </w:r>
      <w:r>
        <w:t>focused de</w:t>
      </w:r>
      <w:r w:rsidR="0006559D">
        <w:t>finitions of remission and relapse.</w:t>
      </w:r>
    </w:p>
    <w:p w14:paraId="094D1CEE" w14:textId="6E5B90D4" w:rsidR="007C24CF" w:rsidRDefault="007C24CF">
      <w:pPr>
        <w:rPr>
          <w:b/>
          <w:bCs/>
        </w:rPr>
      </w:pPr>
    </w:p>
    <w:p w14:paraId="49D001F6" w14:textId="40D3956D" w:rsidR="007C24CF" w:rsidRDefault="007C24CF">
      <w:pPr>
        <w:rPr>
          <w:b/>
          <w:bCs/>
        </w:rPr>
      </w:pPr>
      <w:r>
        <w:rPr>
          <w:b/>
          <w:bCs/>
        </w:rPr>
        <w:t>Disclosure</w:t>
      </w:r>
    </w:p>
    <w:p w14:paraId="10184E91" w14:textId="52D9D75B" w:rsidR="007C24CF" w:rsidRPr="007C24CF" w:rsidRDefault="007C24CF">
      <w:r>
        <w:t>Nonspecific to this study.</w:t>
      </w:r>
    </w:p>
    <w:sectPr w:rsidR="007C24CF" w:rsidRPr="007C24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5AB0" w14:textId="77777777" w:rsidR="009E0AFC" w:rsidRDefault="009E0AFC" w:rsidP="009E0AFC">
      <w:pPr>
        <w:spacing w:after="0" w:line="240" w:lineRule="auto"/>
      </w:pPr>
      <w:r>
        <w:separator/>
      </w:r>
    </w:p>
  </w:endnote>
  <w:endnote w:type="continuationSeparator" w:id="0">
    <w:p w14:paraId="07FC5ADC" w14:textId="77777777" w:rsidR="009E0AFC" w:rsidRDefault="009E0AFC" w:rsidP="009E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8FDC" w14:textId="77777777" w:rsidR="009E0AFC" w:rsidRDefault="009E0AFC" w:rsidP="009E0AFC">
      <w:pPr>
        <w:spacing w:after="0" w:line="240" w:lineRule="auto"/>
      </w:pPr>
      <w:r>
        <w:separator/>
      </w:r>
    </w:p>
  </w:footnote>
  <w:footnote w:type="continuationSeparator" w:id="0">
    <w:p w14:paraId="0161BE33" w14:textId="77777777" w:rsidR="009E0AFC" w:rsidRDefault="009E0AFC" w:rsidP="009E0A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FC"/>
    <w:rsid w:val="0006559D"/>
    <w:rsid w:val="000E0425"/>
    <w:rsid w:val="001460C0"/>
    <w:rsid w:val="001B2F4F"/>
    <w:rsid w:val="00347061"/>
    <w:rsid w:val="003C1041"/>
    <w:rsid w:val="007C24CF"/>
    <w:rsid w:val="007C512B"/>
    <w:rsid w:val="009856FF"/>
    <w:rsid w:val="009E0AFC"/>
    <w:rsid w:val="00B63B41"/>
    <w:rsid w:val="00D061AD"/>
    <w:rsid w:val="00E84E0C"/>
    <w:rsid w:val="00FC35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BFE9"/>
  <w15:chartTrackingRefBased/>
  <w15:docId w15:val="{867FDE72-E869-4A1E-8E58-07B86E704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0AFC"/>
    <w:rPr>
      <w:b/>
      <w:bCs/>
    </w:rPr>
  </w:style>
  <w:style w:type="character" w:styleId="Emphasis">
    <w:name w:val="Emphasis"/>
    <w:basedOn w:val="DefaultParagraphFont"/>
    <w:uiPriority w:val="20"/>
    <w:qFormat/>
    <w:rsid w:val="009E0AFC"/>
    <w:rPr>
      <w:i/>
      <w:iCs/>
    </w:rPr>
  </w:style>
  <w:style w:type="character" w:styleId="Hyperlink">
    <w:name w:val="Hyperlink"/>
    <w:basedOn w:val="DefaultParagraphFont"/>
    <w:uiPriority w:val="99"/>
    <w:semiHidden/>
    <w:unhideWhenUsed/>
    <w:rsid w:val="009E0A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Yates (MED - Staff)</dc:creator>
  <cp:keywords/>
  <dc:description/>
  <cp:lastModifiedBy>Janice Mooney</cp:lastModifiedBy>
  <cp:revision>2</cp:revision>
  <dcterms:created xsi:type="dcterms:W3CDTF">2024-02-28T13:02:00Z</dcterms:created>
  <dcterms:modified xsi:type="dcterms:W3CDTF">2024-02-28T13:02:00Z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2129854713</vt:i4>
  </property>
  <property fmtid="{D5CDD505-2E9C-101B-9397-08002B2CF9AE}" pid="3" name="_NewReviewCycle">
    <vt:lpwstr/>
  </property>
  <property fmtid="{D5CDD505-2E9C-101B-9397-08002B2CF9AE}" pid="4" name="_EmailSubject">
    <vt:lpwstr>[Extern] AW: SLR Paper - PMR remission/relapse criteria</vt:lpwstr>
  </property>
  <property fmtid="{D5CDD505-2E9C-101B-9397-08002B2CF9AE}" pid="5" name="_AuthorEmail">
    <vt:lpwstr>M.Yates@uea.ac.uk</vt:lpwstr>
  </property>
  <property fmtid="{D5CDD505-2E9C-101B-9397-08002B2CF9AE}" pid="6" name="_AuthorEmailDisplayName">
    <vt:lpwstr>Max Yates (MED - Staff)</vt:lpwstr>
  </property>
  <property fmtid="{D5CDD505-2E9C-101B-9397-08002B2CF9AE}" pid="7" name="_ReviewingToolsShownOnce">
    <vt:lpwstr/>
  </property>
</Properties>
</file>