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00D21" w14:textId="77777777" w:rsidR="00DA0DB8" w:rsidRPr="00834545" w:rsidRDefault="00DA0DB8" w:rsidP="00837560">
      <w:pPr>
        <w:spacing w:after="0"/>
        <w:rPr>
          <w:rFonts w:cs="Arial"/>
          <w:b/>
          <w:sz w:val="24"/>
          <w:szCs w:val="24"/>
        </w:rPr>
      </w:pPr>
    </w:p>
    <w:p w14:paraId="301AF07C" w14:textId="77777777" w:rsidR="00027769" w:rsidRDefault="00027769" w:rsidP="00027769">
      <w:pPr>
        <w:pStyle w:val="Heading1"/>
      </w:pPr>
      <w:bookmarkStart w:id="0" w:name="_Toc133144149"/>
    </w:p>
    <w:p w14:paraId="724B29D0" w14:textId="77777777" w:rsidR="00027769" w:rsidRDefault="00027769" w:rsidP="00027769">
      <w:pPr>
        <w:pStyle w:val="Heading1"/>
      </w:pPr>
    </w:p>
    <w:p w14:paraId="6D746A3A" w14:textId="0FA01FF9" w:rsidR="00837560" w:rsidRPr="00027769" w:rsidRDefault="00837560" w:rsidP="00027769">
      <w:pPr>
        <w:spacing w:line="360" w:lineRule="auto"/>
        <w:jc w:val="center"/>
        <w:rPr>
          <w:b/>
        </w:rPr>
      </w:pPr>
      <w:r w:rsidRPr="00027769">
        <w:rPr>
          <w:b/>
        </w:rPr>
        <w:t xml:space="preserve">Psychological Factors associated with Somatisation </w:t>
      </w:r>
      <w:r w:rsidR="00FA1AA6">
        <w:rPr>
          <w:b/>
        </w:rPr>
        <w:t xml:space="preserve">and Seizure Frequency </w:t>
      </w:r>
      <w:r w:rsidR="00CC5E04">
        <w:rPr>
          <w:b/>
        </w:rPr>
        <w:t>in Seizure Conditions</w:t>
      </w:r>
      <w:r w:rsidRPr="00027769">
        <w:rPr>
          <w:b/>
        </w:rPr>
        <w:t xml:space="preserve">: </w:t>
      </w:r>
      <w:r w:rsidR="00CC5E04">
        <w:rPr>
          <w:b/>
        </w:rPr>
        <w:t xml:space="preserve">Comparing </w:t>
      </w:r>
      <w:r w:rsidRPr="00027769">
        <w:rPr>
          <w:b/>
        </w:rPr>
        <w:t xml:space="preserve">Intolerance of Uncertainty, Anxiety Sensitivity, Anxiety, and Depression </w:t>
      </w:r>
      <w:r w:rsidR="00CC5E04">
        <w:rPr>
          <w:b/>
        </w:rPr>
        <w:t>between</w:t>
      </w:r>
      <w:r w:rsidRPr="00027769">
        <w:rPr>
          <w:b/>
        </w:rPr>
        <w:t xml:space="preserve"> </w:t>
      </w:r>
      <w:bookmarkEnd w:id="0"/>
      <w:r w:rsidR="00CC5E04">
        <w:rPr>
          <w:b/>
        </w:rPr>
        <w:t>People with Epilepsy and Dissociative Seizures</w:t>
      </w:r>
    </w:p>
    <w:p w14:paraId="261C189A" w14:textId="77777777" w:rsidR="00DA0DB8" w:rsidRPr="00241C9E" w:rsidRDefault="00DA0DB8" w:rsidP="00DA0DB8">
      <w:pPr>
        <w:spacing w:after="0"/>
        <w:rPr>
          <w:rFonts w:cstheme="minorHAnsi"/>
        </w:rPr>
      </w:pPr>
    </w:p>
    <w:p w14:paraId="1EE88438" w14:textId="77777777" w:rsidR="00DA0DB8" w:rsidRPr="00241C9E" w:rsidRDefault="00DA0DB8" w:rsidP="00DA0DB8">
      <w:pPr>
        <w:spacing w:after="0"/>
        <w:jc w:val="center"/>
        <w:rPr>
          <w:rFonts w:cstheme="minorHAnsi"/>
        </w:rPr>
      </w:pPr>
    </w:p>
    <w:p w14:paraId="59251BA1" w14:textId="77777777" w:rsidR="00DA0DB8" w:rsidRPr="00241C9E" w:rsidRDefault="00DA0DB8" w:rsidP="00DA0DB8">
      <w:pPr>
        <w:spacing w:after="0"/>
        <w:jc w:val="center"/>
        <w:rPr>
          <w:rFonts w:cstheme="minorHAnsi"/>
        </w:rPr>
      </w:pPr>
    </w:p>
    <w:p w14:paraId="7D5C25AF" w14:textId="55D6BC1A" w:rsidR="00DA0DB8" w:rsidRPr="00241C9E" w:rsidRDefault="00DA0DB8" w:rsidP="00DA0DB8">
      <w:pPr>
        <w:spacing w:after="0"/>
        <w:rPr>
          <w:rFonts w:cstheme="minorHAnsi"/>
        </w:rPr>
      </w:pPr>
    </w:p>
    <w:p w14:paraId="531EA17C" w14:textId="77777777" w:rsidR="00DA0DB8" w:rsidRPr="00241C9E" w:rsidRDefault="00DA0DB8" w:rsidP="00DA0DB8">
      <w:pPr>
        <w:spacing w:after="0"/>
        <w:jc w:val="center"/>
        <w:rPr>
          <w:rFonts w:cstheme="minorHAnsi"/>
        </w:rPr>
      </w:pPr>
    </w:p>
    <w:p w14:paraId="5925F613" w14:textId="77777777" w:rsidR="00DA0DB8" w:rsidRPr="00241C9E" w:rsidRDefault="00DA0DB8" w:rsidP="00DA0DB8">
      <w:pPr>
        <w:spacing w:after="0"/>
        <w:jc w:val="center"/>
        <w:rPr>
          <w:rFonts w:cstheme="minorHAnsi"/>
        </w:rPr>
      </w:pPr>
    </w:p>
    <w:p w14:paraId="205E238D" w14:textId="77777777" w:rsidR="00DA0DB8" w:rsidRPr="00241C9E" w:rsidRDefault="00DA0DB8" w:rsidP="00436994">
      <w:pPr>
        <w:spacing w:after="0" w:line="360" w:lineRule="auto"/>
        <w:ind w:firstLine="720"/>
        <w:jc w:val="center"/>
        <w:rPr>
          <w:rFonts w:cstheme="minorHAnsi"/>
        </w:rPr>
      </w:pPr>
      <w:r w:rsidRPr="00241C9E">
        <w:rPr>
          <w:rFonts w:cstheme="minorHAnsi"/>
        </w:rPr>
        <w:t>James Rowland</w:t>
      </w:r>
    </w:p>
    <w:p w14:paraId="56869A3C" w14:textId="77777777" w:rsidR="00DA0DB8" w:rsidRPr="00241C9E" w:rsidRDefault="00DA0DB8" w:rsidP="00436994">
      <w:pPr>
        <w:spacing w:after="0" w:line="360" w:lineRule="auto"/>
        <w:ind w:firstLine="720"/>
        <w:rPr>
          <w:rFonts w:cstheme="minorHAnsi"/>
        </w:rPr>
      </w:pPr>
    </w:p>
    <w:p w14:paraId="6584A234" w14:textId="120BC386" w:rsidR="00DA0DB8" w:rsidRPr="00241C9E" w:rsidRDefault="00DA0DB8" w:rsidP="00436994">
      <w:pPr>
        <w:spacing w:after="0" w:line="360" w:lineRule="auto"/>
        <w:ind w:firstLine="720"/>
        <w:rPr>
          <w:rFonts w:cstheme="minorHAnsi"/>
        </w:rPr>
      </w:pPr>
    </w:p>
    <w:p w14:paraId="2C4F956F" w14:textId="77777777" w:rsidR="00DA0DB8" w:rsidRPr="00241C9E" w:rsidRDefault="00DA0DB8" w:rsidP="00436994">
      <w:pPr>
        <w:spacing w:after="0" w:line="360" w:lineRule="auto"/>
        <w:ind w:firstLine="720"/>
        <w:rPr>
          <w:rFonts w:cstheme="minorHAnsi"/>
        </w:rPr>
      </w:pPr>
    </w:p>
    <w:p w14:paraId="0424966C" w14:textId="77777777" w:rsidR="00DA0DB8" w:rsidRPr="00241C9E" w:rsidRDefault="00DA0DB8" w:rsidP="00436994">
      <w:pPr>
        <w:spacing w:after="0" w:line="360" w:lineRule="auto"/>
        <w:ind w:firstLine="720"/>
        <w:rPr>
          <w:rFonts w:cstheme="minorHAnsi"/>
        </w:rPr>
      </w:pPr>
    </w:p>
    <w:p w14:paraId="0AAB7193" w14:textId="77777777" w:rsidR="00DA0DB8" w:rsidRPr="00241C9E" w:rsidRDefault="00DA0DB8" w:rsidP="00436994">
      <w:pPr>
        <w:spacing w:after="0" w:line="360" w:lineRule="auto"/>
        <w:ind w:firstLine="720"/>
        <w:rPr>
          <w:rFonts w:cstheme="minorHAnsi"/>
        </w:rPr>
      </w:pPr>
    </w:p>
    <w:p w14:paraId="6E30BAB0" w14:textId="77777777" w:rsidR="00DA0DB8" w:rsidRPr="00241C9E" w:rsidRDefault="00DA0DB8" w:rsidP="00436994">
      <w:pPr>
        <w:spacing w:after="0" w:line="360" w:lineRule="auto"/>
        <w:ind w:firstLine="720"/>
        <w:jc w:val="center"/>
        <w:rPr>
          <w:rFonts w:cstheme="minorHAnsi"/>
        </w:rPr>
      </w:pPr>
      <w:r w:rsidRPr="00241C9E">
        <w:rPr>
          <w:rFonts w:cstheme="minorHAnsi"/>
        </w:rPr>
        <w:t>Thesis submitted in partial fulfilment of the requirements of Staffordshire University for the degree of Doctorate in Clinical Psychology</w:t>
      </w:r>
    </w:p>
    <w:p w14:paraId="5E76EB2C" w14:textId="77777777" w:rsidR="00DA0DB8" w:rsidRPr="00241C9E" w:rsidRDefault="00DA0DB8" w:rsidP="00436994">
      <w:pPr>
        <w:spacing w:after="0" w:line="360" w:lineRule="auto"/>
        <w:ind w:firstLine="720"/>
        <w:jc w:val="center"/>
        <w:rPr>
          <w:rFonts w:cstheme="minorHAnsi"/>
        </w:rPr>
      </w:pPr>
    </w:p>
    <w:p w14:paraId="1328CCEE" w14:textId="77777777" w:rsidR="00DA0DB8" w:rsidRPr="00241C9E" w:rsidRDefault="00DA0DB8" w:rsidP="00436994">
      <w:pPr>
        <w:spacing w:after="0" w:line="360" w:lineRule="auto"/>
        <w:ind w:firstLine="720"/>
        <w:jc w:val="center"/>
        <w:rPr>
          <w:rFonts w:cstheme="minorHAnsi"/>
        </w:rPr>
      </w:pPr>
    </w:p>
    <w:p w14:paraId="1F4A870D" w14:textId="77777777" w:rsidR="00DA0DB8" w:rsidRPr="00241C9E" w:rsidRDefault="00DA0DB8" w:rsidP="00436994">
      <w:pPr>
        <w:spacing w:after="0" w:line="360" w:lineRule="auto"/>
        <w:ind w:firstLine="720"/>
        <w:jc w:val="center"/>
        <w:rPr>
          <w:rFonts w:cstheme="minorHAnsi"/>
        </w:rPr>
      </w:pPr>
    </w:p>
    <w:p w14:paraId="092BC73B" w14:textId="77777777" w:rsidR="00DA0DB8" w:rsidRPr="00241C9E" w:rsidRDefault="00DA0DB8" w:rsidP="00436994">
      <w:pPr>
        <w:spacing w:after="0" w:line="360" w:lineRule="auto"/>
        <w:ind w:firstLine="720"/>
        <w:jc w:val="center"/>
        <w:rPr>
          <w:rFonts w:cstheme="minorHAnsi"/>
        </w:rPr>
      </w:pPr>
    </w:p>
    <w:p w14:paraId="6F86DD2D" w14:textId="77777777" w:rsidR="00DA0DB8" w:rsidRPr="00241C9E" w:rsidRDefault="00DA0DB8" w:rsidP="00436994">
      <w:pPr>
        <w:spacing w:after="0" w:line="360" w:lineRule="auto"/>
        <w:ind w:firstLine="720"/>
        <w:jc w:val="center"/>
        <w:rPr>
          <w:rFonts w:cstheme="minorHAnsi"/>
        </w:rPr>
      </w:pPr>
      <w:r w:rsidRPr="00241C9E">
        <w:rPr>
          <w:rFonts w:cstheme="minorHAnsi"/>
        </w:rPr>
        <w:t>April 2023</w:t>
      </w:r>
    </w:p>
    <w:p w14:paraId="23DFF0C6" w14:textId="77777777" w:rsidR="00DA0DB8" w:rsidRPr="00241C9E" w:rsidRDefault="00DA0DB8" w:rsidP="00436994">
      <w:pPr>
        <w:spacing w:after="0" w:line="360" w:lineRule="auto"/>
        <w:ind w:firstLine="720"/>
        <w:jc w:val="center"/>
        <w:rPr>
          <w:rFonts w:cstheme="minorHAnsi"/>
        </w:rPr>
      </w:pPr>
    </w:p>
    <w:p w14:paraId="6124A548" w14:textId="77777777" w:rsidR="00DA0DB8" w:rsidRPr="00241C9E" w:rsidRDefault="00DA0DB8" w:rsidP="00436994">
      <w:pPr>
        <w:spacing w:after="0" w:line="360" w:lineRule="auto"/>
        <w:ind w:firstLine="720"/>
        <w:jc w:val="center"/>
        <w:rPr>
          <w:rFonts w:cstheme="minorHAnsi"/>
        </w:rPr>
      </w:pPr>
    </w:p>
    <w:p w14:paraId="55E5B4B0" w14:textId="77777777" w:rsidR="00DA0DB8" w:rsidRPr="00241C9E" w:rsidRDefault="00DA0DB8" w:rsidP="00436994">
      <w:pPr>
        <w:spacing w:after="0" w:line="360" w:lineRule="auto"/>
        <w:ind w:firstLine="720"/>
        <w:jc w:val="center"/>
        <w:rPr>
          <w:rFonts w:cstheme="minorHAnsi"/>
        </w:rPr>
      </w:pPr>
    </w:p>
    <w:p w14:paraId="6851B59A" w14:textId="4367C884" w:rsidR="00DA0DB8" w:rsidRPr="00241C9E" w:rsidRDefault="00DA0DB8" w:rsidP="00436994">
      <w:pPr>
        <w:spacing w:after="0" w:line="360" w:lineRule="auto"/>
        <w:ind w:firstLine="720"/>
        <w:jc w:val="center"/>
        <w:rPr>
          <w:rFonts w:cstheme="minorHAnsi"/>
        </w:rPr>
      </w:pPr>
      <w:r w:rsidRPr="00241C9E">
        <w:rPr>
          <w:rFonts w:cstheme="minorHAnsi"/>
        </w:rPr>
        <w:t xml:space="preserve">Total word count: </w:t>
      </w:r>
      <w:r w:rsidR="00C27D40">
        <w:rPr>
          <w:rFonts w:cstheme="minorHAnsi"/>
        </w:rPr>
        <w:t>18,184</w:t>
      </w:r>
    </w:p>
    <w:p w14:paraId="21B0C3D7" w14:textId="77777777" w:rsidR="00DA0DB8" w:rsidRPr="00A62F2F" w:rsidRDefault="00DA0DB8" w:rsidP="00DA0DB8">
      <w:pPr>
        <w:spacing w:after="0"/>
        <w:jc w:val="center"/>
        <w:rPr>
          <w:rFonts w:ascii="Arial" w:hAnsi="Arial" w:cs="Arial"/>
          <w:sz w:val="24"/>
          <w:szCs w:val="24"/>
        </w:rPr>
      </w:pPr>
    </w:p>
    <w:p w14:paraId="1555E25B" w14:textId="77777777" w:rsidR="00DA0DB8" w:rsidRPr="00A62F2F" w:rsidRDefault="00DA0DB8" w:rsidP="00DA0DB8">
      <w:pPr>
        <w:spacing w:after="0"/>
        <w:jc w:val="center"/>
        <w:rPr>
          <w:rFonts w:ascii="Arial" w:hAnsi="Arial" w:cs="Arial"/>
          <w:sz w:val="24"/>
          <w:szCs w:val="24"/>
        </w:rPr>
      </w:pPr>
    </w:p>
    <w:p w14:paraId="1AD968F8" w14:textId="77777777" w:rsidR="00DA0DB8" w:rsidRDefault="00DA0DB8" w:rsidP="00436994">
      <w:pPr>
        <w:spacing w:after="0"/>
        <w:rPr>
          <w:rFonts w:ascii="Arial" w:hAnsi="Arial" w:cs="Arial"/>
          <w:sz w:val="24"/>
          <w:szCs w:val="24"/>
        </w:rPr>
      </w:pPr>
    </w:p>
    <w:p w14:paraId="219CB681" w14:textId="172B72BC" w:rsidR="00436994" w:rsidRDefault="00436994" w:rsidP="00436994">
      <w:pPr>
        <w:spacing w:after="0"/>
        <w:rPr>
          <w:rFonts w:ascii="Arial" w:hAnsi="Arial" w:cs="Arial"/>
          <w:sz w:val="24"/>
          <w:szCs w:val="24"/>
        </w:rPr>
      </w:pPr>
    </w:p>
    <w:p w14:paraId="78DD554F" w14:textId="1CBD8140" w:rsidR="00241C9E" w:rsidRDefault="00241C9E" w:rsidP="00436994">
      <w:pPr>
        <w:spacing w:after="0"/>
        <w:rPr>
          <w:rFonts w:ascii="Arial" w:hAnsi="Arial" w:cs="Arial"/>
          <w:sz w:val="24"/>
          <w:szCs w:val="24"/>
        </w:rPr>
      </w:pPr>
    </w:p>
    <w:p w14:paraId="2D14366A" w14:textId="6FA0A468" w:rsidR="00241C9E" w:rsidRDefault="00241C9E" w:rsidP="00436994">
      <w:pPr>
        <w:spacing w:after="0"/>
        <w:rPr>
          <w:rFonts w:ascii="Arial" w:hAnsi="Arial" w:cs="Arial"/>
          <w:sz w:val="24"/>
          <w:szCs w:val="24"/>
        </w:rPr>
      </w:pPr>
    </w:p>
    <w:p w14:paraId="00D01934" w14:textId="330F858D" w:rsidR="00241C9E" w:rsidRDefault="00241C9E" w:rsidP="00436994">
      <w:pPr>
        <w:spacing w:after="0"/>
        <w:rPr>
          <w:rFonts w:ascii="Arial" w:hAnsi="Arial" w:cs="Arial"/>
          <w:sz w:val="24"/>
          <w:szCs w:val="24"/>
        </w:rPr>
      </w:pPr>
    </w:p>
    <w:p w14:paraId="75832E3D" w14:textId="77777777" w:rsidR="00241C9E" w:rsidRDefault="00241C9E" w:rsidP="00436994">
      <w:pPr>
        <w:spacing w:after="0"/>
        <w:rPr>
          <w:rFonts w:ascii="Arial" w:hAnsi="Arial" w:cs="Arial"/>
          <w:sz w:val="24"/>
          <w:szCs w:val="24"/>
        </w:rPr>
      </w:pPr>
    </w:p>
    <w:p w14:paraId="761FA34C" w14:textId="77777777" w:rsidR="00241C9E" w:rsidRPr="00A62F2F" w:rsidRDefault="00241C9E" w:rsidP="00436994">
      <w:pPr>
        <w:spacing w:after="0"/>
        <w:rPr>
          <w:rFonts w:ascii="Arial" w:hAnsi="Arial" w:cs="Arial"/>
          <w:sz w:val="24"/>
          <w:szCs w:val="24"/>
        </w:rPr>
      </w:pPr>
    </w:p>
    <w:p w14:paraId="1412467C" w14:textId="0BCA88A2" w:rsidR="00DA0DB8" w:rsidRDefault="00DA0DB8" w:rsidP="00DA0DB8">
      <w:pPr>
        <w:spacing w:after="0"/>
        <w:jc w:val="center"/>
        <w:rPr>
          <w:rFonts w:ascii="Arial" w:hAnsi="Arial" w:cs="Arial"/>
          <w:sz w:val="24"/>
          <w:szCs w:val="24"/>
        </w:rPr>
      </w:pPr>
    </w:p>
    <w:p w14:paraId="73E855F6" w14:textId="77777777" w:rsidR="00241C9E" w:rsidRPr="00A62F2F" w:rsidRDefault="00241C9E" w:rsidP="00DA0DB8">
      <w:pPr>
        <w:spacing w:after="0"/>
        <w:jc w:val="center"/>
        <w:rPr>
          <w:rFonts w:ascii="Arial" w:hAnsi="Arial" w:cs="Arial"/>
          <w:sz w:val="24"/>
          <w:szCs w:val="24"/>
        </w:rPr>
      </w:pPr>
    </w:p>
    <w:p w14:paraId="1C26D1CD" w14:textId="77777777" w:rsidR="00DA0DB8" w:rsidRPr="00241C9E" w:rsidRDefault="00DA0DB8" w:rsidP="00DA0DB8">
      <w:pPr>
        <w:spacing w:after="0"/>
        <w:jc w:val="center"/>
        <w:rPr>
          <w:rFonts w:cs="Arial"/>
          <w:b/>
        </w:rPr>
      </w:pPr>
      <w:r w:rsidRPr="00241C9E">
        <w:rPr>
          <w:rFonts w:cs="Arial"/>
          <w:b/>
        </w:rPr>
        <w:t>THESIS PORTFOLIO: CANDIDATE DECLARATION</w:t>
      </w:r>
      <w:r w:rsidRPr="00241C9E">
        <w:rPr>
          <w:rFonts w:cs="Arial"/>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0"/>
        <w:gridCol w:w="4926"/>
      </w:tblGrid>
      <w:tr w:rsidR="00DA0DB8" w:rsidRPr="00241C9E" w14:paraId="3FD17669" w14:textId="77777777" w:rsidTr="00A62F2F">
        <w:tc>
          <w:tcPr>
            <w:tcW w:w="4188" w:type="dxa"/>
            <w:tcBorders>
              <w:top w:val="single" w:sz="4" w:space="0" w:color="auto"/>
              <w:left w:val="single" w:sz="4" w:space="0" w:color="auto"/>
              <w:bottom w:val="single" w:sz="4" w:space="0" w:color="auto"/>
              <w:right w:val="single" w:sz="4" w:space="0" w:color="auto"/>
            </w:tcBorders>
          </w:tcPr>
          <w:p w14:paraId="184B5548" w14:textId="77777777" w:rsidR="00DA0DB8" w:rsidRPr="00241C9E" w:rsidRDefault="00DA0DB8" w:rsidP="00A62F2F">
            <w:pPr>
              <w:spacing w:before="120" w:after="0"/>
              <w:rPr>
                <w:rFonts w:cs="Arial"/>
                <w:b/>
              </w:rPr>
            </w:pPr>
            <w:r w:rsidRPr="00241C9E">
              <w:rPr>
                <w:rFonts w:cs="Arial"/>
                <w:b/>
              </w:rPr>
              <w:t>Title of degree programme</w:t>
            </w:r>
          </w:p>
          <w:p w14:paraId="1D135A4A" w14:textId="77777777" w:rsidR="00DA0DB8" w:rsidRPr="00241C9E" w:rsidRDefault="00DA0DB8" w:rsidP="00A62F2F">
            <w:pPr>
              <w:spacing w:before="120" w:after="0"/>
              <w:rPr>
                <w:rFonts w:cs="Arial"/>
                <w:b/>
              </w:rPr>
            </w:pPr>
          </w:p>
        </w:tc>
        <w:tc>
          <w:tcPr>
            <w:tcW w:w="5053" w:type="dxa"/>
            <w:tcBorders>
              <w:top w:val="single" w:sz="4" w:space="0" w:color="auto"/>
              <w:left w:val="single" w:sz="4" w:space="0" w:color="auto"/>
              <w:bottom w:val="single" w:sz="4" w:space="0" w:color="auto"/>
              <w:right w:val="single" w:sz="4" w:space="0" w:color="auto"/>
            </w:tcBorders>
            <w:hideMark/>
          </w:tcPr>
          <w:p w14:paraId="0A7B8607" w14:textId="77777777" w:rsidR="00DA0DB8" w:rsidRPr="00241C9E" w:rsidRDefault="00DA0DB8" w:rsidP="00A62F2F">
            <w:pPr>
              <w:spacing w:before="120" w:after="0"/>
              <w:jc w:val="center"/>
              <w:rPr>
                <w:rFonts w:cs="Arial"/>
                <w:b/>
              </w:rPr>
            </w:pPr>
            <w:r w:rsidRPr="00241C9E">
              <w:rPr>
                <w:rFonts w:cs="Arial"/>
                <w:b/>
              </w:rPr>
              <w:t>Professional Doctorate in Clinical Psychology</w:t>
            </w:r>
          </w:p>
        </w:tc>
      </w:tr>
      <w:tr w:rsidR="00DA0DB8" w:rsidRPr="00241C9E" w14:paraId="0EBA6069" w14:textId="77777777" w:rsidTr="00A62F2F">
        <w:tc>
          <w:tcPr>
            <w:tcW w:w="4188" w:type="dxa"/>
            <w:tcBorders>
              <w:top w:val="single" w:sz="4" w:space="0" w:color="auto"/>
              <w:left w:val="single" w:sz="4" w:space="0" w:color="auto"/>
              <w:bottom w:val="single" w:sz="4" w:space="0" w:color="auto"/>
              <w:right w:val="single" w:sz="4" w:space="0" w:color="auto"/>
            </w:tcBorders>
            <w:hideMark/>
          </w:tcPr>
          <w:p w14:paraId="61B87901" w14:textId="77777777" w:rsidR="00DA0DB8" w:rsidRPr="00241C9E" w:rsidRDefault="00DA0DB8" w:rsidP="00A62F2F">
            <w:pPr>
              <w:spacing w:before="120" w:after="0"/>
              <w:rPr>
                <w:rFonts w:cs="Arial"/>
                <w:b/>
              </w:rPr>
            </w:pPr>
            <w:r w:rsidRPr="00241C9E">
              <w:rPr>
                <w:rFonts w:cs="Arial"/>
                <w:b/>
              </w:rPr>
              <w:t>Candidate name</w:t>
            </w:r>
          </w:p>
        </w:tc>
        <w:tc>
          <w:tcPr>
            <w:tcW w:w="5053" w:type="dxa"/>
            <w:tcBorders>
              <w:top w:val="single" w:sz="4" w:space="0" w:color="auto"/>
              <w:left w:val="single" w:sz="4" w:space="0" w:color="auto"/>
              <w:bottom w:val="single" w:sz="4" w:space="0" w:color="auto"/>
              <w:right w:val="single" w:sz="4" w:space="0" w:color="auto"/>
            </w:tcBorders>
          </w:tcPr>
          <w:p w14:paraId="7D06F38D" w14:textId="77777777" w:rsidR="00DA0DB8" w:rsidRPr="00241C9E" w:rsidRDefault="00DA0DB8" w:rsidP="00A62F2F">
            <w:pPr>
              <w:spacing w:before="120" w:after="0"/>
              <w:jc w:val="center"/>
              <w:rPr>
                <w:rFonts w:cs="Arial"/>
                <w:b/>
                <w:color w:val="0000FF"/>
              </w:rPr>
            </w:pPr>
            <w:r w:rsidRPr="00241C9E">
              <w:rPr>
                <w:rFonts w:cs="Arial"/>
                <w:b/>
              </w:rPr>
              <w:t>James Rowland</w:t>
            </w:r>
          </w:p>
        </w:tc>
      </w:tr>
      <w:tr w:rsidR="00DA0DB8" w:rsidRPr="00241C9E" w14:paraId="0E57E809" w14:textId="77777777" w:rsidTr="00A62F2F">
        <w:tc>
          <w:tcPr>
            <w:tcW w:w="4188" w:type="dxa"/>
            <w:tcBorders>
              <w:top w:val="single" w:sz="4" w:space="0" w:color="auto"/>
              <w:left w:val="single" w:sz="4" w:space="0" w:color="auto"/>
              <w:bottom w:val="single" w:sz="4" w:space="0" w:color="auto"/>
              <w:right w:val="single" w:sz="4" w:space="0" w:color="auto"/>
            </w:tcBorders>
            <w:hideMark/>
          </w:tcPr>
          <w:p w14:paraId="1F115D1C" w14:textId="77777777" w:rsidR="00DA0DB8" w:rsidRPr="00241C9E" w:rsidRDefault="00DA0DB8" w:rsidP="00A62F2F">
            <w:pPr>
              <w:spacing w:before="120" w:after="0"/>
              <w:rPr>
                <w:rFonts w:cs="Arial"/>
                <w:b/>
              </w:rPr>
            </w:pPr>
            <w:r w:rsidRPr="00241C9E">
              <w:rPr>
                <w:rFonts w:cs="Arial"/>
                <w:b/>
              </w:rPr>
              <w:t>Registration number</w:t>
            </w:r>
          </w:p>
        </w:tc>
        <w:tc>
          <w:tcPr>
            <w:tcW w:w="5053" w:type="dxa"/>
            <w:tcBorders>
              <w:top w:val="single" w:sz="4" w:space="0" w:color="auto"/>
              <w:left w:val="single" w:sz="4" w:space="0" w:color="auto"/>
              <w:bottom w:val="single" w:sz="4" w:space="0" w:color="auto"/>
              <w:right w:val="single" w:sz="4" w:space="0" w:color="auto"/>
            </w:tcBorders>
          </w:tcPr>
          <w:p w14:paraId="782DC127" w14:textId="4DBDE411" w:rsidR="00DA0DB8" w:rsidRPr="00241C9E" w:rsidRDefault="00B20F38" w:rsidP="00A62F2F">
            <w:pPr>
              <w:spacing w:before="120" w:after="0"/>
              <w:jc w:val="center"/>
              <w:rPr>
                <w:rFonts w:cs="Arial"/>
                <w:b/>
                <w:color w:val="0000FF"/>
              </w:rPr>
            </w:pPr>
            <w:r>
              <w:rPr>
                <w:rFonts w:cs="Arial"/>
                <w:b/>
              </w:rPr>
              <w:t>xxxxxxxx</w:t>
            </w:r>
          </w:p>
        </w:tc>
      </w:tr>
      <w:tr w:rsidR="00DA0DB8" w:rsidRPr="00241C9E" w14:paraId="2A1AE441" w14:textId="77777777" w:rsidTr="00A62F2F">
        <w:tc>
          <w:tcPr>
            <w:tcW w:w="4188" w:type="dxa"/>
            <w:tcBorders>
              <w:top w:val="single" w:sz="4" w:space="0" w:color="auto"/>
              <w:left w:val="single" w:sz="4" w:space="0" w:color="auto"/>
              <w:bottom w:val="single" w:sz="4" w:space="0" w:color="auto"/>
              <w:right w:val="single" w:sz="4" w:space="0" w:color="auto"/>
            </w:tcBorders>
            <w:hideMark/>
          </w:tcPr>
          <w:p w14:paraId="5D6D6647" w14:textId="77777777" w:rsidR="00DA0DB8" w:rsidRPr="00241C9E" w:rsidRDefault="00DA0DB8" w:rsidP="00A62F2F">
            <w:pPr>
              <w:spacing w:before="120" w:after="0"/>
              <w:rPr>
                <w:rFonts w:cs="Arial"/>
                <w:b/>
              </w:rPr>
            </w:pPr>
            <w:r w:rsidRPr="00241C9E">
              <w:rPr>
                <w:rFonts w:cs="Arial"/>
                <w:b/>
              </w:rPr>
              <w:t>Initial date of registration</w:t>
            </w:r>
          </w:p>
        </w:tc>
        <w:tc>
          <w:tcPr>
            <w:tcW w:w="5053" w:type="dxa"/>
            <w:tcBorders>
              <w:top w:val="single" w:sz="4" w:space="0" w:color="auto"/>
              <w:left w:val="single" w:sz="4" w:space="0" w:color="auto"/>
              <w:bottom w:val="single" w:sz="4" w:space="0" w:color="auto"/>
              <w:right w:val="single" w:sz="4" w:space="0" w:color="auto"/>
            </w:tcBorders>
          </w:tcPr>
          <w:p w14:paraId="48F996CC" w14:textId="77777777" w:rsidR="00DA0DB8" w:rsidRPr="00241C9E" w:rsidRDefault="00DA0DB8" w:rsidP="00A62F2F">
            <w:pPr>
              <w:spacing w:before="120" w:after="0"/>
              <w:jc w:val="center"/>
              <w:rPr>
                <w:rFonts w:cs="Arial"/>
                <w:b/>
                <w:color w:val="0000FF"/>
              </w:rPr>
            </w:pPr>
            <w:r w:rsidRPr="00241C9E">
              <w:rPr>
                <w:rFonts w:cs="Arial"/>
                <w:b/>
              </w:rPr>
              <w:t>September 2020</w:t>
            </w:r>
          </w:p>
        </w:tc>
      </w:tr>
    </w:tbl>
    <w:p w14:paraId="64B36AC7" w14:textId="77777777" w:rsidR="00DA0DB8" w:rsidRPr="00241C9E" w:rsidRDefault="00DA0DB8" w:rsidP="00DA0DB8">
      <w:pPr>
        <w:spacing w:before="120" w:after="0"/>
        <w:jc w:val="center"/>
        <w:rPr>
          <w:rFonts w:cs="Arial"/>
          <w:b/>
          <w:color w:val="0000FF"/>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DA0DB8" w:rsidRPr="00241C9E" w14:paraId="6C1AD5EF" w14:textId="77777777" w:rsidTr="00A62F2F">
        <w:tc>
          <w:tcPr>
            <w:tcW w:w="10314" w:type="dxa"/>
            <w:tcBorders>
              <w:top w:val="single" w:sz="4" w:space="0" w:color="auto"/>
              <w:left w:val="single" w:sz="4" w:space="0" w:color="auto"/>
              <w:bottom w:val="single" w:sz="4" w:space="0" w:color="auto"/>
              <w:right w:val="single" w:sz="4" w:space="0" w:color="auto"/>
            </w:tcBorders>
            <w:hideMark/>
          </w:tcPr>
          <w:p w14:paraId="521433FA" w14:textId="77777777" w:rsidR="00DA0DB8" w:rsidRPr="00241C9E" w:rsidRDefault="00DA0DB8" w:rsidP="00A62F2F">
            <w:pPr>
              <w:spacing w:before="120" w:after="0"/>
              <w:jc w:val="center"/>
              <w:rPr>
                <w:rFonts w:cs="Arial"/>
                <w:b/>
              </w:rPr>
            </w:pPr>
            <w:r w:rsidRPr="00241C9E">
              <w:rPr>
                <w:rFonts w:cs="Arial"/>
                <w:b/>
              </w:rPr>
              <w:t>Declaration and signature of candidate</w:t>
            </w:r>
          </w:p>
        </w:tc>
      </w:tr>
      <w:tr w:rsidR="00DA0DB8" w:rsidRPr="00241C9E" w14:paraId="1D994843" w14:textId="77777777" w:rsidTr="00A62F2F">
        <w:tc>
          <w:tcPr>
            <w:tcW w:w="10314" w:type="dxa"/>
            <w:tcBorders>
              <w:top w:val="single" w:sz="4" w:space="0" w:color="auto"/>
              <w:left w:val="single" w:sz="4" w:space="0" w:color="auto"/>
              <w:bottom w:val="single" w:sz="4" w:space="0" w:color="auto"/>
              <w:right w:val="single" w:sz="4" w:space="0" w:color="auto"/>
            </w:tcBorders>
          </w:tcPr>
          <w:p w14:paraId="5C8E230A" w14:textId="77777777" w:rsidR="00DA0DB8" w:rsidRPr="00241C9E" w:rsidRDefault="00DA0DB8" w:rsidP="00A62F2F">
            <w:pPr>
              <w:spacing w:before="120" w:after="0"/>
              <w:rPr>
                <w:rFonts w:cs="Arial"/>
              </w:rPr>
            </w:pPr>
            <w:r w:rsidRPr="00241C9E">
              <w:rPr>
                <w:rFonts w:cs="Arial"/>
              </w:rPr>
              <w:t>I confirm that the thesis submitted is the outcome of work that I have undertaken during my programme of study, and except where explicitly stated, it is all my own work.</w:t>
            </w:r>
          </w:p>
          <w:p w14:paraId="53E32227" w14:textId="77777777" w:rsidR="00DA0DB8" w:rsidRPr="00241C9E" w:rsidRDefault="00DA0DB8" w:rsidP="00A62F2F">
            <w:pPr>
              <w:spacing w:before="120" w:after="0"/>
              <w:rPr>
                <w:rFonts w:cs="Arial"/>
              </w:rPr>
            </w:pPr>
            <w:r w:rsidRPr="00241C9E">
              <w:rPr>
                <w:rFonts w:cs="Arial"/>
              </w:rPr>
              <w:t>I confirm that the decision to submit this thesis is my own.</w:t>
            </w:r>
          </w:p>
          <w:p w14:paraId="4BA2251C" w14:textId="77777777" w:rsidR="00DA0DB8" w:rsidRPr="00241C9E" w:rsidRDefault="00DA0DB8" w:rsidP="00A62F2F">
            <w:pPr>
              <w:spacing w:before="120" w:after="0"/>
              <w:rPr>
                <w:rFonts w:cs="Arial"/>
              </w:rPr>
            </w:pPr>
            <w:r w:rsidRPr="00241C9E">
              <w:rPr>
                <w:rFonts w:cs="Arial"/>
                <w:color w:val="000000"/>
                <w:lang w:eastAsia="en-GB"/>
              </w:rPr>
              <w:t>I confirm that except where explicitly stated, the work has not been submitted for another academic award.</w:t>
            </w:r>
          </w:p>
          <w:p w14:paraId="26766F13" w14:textId="77777777" w:rsidR="00DA0DB8" w:rsidRPr="00241C9E" w:rsidRDefault="00DA0DB8" w:rsidP="00A62F2F">
            <w:pPr>
              <w:spacing w:before="120" w:after="0"/>
              <w:rPr>
                <w:rFonts w:cs="Arial"/>
              </w:rPr>
            </w:pPr>
            <w:r w:rsidRPr="00241C9E">
              <w:rPr>
                <w:rFonts w:cs="Arial"/>
              </w:rPr>
              <w:t>I confirm that the work has been conducted ethically and that I have maintained the anonymity of research participants at all times within the thesis.</w:t>
            </w:r>
          </w:p>
          <w:p w14:paraId="289005D1" w14:textId="77777777" w:rsidR="00DA0DB8" w:rsidRPr="00241C9E" w:rsidRDefault="00DA0DB8" w:rsidP="00A62F2F">
            <w:pPr>
              <w:spacing w:after="0"/>
              <w:rPr>
                <w:rFonts w:cs="Arial"/>
              </w:rPr>
            </w:pPr>
            <w:r w:rsidRPr="00241C9E">
              <w:rPr>
                <w:rFonts w:cs="Arial"/>
                <w:noProof/>
                <w:lang w:eastAsia="en-GB"/>
              </w:rPr>
              <w:drawing>
                <wp:anchor distT="0" distB="0" distL="114300" distR="114300" simplePos="0" relativeHeight="251661312" behindDoc="0" locked="0" layoutInCell="1" allowOverlap="1" wp14:anchorId="6E479C1E" wp14:editId="691D2DEC">
                  <wp:simplePos x="0" y="0"/>
                  <wp:positionH relativeFrom="column">
                    <wp:posOffset>747395</wp:posOffset>
                  </wp:positionH>
                  <wp:positionV relativeFrom="paragraph">
                    <wp:posOffset>86995</wp:posOffset>
                  </wp:positionV>
                  <wp:extent cx="1574800" cy="494590"/>
                  <wp:effectExtent l="0" t="0" r="635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4800" cy="494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BFB91" w14:textId="0F95F3CA" w:rsidR="00DA0DB8" w:rsidRPr="00241C9E" w:rsidRDefault="00DA0DB8" w:rsidP="00A62F2F">
            <w:pPr>
              <w:spacing w:after="0"/>
              <w:rPr>
                <w:rFonts w:cs="Arial"/>
              </w:rPr>
            </w:pPr>
            <w:r w:rsidRPr="00241C9E">
              <w:rPr>
                <w:rFonts w:cs="Arial"/>
              </w:rPr>
              <w:t xml:space="preserve">Signed:                                                                            </w:t>
            </w:r>
            <w:r w:rsidR="00370668">
              <w:rPr>
                <w:rFonts w:cs="Arial"/>
              </w:rPr>
              <w:t>Date:  27</w:t>
            </w:r>
            <w:r w:rsidRPr="00241C9E">
              <w:rPr>
                <w:rFonts w:cs="Arial"/>
              </w:rPr>
              <w:t>/04/2023</w:t>
            </w:r>
          </w:p>
          <w:p w14:paraId="702EBEF1" w14:textId="77777777" w:rsidR="00DA0DB8" w:rsidRPr="00241C9E" w:rsidRDefault="00DA0DB8" w:rsidP="00A62F2F">
            <w:pPr>
              <w:spacing w:after="0"/>
              <w:rPr>
                <w:rFonts w:cs="Arial"/>
              </w:rPr>
            </w:pPr>
          </w:p>
          <w:p w14:paraId="4C601883" w14:textId="77777777" w:rsidR="00DA0DB8" w:rsidRPr="00241C9E" w:rsidRDefault="00DA0DB8" w:rsidP="00A62F2F">
            <w:pPr>
              <w:spacing w:after="0"/>
              <w:rPr>
                <w:rFonts w:cs="Arial"/>
              </w:rPr>
            </w:pPr>
          </w:p>
        </w:tc>
      </w:tr>
    </w:tbl>
    <w:p w14:paraId="1C75F0AF" w14:textId="77777777" w:rsidR="00DA0DB8" w:rsidRPr="00A62F2F" w:rsidRDefault="00DA0DB8" w:rsidP="00DA0DB8">
      <w:pPr>
        <w:spacing w:after="0"/>
        <w:jc w:val="center"/>
        <w:rPr>
          <w:rFonts w:ascii="Arial" w:hAnsi="Arial" w:cs="Arial"/>
          <w:sz w:val="24"/>
          <w:szCs w:val="24"/>
        </w:rPr>
      </w:pPr>
    </w:p>
    <w:p w14:paraId="739F21D8" w14:textId="77777777" w:rsidR="00A62F2F" w:rsidRPr="00A62F2F" w:rsidRDefault="00A62F2F">
      <w:pPr>
        <w:rPr>
          <w:rFonts w:ascii="Arial" w:hAnsi="Arial" w:cs="Arial"/>
          <w:sz w:val="24"/>
          <w:szCs w:val="24"/>
        </w:rPr>
      </w:pPr>
    </w:p>
    <w:p w14:paraId="3AE2451E" w14:textId="77777777" w:rsidR="00766E6D" w:rsidRPr="00A62F2F" w:rsidRDefault="00766E6D">
      <w:pPr>
        <w:rPr>
          <w:rFonts w:ascii="Arial" w:hAnsi="Arial" w:cs="Arial"/>
          <w:sz w:val="24"/>
          <w:szCs w:val="24"/>
        </w:rPr>
      </w:pPr>
    </w:p>
    <w:p w14:paraId="15826E3C" w14:textId="77777777" w:rsidR="00766E6D" w:rsidRPr="00A62F2F" w:rsidRDefault="00766E6D">
      <w:pPr>
        <w:rPr>
          <w:rFonts w:ascii="Arial" w:hAnsi="Arial" w:cs="Arial"/>
          <w:sz w:val="24"/>
          <w:szCs w:val="24"/>
        </w:rPr>
      </w:pPr>
    </w:p>
    <w:p w14:paraId="47CBC193" w14:textId="77777777" w:rsidR="00766E6D" w:rsidRPr="00A62F2F" w:rsidRDefault="00766E6D">
      <w:pPr>
        <w:rPr>
          <w:rFonts w:ascii="Arial" w:hAnsi="Arial" w:cs="Arial"/>
          <w:sz w:val="24"/>
          <w:szCs w:val="24"/>
        </w:rPr>
      </w:pPr>
    </w:p>
    <w:p w14:paraId="6ECDECB5" w14:textId="77777777" w:rsidR="00766E6D" w:rsidRPr="00A62F2F" w:rsidRDefault="00766E6D">
      <w:pPr>
        <w:rPr>
          <w:rFonts w:ascii="Arial" w:hAnsi="Arial" w:cs="Arial"/>
          <w:sz w:val="24"/>
          <w:szCs w:val="24"/>
        </w:rPr>
      </w:pPr>
    </w:p>
    <w:p w14:paraId="6CFEC075" w14:textId="77777777" w:rsidR="00766E6D" w:rsidRPr="00A62F2F" w:rsidRDefault="00766E6D">
      <w:pPr>
        <w:rPr>
          <w:rFonts w:ascii="Arial" w:hAnsi="Arial" w:cs="Arial"/>
          <w:sz w:val="24"/>
          <w:szCs w:val="24"/>
        </w:rPr>
      </w:pPr>
    </w:p>
    <w:p w14:paraId="042A2724" w14:textId="77777777" w:rsidR="00766E6D" w:rsidRPr="00A62F2F" w:rsidRDefault="00766E6D">
      <w:pPr>
        <w:rPr>
          <w:rFonts w:ascii="Arial" w:hAnsi="Arial" w:cs="Arial"/>
          <w:sz w:val="24"/>
          <w:szCs w:val="24"/>
        </w:rPr>
      </w:pPr>
    </w:p>
    <w:p w14:paraId="602C5370" w14:textId="77777777" w:rsidR="00766E6D" w:rsidRPr="00A62F2F" w:rsidRDefault="00766E6D">
      <w:pPr>
        <w:rPr>
          <w:rFonts w:ascii="Arial" w:hAnsi="Arial" w:cs="Arial"/>
          <w:sz w:val="24"/>
          <w:szCs w:val="24"/>
        </w:rPr>
      </w:pPr>
    </w:p>
    <w:p w14:paraId="1F89D4D8" w14:textId="77777777" w:rsidR="00766E6D" w:rsidRPr="00A62F2F" w:rsidRDefault="00766E6D">
      <w:pPr>
        <w:rPr>
          <w:rFonts w:ascii="Arial" w:hAnsi="Arial" w:cs="Arial"/>
          <w:sz w:val="24"/>
          <w:szCs w:val="24"/>
        </w:rPr>
      </w:pPr>
    </w:p>
    <w:p w14:paraId="05B71E31" w14:textId="77777777" w:rsidR="00766E6D" w:rsidRDefault="00766E6D">
      <w:pPr>
        <w:rPr>
          <w:rFonts w:ascii="Arial" w:hAnsi="Arial" w:cs="Arial"/>
          <w:sz w:val="24"/>
          <w:szCs w:val="24"/>
        </w:rPr>
      </w:pPr>
    </w:p>
    <w:p w14:paraId="5D0DE85C" w14:textId="77777777" w:rsidR="00BC1C17" w:rsidRDefault="00BC1C17">
      <w:pPr>
        <w:rPr>
          <w:rFonts w:ascii="Arial" w:hAnsi="Arial" w:cs="Arial"/>
          <w:sz w:val="24"/>
          <w:szCs w:val="24"/>
        </w:rPr>
      </w:pPr>
    </w:p>
    <w:p w14:paraId="7997F1DA" w14:textId="77777777" w:rsidR="00436994" w:rsidRDefault="00436994">
      <w:pPr>
        <w:rPr>
          <w:rFonts w:ascii="Arial" w:hAnsi="Arial" w:cs="Arial"/>
          <w:sz w:val="24"/>
          <w:szCs w:val="24"/>
        </w:rPr>
      </w:pPr>
    </w:p>
    <w:p w14:paraId="55262FA1" w14:textId="1DFFF181" w:rsidR="00436994" w:rsidRDefault="00436994">
      <w:pPr>
        <w:rPr>
          <w:rFonts w:ascii="Arial" w:hAnsi="Arial" w:cs="Arial"/>
          <w:sz w:val="24"/>
          <w:szCs w:val="24"/>
        </w:rPr>
      </w:pPr>
    </w:p>
    <w:p w14:paraId="47EEB0F7" w14:textId="77777777" w:rsidR="00910D87" w:rsidRPr="00201283" w:rsidRDefault="00910D87" w:rsidP="00910D87">
      <w:pPr>
        <w:pStyle w:val="Heading1"/>
        <w:rPr>
          <w:rFonts w:cs="Arial"/>
          <w:szCs w:val="24"/>
        </w:rPr>
      </w:pPr>
      <w:bookmarkStart w:id="1" w:name="_Toc101010229"/>
      <w:bookmarkStart w:id="2" w:name="_Toc101896740"/>
      <w:bookmarkStart w:id="3" w:name="_Toc133487762"/>
      <w:r w:rsidRPr="00201283">
        <w:rPr>
          <w:rFonts w:cs="Arial"/>
          <w:szCs w:val="24"/>
        </w:rPr>
        <w:t>Acknowledgements</w:t>
      </w:r>
      <w:bookmarkEnd w:id="1"/>
      <w:bookmarkEnd w:id="2"/>
      <w:bookmarkEnd w:id="3"/>
      <w:r w:rsidRPr="00201283">
        <w:rPr>
          <w:rFonts w:cs="Arial"/>
          <w:szCs w:val="24"/>
        </w:rPr>
        <w:t xml:space="preserve"> </w:t>
      </w:r>
    </w:p>
    <w:p w14:paraId="7E2EF3D0" w14:textId="77777777" w:rsidR="00910D87" w:rsidRDefault="00910D87" w:rsidP="00910D87">
      <w:pPr>
        <w:rPr>
          <w:rFonts w:cs="Arial"/>
          <w:szCs w:val="24"/>
        </w:rPr>
      </w:pPr>
    </w:p>
    <w:p w14:paraId="4F0F116E" w14:textId="0FDC696B" w:rsidR="00910D87" w:rsidRDefault="00233BC1" w:rsidP="00910D87">
      <w:pPr>
        <w:rPr>
          <w:rFonts w:cs="Arial"/>
          <w:szCs w:val="24"/>
        </w:rPr>
      </w:pPr>
      <w:r>
        <w:rPr>
          <w:rFonts w:cs="Arial"/>
          <w:szCs w:val="24"/>
        </w:rPr>
        <w:t>I am tremendously</w:t>
      </w:r>
      <w:r w:rsidR="00910D87">
        <w:rPr>
          <w:rFonts w:cs="Arial"/>
          <w:szCs w:val="24"/>
        </w:rPr>
        <w:t xml:space="preserve"> grateful to my personal tutor and academic supervisor, Dr. Yvonne Melia, for her </w:t>
      </w:r>
      <w:r w:rsidR="00030504">
        <w:rPr>
          <w:rFonts w:cs="Arial"/>
          <w:szCs w:val="24"/>
        </w:rPr>
        <w:t>unwavering</w:t>
      </w:r>
      <w:r w:rsidR="00910D87">
        <w:rPr>
          <w:rFonts w:cs="Arial"/>
          <w:szCs w:val="24"/>
        </w:rPr>
        <w:t xml:space="preserve"> support </w:t>
      </w:r>
      <w:r w:rsidR="00030504">
        <w:rPr>
          <w:rFonts w:cs="Arial"/>
          <w:szCs w:val="24"/>
        </w:rPr>
        <w:t>throughout my journey on the doctorate</w:t>
      </w:r>
      <w:r w:rsidR="00910D87">
        <w:rPr>
          <w:rFonts w:cs="Arial"/>
          <w:szCs w:val="24"/>
        </w:rPr>
        <w:t>. This project would not have been possible without Yvonne’s clear guidance and patient encouragement. I would also like to t</w:t>
      </w:r>
      <w:r w:rsidR="008972A4">
        <w:rPr>
          <w:rFonts w:cs="Arial"/>
          <w:szCs w:val="24"/>
        </w:rPr>
        <w:t xml:space="preserve">hank Dr. Helen Scott and Dr. Michelle Rydon-Grange for their </w:t>
      </w:r>
      <w:r w:rsidR="009A588D">
        <w:rPr>
          <w:rFonts w:cs="Arial"/>
          <w:szCs w:val="24"/>
        </w:rPr>
        <w:t xml:space="preserve">expert </w:t>
      </w:r>
      <w:r w:rsidR="008972A4">
        <w:rPr>
          <w:rFonts w:cs="Arial"/>
          <w:szCs w:val="24"/>
        </w:rPr>
        <w:t>advice on the statistical aspects of the paper.</w:t>
      </w:r>
    </w:p>
    <w:p w14:paraId="64BDFBCE" w14:textId="3D45AD67" w:rsidR="008972A4" w:rsidRDefault="008972A4" w:rsidP="00910D87">
      <w:pPr>
        <w:rPr>
          <w:rFonts w:cs="Arial"/>
          <w:szCs w:val="24"/>
        </w:rPr>
      </w:pPr>
      <w:r>
        <w:rPr>
          <w:rFonts w:cs="Arial"/>
          <w:szCs w:val="24"/>
        </w:rPr>
        <w:t>I</w:t>
      </w:r>
      <w:r w:rsidR="009A588D">
        <w:rPr>
          <w:rFonts w:cs="Arial"/>
          <w:szCs w:val="24"/>
        </w:rPr>
        <w:t xml:space="preserve"> would</w:t>
      </w:r>
      <w:r w:rsidR="00030504">
        <w:rPr>
          <w:rFonts w:cs="Arial"/>
          <w:szCs w:val="24"/>
        </w:rPr>
        <w:t xml:space="preserve"> like to express</w:t>
      </w:r>
      <w:r>
        <w:rPr>
          <w:rFonts w:cs="Arial"/>
          <w:szCs w:val="24"/>
        </w:rPr>
        <w:t xml:space="preserve"> considerable thanks </w:t>
      </w:r>
      <w:r w:rsidR="00030504">
        <w:rPr>
          <w:rFonts w:cs="Arial"/>
          <w:szCs w:val="24"/>
        </w:rPr>
        <w:t>to</w:t>
      </w:r>
      <w:r>
        <w:rPr>
          <w:rFonts w:cs="Arial"/>
          <w:szCs w:val="24"/>
        </w:rPr>
        <w:t xml:space="preserve"> my clinical research supervisors Dr. Gill Cooke, Dr. Abi M</w:t>
      </w:r>
      <w:r w:rsidR="009A588D">
        <w:rPr>
          <w:rFonts w:cs="Arial"/>
          <w:szCs w:val="24"/>
        </w:rPr>
        <w:t>eth</w:t>
      </w:r>
      <w:r>
        <w:rPr>
          <w:rFonts w:cs="Arial"/>
          <w:szCs w:val="24"/>
        </w:rPr>
        <w:t xml:space="preserve">ley, and Dr. Antonia Kirkby for their </w:t>
      </w:r>
      <w:r w:rsidR="009A588D">
        <w:rPr>
          <w:rFonts w:cs="Arial"/>
          <w:szCs w:val="24"/>
        </w:rPr>
        <w:t xml:space="preserve">unwavering </w:t>
      </w:r>
      <w:r>
        <w:rPr>
          <w:rFonts w:cs="Arial"/>
          <w:szCs w:val="24"/>
        </w:rPr>
        <w:t xml:space="preserve">support and </w:t>
      </w:r>
      <w:r w:rsidR="00E60326">
        <w:rPr>
          <w:rFonts w:cs="Arial"/>
          <w:szCs w:val="24"/>
        </w:rPr>
        <w:t>contributions</w:t>
      </w:r>
      <w:r>
        <w:rPr>
          <w:rFonts w:cs="Arial"/>
          <w:szCs w:val="24"/>
        </w:rPr>
        <w:t xml:space="preserve">. I would particularly like to thank Dr. Simon Ellis and Dr. Danielle Verity for their vital support in recruitment, without which this project would not have been able to proceed. </w:t>
      </w:r>
    </w:p>
    <w:p w14:paraId="4B61A578" w14:textId="1E8568DA" w:rsidR="008972A4" w:rsidRDefault="008972A4" w:rsidP="00910D87">
      <w:pPr>
        <w:rPr>
          <w:rFonts w:cs="Arial"/>
          <w:szCs w:val="24"/>
        </w:rPr>
      </w:pPr>
      <w:r>
        <w:rPr>
          <w:rFonts w:cs="Arial"/>
          <w:szCs w:val="24"/>
        </w:rPr>
        <w:t xml:space="preserve">I am indebted to the people who took part in this study and </w:t>
      </w:r>
      <w:r w:rsidR="009A588D">
        <w:rPr>
          <w:rFonts w:cs="Arial"/>
          <w:szCs w:val="24"/>
        </w:rPr>
        <w:t xml:space="preserve">those that </w:t>
      </w:r>
      <w:r>
        <w:rPr>
          <w:rFonts w:cs="Arial"/>
          <w:szCs w:val="24"/>
        </w:rPr>
        <w:t xml:space="preserve">helped to provide feedback along the way. </w:t>
      </w:r>
    </w:p>
    <w:p w14:paraId="083E22B6" w14:textId="7837075C" w:rsidR="008972A4" w:rsidRDefault="008972A4" w:rsidP="00910D87">
      <w:pPr>
        <w:rPr>
          <w:rFonts w:cs="Arial"/>
          <w:szCs w:val="24"/>
        </w:rPr>
      </w:pPr>
      <w:r>
        <w:rPr>
          <w:rFonts w:cs="Arial"/>
          <w:szCs w:val="24"/>
        </w:rPr>
        <w:t>Finally, I would like to thank my family and friends for their encouragement and motivation throughout.</w:t>
      </w:r>
    </w:p>
    <w:p w14:paraId="3245918E" w14:textId="77777777" w:rsidR="00910D87" w:rsidRDefault="00910D87" w:rsidP="00910D87">
      <w:pPr>
        <w:rPr>
          <w:rFonts w:cs="Arial"/>
          <w:szCs w:val="24"/>
        </w:rPr>
      </w:pPr>
    </w:p>
    <w:p w14:paraId="7EE0A6F2" w14:textId="4BDCF6AF" w:rsidR="00910D87" w:rsidRDefault="00910D87">
      <w:pPr>
        <w:rPr>
          <w:rFonts w:ascii="Arial" w:hAnsi="Arial" w:cs="Arial"/>
          <w:sz w:val="24"/>
          <w:szCs w:val="24"/>
        </w:rPr>
      </w:pPr>
    </w:p>
    <w:p w14:paraId="76F07861" w14:textId="776E99A9" w:rsidR="00910D87" w:rsidRDefault="00910D87">
      <w:pPr>
        <w:rPr>
          <w:rFonts w:ascii="Arial" w:hAnsi="Arial" w:cs="Arial"/>
          <w:sz w:val="24"/>
          <w:szCs w:val="24"/>
        </w:rPr>
      </w:pPr>
    </w:p>
    <w:p w14:paraId="6909DAF5" w14:textId="767C46CE" w:rsidR="00910D87" w:rsidRDefault="00910D87">
      <w:pPr>
        <w:rPr>
          <w:rFonts w:ascii="Arial" w:hAnsi="Arial" w:cs="Arial"/>
          <w:sz w:val="24"/>
          <w:szCs w:val="24"/>
        </w:rPr>
      </w:pPr>
    </w:p>
    <w:p w14:paraId="18B531B1" w14:textId="70A73756" w:rsidR="00910D87" w:rsidRDefault="00910D87">
      <w:pPr>
        <w:rPr>
          <w:rFonts w:ascii="Arial" w:hAnsi="Arial" w:cs="Arial"/>
          <w:sz w:val="24"/>
          <w:szCs w:val="24"/>
        </w:rPr>
      </w:pPr>
    </w:p>
    <w:p w14:paraId="5A02E33D" w14:textId="1B48874C" w:rsidR="00910D87" w:rsidRDefault="00910D87">
      <w:pPr>
        <w:rPr>
          <w:rFonts w:ascii="Arial" w:hAnsi="Arial" w:cs="Arial"/>
          <w:sz w:val="24"/>
          <w:szCs w:val="24"/>
        </w:rPr>
      </w:pPr>
    </w:p>
    <w:p w14:paraId="487B30C5" w14:textId="49E60133" w:rsidR="00910D87" w:rsidRDefault="00910D87">
      <w:pPr>
        <w:rPr>
          <w:rFonts w:ascii="Arial" w:hAnsi="Arial" w:cs="Arial"/>
          <w:sz w:val="24"/>
          <w:szCs w:val="24"/>
        </w:rPr>
      </w:pPr>
    </w:p>
    <w:p w14:paraId="17C8E110" w14:textId="4EC38446" w:rsidR="00910D87" w:rsidRDefault="00910D87">
      <w:pPr>
        <w:rPr>
          <w:rFonts w:ascii="Arial" w:hAnsi="Arial" w:cs="Arial"/>
          <w:sz w:val="24"/>
          <w:szCs w:val="24"/>
        </w:rPr>
      </w:pPr>
    </w:p>
    <w:p w14:paraId="3DB6432D" w14:textId="3001B160" w:rsidR="00910D87" w:rsidRDefault="00910D87">
      <w:pPr>
        <w:rPr>
          <w:rFonts w:ascii="Arial" w:hAnsi="Arial" w:cs="Arial"/>
          <w:sz w:val="24"/>
          <w:szCs w:val="24"/>
        </w:rPr>
      </w:pPr>
    </w:p>
    <w:p w14:paraId="4BFE6C31" w14:textId="4D51A615" w:rsidR="00910D87" w:rsidRDefault="00910D87">
      <w:pPr>
        <w:rPr>
          <w:rFonts w:ascii="Arial" w:hAnsi="Arial" w:cs="Arial"/>
          <w:sz w:val="24"/>
          <w:szCs w:val="24"/>
        </w:rPr>
      </w:pPr>
    </w:p>
    <w:p w14:paraId="505D5F13" w14:textId="17E34D2E" w:rsidR="00910D87" w:rsidRDefault="00910D87">
      <w:pPr>
        <w:rPr>
          <w:rFonts w:ascii="Arial" w:hAnsi="Arial" w:cs="Arial"/>
          <w:sz w:val="24"/>
          <w:szCs w:val="24"/>
        </w:rPr>
      </w:pPr>
    </w:p>
    <w:p w14:paraId="0614AF63" w14:textId="241B1E5B" w:rsidR="00910D87" w:rsidRDefault="00910D87">
      <w:pPr>
        <w:rPr>
          <w:rFonts w:ascii="Arial" w:hAnsi="Arial" w:cs="Arial"/>
          <w:sz w:val="24"/>
          <w:szCs w:val="24"/>
        </w:rPr>
      </w:pPr>
    </w:p>
    <w:p w14:paraId="3F685423" w14:textId="49F5326C" w:rsidR="00910D87" w:rsidRDefault="00910D87">
      <w:pPr>
        <w:rPr>
          <w:rFonts w:ascii="Arial" w:hAnsi="Arial" w:cs="Arial"/>
          <w:sz w:val="24"/>
          <w:szCs w:val="24"/>
        </w:rPr>
      </w:pPr>
    </w:p>
    <w:p w14:paraId="6F30BAE4" w14:textId="5DA5D7E4" w:rsidR="00910D87" w:rsidRDefault="00910D87">
      <w:pPr>
        <w:rPr>
          <w:rFonts w:ascii="Arial" w:hAnsi="Arial" w:cs="Arial"/>
          <w:sz w:val="24"/>
          <w:szCs w:val="24"/>
        </w:rPr>
      </w:pPr>
    </w:p>
    <w:p w14:paraId="3E583639" w14:textId="77777777" w:rsidR="009A588D" w:rsidRDefault="009A588D">
      <w:pPr>
        <w:rPr>
          <w:rFonts w:ascii="Arial" w:hAnsi="Arial" w:cs="Arial"/>
          <w:sz w:val="24"/>
          <w:szCs w:val="24"/>
        </w:rPr>
      </w:pPr>
    </w:p>
    <w:p w14:paraId="2D05B6AB" w14:textId="77677301" w:rsidR="00910D87" w:rsidRDefault="00910D87">
      <w:pPr>
        <w:rPr>
          <w:rFonts w:ascii="Arial" w:hAnsi="Arial" w:cs="Arial"/>
          <w:sz w:val="24"/>
          <w:szCs w:val="24"/>
        </w:rPr>
      </w:pPr>
    </w:p>
    <w:p w14:paraId="56B3D357" w14:textId="2F122962" w:rsidR="00910D87" w:rsidRDefault="00910D87">
      <w:pPr>
        <w:rPr>
          <w:rFonts w:ascii="Arial" w:hAnsi="Arial" w:cs="Arial"/>
          <w:sz w:val="24"/>
          <w:szCs w:val="24"/>
        </w:rPr>
      </w:pPr>
    </w:p>
    <w:p w14:paraId="66CA51AB" w14:textId="77777777" w:rsidR="00910D87" w:rsidRPr="00A62F2F" w:rsidRDefault="00910D87">
      <w:pPr>
        <w:rPr>
          <w:rFonts w:ascii="Arial" w:hAnsi="Arial" w:cs="Arial"/>
          <w:sz w:val="24"/>
          <w:szCs w:val="24"/>
        </w:rPr>
      </w:pPr>
    </w:p>
    <w:p w14:paraId="34FE2202" w14:textId="77777777" w:rsidR="00766E6D" w:rsidRPr="00027769" w:rsidRDefault="00766E6D" w:rsidP="00027769">
      <w:pPr>
        <w:jc w:val="center"/>
        <w:rPr>
          <w:b/>
        </w:rPr>
      </w:pPr>
      <w:r w:rsidRPr="00027769">
        <w:rPr>
          <w:b/>
        </w:rPr>
        <w:lastRenderedPageBreak/>
        <w:t>Preface</w:t>
      </w:r>
    </w:p>
    <w:p w14:paraId="146B7D7F" w14:textId="77777777" w:rsidR="00766E6D" w:rsidRPr="00241C9E" w:rsidRDefault="00766E6D" w:rsidP="00436994">
      <w:pPr>
        <w:spacing w:after="0" w:line="360" w:lineRule="auto"/>
        <w:ind w:firstLine="720"/>
        <w:rPr>
          <w:rFonts w:cs="Arial"/>
        </w:rPr>
      </w:pPr>
    </w:p>
    <w:p w14:paraId="7ABA31A6" w14:textId="77777777" w:rsidR="00766E6D" w:rsidRPr="00241C9E" w:rsidRDefault="001B3205" w:rsidP="00027769">
      <w:pPr>
        <w:spacing w:after="0" w:line="360" w:lineRule="auto"/>
        <w:ind w:firstLine="720"/>
        <w:jc w:val="both"/>
        <w:rPr>
          <w:rFonts w:cs="Arial"/>
        </w:rPr>
      </w:pPr>
      <w:r w:rsidRPr="00241C9E">
        <w:rPr>
          <w:rFonts w:cs="Arial"/>
        </w:rPr>
        <w:t xml:space="preserve">Paper 1 has been written in line with submission guidelines for </w:t>
      </w:r>
      <w:r w:rsidR="00F67A85" w:rsidRPr="00241C9E">
        <w:rPr>
          <w:rFonts w:cs="Arial"/>
        </w:rPr>
        <w:t>the J</w:t>
      </w:r>
      <w:r w:rsidR="006767FE" w:rsidRPr="00241C9E">
        <w:rPr>
          <w:rFonts w:cs="Arial"/>
        </w:rPr>
        <w:t xml:space="preserve">ournal </w:t>
      </w:r>
      <w:r w:rsidR="00F67A85" w:rsidRPr="00241C9E">
        <w:rPr>
          <w:rFonts w:cs="Arial"/>
        </w:rPr>
        <w:t>of Traumatic Stress</w:t>
      </w:r>
      <w:r w:rsidR="006767FE" w:rsidRPr="00241C9E">
        <w:rPr>
          <w:rFonts w:cs="Arial"/>
        </w:rPr>
        <w:t xml:space="preserve">, with submission </w:t>
      </w:r>
      <w:r w:rsidR="008933A6" w:rsidRPr="00241C9E">
        <w:rPr>
          <w:rFonts w:cs="Arial"/>
        </w:rPr>
        <w:t>g</w:t>
      </w:r>
      <w:r w:rsidR="00017779" w:rsidRPr="00241C9E">
        <w:rPr>
          <w:rFonts w:cs="Arial"/>
        </w:rPr>
        <w:t>uidelines in Paper 1, Appendix A</w:t>
      </w:r>
      <w:r w:rsidR="00F67A85" w:rsidRPr="00241C9E">
        <w:rPr>
          <w:rFonts w:cs="Arial"/>
        </w:rPr>
        <w:t>.</w:t>
      </w:r>
      <w:r w:rsidR="006767FE" w:rsidRPr="00241C9E">
        <w:rPr>
          <w:rFonts w:cs="Arial"/>
        </w:rPr>
        <w:t xml:space="preserve"> Paper 2 has been written in line with</w:t>
      </w:r>
      <w:r w:rsidR="00F67A85" w:rsidRPr="00241C9E">
        <w:rPr>
          <w:rFonts w:cs="Arial"/>
        </w:rPr>
        <w:t xml:space="preserve"> submission guidelines for S</w:t>
      </w:r>
      <w:r w:rsidR="006767FE" w:rsidRPr="00241C9E">
        <w:rPr>
          <w:rFonts w:cs="Arial"/>
        </w:rPr>
        <w:t>eizure – European Journal of Epilepsy, with submission g</w:t>
      </w:r>
      <w:r w:rsidR="00214334" w:rsidRPr="00241C9E">
        <w:rPr>
          <w:rFonts w:cs="Arial"/>
        </w:rPr>
        <w:t>uidelines in Paper 2, Appendix A</w:t>
      </w:r>
      <w:r w:rsidR="00766E6D" w:rsidRPr="00241C9E">
        <w:rPr>
          <w:rFonts w:cs="Arial"/>
        </w:rPr>
        <w:t xml:space="preserve">. </w:t>
      </w:r>
    </w:p>
    <w:p w14:paraId="540F9634" w14:textId="77777777" w:rsidR="00766E6D" w:rsidRPr="00241C9E" w:rsidRDefault="00766E6D" w:rsidP="00766E6D">
      <w:pPr>
        <w:spacing w:after="0"/>
        <w:rPr>
          <w:rFonts w:cs="Arial"/>
        </w:rPr>
      </w:pPr>
    </w:p>
    <w:p w14:paraId="75022E1E" w14:textId="77777777" w:rsidR="00766E6D" w:rsidRPr="00241C9E" w:rsidRDefault="00766E6D" w:rsidP="00766E6D">
      <w:pPr>
        <w:spacing w:after="0"/>
        <w:rPr>
          <w:rFonts w:cs="Arial"/>
        </w:rPr>
      </w:pPr>
    </w:p>
    <w:p w14:paraId="6FB01DF2" w14:textId="77777777" w:rsidR="00766E6D" w:rsidRPr="00241C9E" w:rsidRDefault="00766E6D" w:rsidP="00766E6D">
      <w:pPr>
        <w:spacing w:after="0"/>
        <w:rPr>
          <w:rFonts w:cs="Arial"/>
        </w:rPr>
      </w:pPr>
    </w:p>
    <w:p w14:paraId="5279C03A" w14:textId="77777777" w:rsidR="00766E6D" w:rsidRPr="00241C9E" w:rsidRDefault="00766E6D" w:rsidP="00766E6D">
      <w:pPr>
        <w:spacing w:after="0"/>
        <w:rPr>
          <w:rFonts w:cs="Arial"/>
        </w:rPr>
      </w:pPr>
    </w:p>
    <w:p w14:paraId="23D05FE4" w14:textId="77777777" w:rsidR="00766E6D" w:rsidRPr="00241C9E" w:rsidRDefault="00F67A85" w:rsidP="00766E6D">
      <w:pPr>
        <w:spacing w:after="0"/>
        <w:rPr>
          <w:rFonts w:cs="Arial"/>
          <w:b/>
        </w:rPr>
      </w:pPr>
      <w:r w:rsidRPr="00241C9E">
        <w:rPr>
          <w:rFonts w:cs="Arial"/>
          <w:b/>
        </w:rPr>
        <w:t>Word Count</w:t>
      </w:r>
    </w:p>
    <w:p w14:paraId="0BFB7A1C" w14:textId="77777777" w:rsidR="00766E6D" w:rsidRPr="00241C9E" w:rsidRDefault="00766E6D" w:rsidP="00766E6D">
      <w:pPr>
        <w:spacing w:after="0"/>
        <w:rPr>
          <w:rFonts w:cs="Arial"/>
        </w:rPr>
      </w:pPr>
    </w:p>
    <w:tbl>
      <w:tblPr>
        <w:tblW w:w="0" w:type="auto"/>
        <w:tblLook w:val="04A0" w:firstRow="1" w:lastRow="0" w:firstColumn="1" w:lastColumn="0" w:noHBand="0" w:noVBand="1"/>
      </w:tblPr>
      <w:tblGrid>
        <w:gridCol w:w="3969"/>
        <w:gridCol w:w="1838"/>
      </w:tblGrid>
      <w:tr w:rsidR="00766E6D" w:rsidRPr="00241C9E" w14:paraId="3F6B9884" w14:textId="77777777" w:rsidTr="00A62F2F">
        <w:tc>
          <w:tcPr>
            <w:tcW w:w="3969" w:type="dxa"/>
            <w:tcBorders>
              <w:left w:val="nil"/>
              <w:bottom w:val="single" w:sz="4" w:space="0" w:color="auto"/>
            </w:tcBorders>
          </w:tcPr>
          <w:p w14:paraId="49883433" w14:textId="77777777" w:rsidR="00766E6D" w:rsidRPr="00241C9E" w:rsidRDefault="00766E6D" w:rsidP="00A62F2F">
            <w:pPr>
              <w:rPr>
                <w:rFonts w:cs="Arial"/>
              </w:rPr>
            </w:pPr>
            <w:r w:rsidRPr="00241C9E">
              <w:rPr>
                <w:rFonts w:cs="Arial"/>
              </w:rPr>
              <w:t>Document Name</w:t>
            </w:r>
          </w:p>
          <w:p w14:paraId="094772EE" w14:textId="77777777" w:rsidR="00766E6D" w:rsidRPr="00241C9E" w:rsidRDefault="00766E6D" w:rsidP="00A62F2F">
            <w:pPr>
              <w:rPr>
                <w:rFonts w:cs="Arial"/>
              </w:rPr>
            </w:pPr>
          </w:p>
        </w:tc>
        <w:tc>
          <w:tcPr>
            <w:tcW w:w="1838" w:type="dxa"/>
            <w:tcBorders>
              <w:bottom w:val="single" w:sz="4" w:space="0" w:color="auto"/>
              <w:right w:val="nil"/>
            </w:tcBorders>
          </w:tcPr>
          <w:p w14:paraId="1510C53E" w14:textId="77777777" w:rsidR="00766E6D" w:rsidRPr="00241C9E" w:rsidRDefault="00766E6D" w:rsidP="00A62F2F">
            <w:pPr>
              <w:rPr>
                <w:rFonts w:cs="Arial"/>
              </w:rPr>
            </w:pPr>
            <w:r w:rsidRPr="00241C9E">
              <w:rPr>
                <w:rFonts w:cs="Arial"/>
              </w:rPr>
              <w:t>Word Count</w:t>
            </w:r>
          </w:p>
        </w:tc>
      </w:tr>
      <w:tr w:rsidR="00766E6D" w:rsidRPr="00241C9E" w14:paraId="5777E5A2" w14:textId="77777777" w:rsidTr="00A62F2F">
        <w:tc>
          <w:tcPr>
            <w:tcW w:w="3969" w:type="dxa"/>
            <w:tcBorders>
              <w:top w:val="nil"/>
              <w:left w:val="nil"/>
              <w:bottom w:val="nil"/>
            </w:tcBorders>
          </w:tcPr>
          <w:p w14:paraId="1DC6D440" w14:textId="77777777" w:rsidR="00766E6D" w:rsidRPr="00241C9E" w:rsidRDefault="00766E6D" w:rsidP="00A62F2F">
            <w:pPr>
              <w:rPr>
                <w:rFonts w:cs="Arial"/>
              </w:rPr>
            </w:pPr>
            <w:r w:rsidRPr="00241C9E">
              <w:rPr>
                <w:rFonts w:cs="Arial"/>
              </w:rPr>
              <w:t>Thesis Abstract</w:t>
            </w:r>
          </w:p>
          <w:p w14:paraId="6FC95BFC" w14:textId="77777777" w:rsidR="00766E6D" w:rsidRPr="00241C9E" w:rsidRDefault="00766E6D" w:rsidP="00A62F2F">
            <w:pPr>
              <w:rPr>
                <w:rFonts w:cs="Arial"/>
              </w:rPr>
            </w:pPr>
          </w:p>
        </w:tc>
        <w:tc>
          <w:tcPr>
            <w:tcW w:w="1838" w:type="dxa"/>
            <w:tcBorders>
              <w:top w:val="nil"/>
              <w:bottom w:val="nil"/>
              <w:right w:val="nil"/>
            </w:tcBorders>
          </w:tcPr>
          <w:p w14:paraId="1ADAD05B" w14:textId="77777777" w:rsidR="00766E6D" w:rsidRPr="00241C9E" w:rsidRDefault="00766E6D" w:rsidP="00226A16">
            <w:pPr>
              <w:rPr>
                <w:rFonts w:cs="Arial"/>
              </w:rPr>
            </w:pPr>
            <w:r w:rsidRPr="00241C9E">
              <w:rPr>
                <w:rFonts w:cs="Arial"/>
              </w:rPr>
              <w:t>2</w:t>
            </w:r>
            <w:r w:rsidR="00226A16" w:rsidRPr="00241C9E">
              <w:rPr>
                <w:rFonts w:cs="Arial"/>
              </w:rPr>
              <w:t>99</w:t>
            </w:r>
          </w:p>
        </w:tc>
      </w:tr>
      <w:tr w:rsidR="00766E6D" w:rsidRPr="00241C9E" w14:paraId="650E8B1E" w14:textId="77777777" w:rsidTr="00A62F2F">
        <w:tc>
          <w:tcPr>
            <w:tcW w:w="3969" w:type="dxa"/>
            <w:tcBorders>
              <w:top w:val="nil"/>
              <w:left w:val="nil"/>
              <w:bottom w:val="nil"/>
            </w:tcBorders>
          </w:tcPr>
          <w:p w14:paraId="2DB168FF" w14:textId="77777777" w:rsidR="00766E6D" w:rsidRPr="00241C9E" w:rsidRDefault="00766E6D" w:rsidP="00A62F2F">
            <w:pPr>
              <w:rPr>
                <w:rFonts w:cs="Arial"/>
              </w:rPr>
            </w:pPr>
            <w:r w:rsidRPr="00241C9E">
              <w:rPr>
                <w:rFonts w:cs="Arial"/>
              </w:rPr>
              <w:t>Paper One: Literature Review</w:t>
            </w:r>
          </w:p>
          <w:p w14:paraId="0A15BCC2" w14:textId="77777777" w:rsidR="00766E6D" w:rsidRPr="00241C9E" w:rsidRDefault="00766E6D" w:rsidP="00A62F2F">
            <w:pPr>
              <w:rPr>
                <w:rFonts w:cs="Arial"/>
              </w:rPr>
            </w:pPr>
          </w:p>
        </w:tc>
        <w:tc>
          <w:tcPr>
            <w:tcW w:w="1838" w:type="dxa"/>
            <w:tcBorders>
              <w:top w:val="nil"/>
              <w:bottom w:val="nil"/>
              <w:right w:val="nil"/>
            </w:tcBorders>
          </w:tcPr>
          <w:p w14:paraId="7EF701D7" w14:textId="2008B8A7" w:rsidR="00766E6D" w:rsidRPr="00241C9E" w:rsidRDefault="009427A4" w:rsidP="00A62F2F">
            <w:pPr>
              <w:rPr>
                <w:rFonts w:cs="Arial"/>
              </w:rPr>
            </w:pPr>
            <w:r w:rsidRPr="00241C9E">
              <w:rPr>
                <w:rFonts w:cs="Arial"/>
              </w:rPr>
              <w:t>7,896</w:t>
            </w:r>
          </w:p>
        </w:tc>
      </w:tr>
      <w:tr w:rsidR="00766E6D" w:rsidRPr="00241C9E" w14:paraId="368EA2F5" w14:textId="77777777" w:rsidTr="00A62F2F">
        <w:tc>
          <w:tcPr>
            <w:tcW w:w="3969" w:type="dxa"/>
            <w:tcBorders>
              <w:top w:val="nil"/>
              <w:left w:val="nil"/>
              <w:bottom w:val="nil"/>
            </w:tcBorders>
          </w:tcPr>
          <w:p w14:paraId="79FBDB08" w14:textId="77777777" w:rsidR="00766E6D" w:rsidRPr="00241C9E" w:rsidRDefault="00766E6D" w:rsidP="00A62F2F">
            <w:pPr>
              <w:rPr>
                <w:rFonts w:cs="Arial"/>
              </w:rPr>
            </w:pPr>
            <w:r w:rsidRPr="00241C9E">
              <w:rPr>
                <w:rFonts w:cs="Arial"/>
              </w:rPr>
              <w:t>Paper Two: Empirical Paper</w:t>
            </w:r>
          </w:p>
          <w:p w14:paraId="4E0EB9A4" w14:textId="77777777" w:rsidR="00766E6D" w:rsidRPr="00241C9E" w:rsidRDefault="00766E6D" w:rsidP="00A62F2F">
            <w:pPr>
              <w:rPr>
                <w:rFonts w:cs="Arial"/>
              </w:rPr>
            </w:pPr>
          </w:p>
        </w:tc>
        <w:tc>
          <w:tcPr>
            <w:tcW w:w="1838" w:type="dxa"/>
            <w:tcBorders>
              <w:top w:val="nil"/>
              <w:bottom w:val="nil"/>
              <w:right w:val="nil"/>
            </w:tcBorders>
          </w:tcPr>
          <w:p w14:paraId="25F4AC9C" w14:textId="0CB2A973" w:rsidR="00766E6D" w:rsidRPr="00241C9E" w:rsidRDefault="001B08DD" w:rsidP="00A62F2F">
            <w:pPr>
              <w:rPr>
                <w:rFonts w:cs="Arial"/>
              </w:rPr>
            </w:pPr>
            <w:r>
              <w:rPr>
                <w:rFonts w:cs="Arial"/>
              </w:rPr>
              <w:t>7,922</w:t>
            </w:r>
          </w:p>
        </w:tc>
      </w:tr>
      <w:tr w:rsidR="00766E6D" w:rsidRPr="00241C9E" w14:paraId="1AB85F3D" w14:textId="77777777" w:rsidTr="00A62F2F">
        <w:tc>
          <w:tcPr>
            <w:tcW w:w="3969" w:type="dxa"/>
            <w:tcBorders>
              <w:top w:val="nil"/>
              <w:left w:val="nil"/>
              <w:bottom w:val="single" w:sz="4" w:space="0" w:color="auto"/>
            </w:tcBorders>
          </w:tcPr>
          <w:p w14:paraId="190E5305" w14:textId="77777777" w:rsidR="00766E6D" w:rsidRPr="00241C9E" w:rsidRDefault="00766E6D" w:rsidP="00A62F2F">
            <w:pPr>
              <w:rPr>
                <w:rFonts w:cs="Arial"/>
              </w:rPr>
            </w:pPr>
            <w:r w:rsidRPr="00241C9E">
              <w:rPr>
                <w:rFonts w:cs="Arial"/>
              </w:rPr>
              <w:t>Paper Three: Executive Summary</w:t>
            </w:r>
          </w:p>
        </w:tc>
        <w:tc>
          <w:tcPr>
            <w:tcW w:w="1838" w:type="dxa"/>
            <w:tcBorders>
              <w:top w:val="nil"/>
              <w:bottom w:val="single" w:sz="4" w:space="0" w:color="auto"/>
              <w:right w:val="nil"/>
            </w:tcBorders>
          </w:tcPr>
          <w:p w14:paraId="55939B44" w14:textId="7C2E539A" w:rsidR="00766E6D" w:rsidRPr="00241C9E" w:rsidRDefault="001B08DD" w:rsidP="00A62F2F">
            <w:pPr>
              <w:rPr>
                <w:rFonts w:cs="Arial"/>
              </w:rPr>
            </w:pPr>
            <w:r>
              <w:rPr>
                <w:rFonts w:cs="Arial"/>
              </w:rPr>
              <w:t>2,067</w:t>
            </w:r>
          </w:p>
        </w:tc>
      </w:tr>
      <w:tr w:rsidR="00766E6D" w:rsidRPr="00241C9E" w14:paraId="219ECB94" w14:textId="77777777" w:rsidTr="00A62F2F">
        <w:tc>
          <w:tcPr>
            <w:tcW w:w="3969" w:type="dxa"/>
            <w:tcBorders>
              <w:top w:val="single" w:sz="4" w:space="0" w:color="auto"/>
              <w:left w:val="nil"/>
            </w:tcBorders>
          </w:tcPr>
          <w:p w14:paraId="2E2A7157" w14:textId="77777777" w:rsidR="00766E6D" w:rsidRPr="00241C9E" w:rsidRDefault="00766E6D" w:rsidP="00A62F2F">
            <w:pPr>
              <w:rPr>
                <w:rFonts w:cs="Arial"/>
              </w:rPr>
            </w:pPr>
          </w:p>
          <w:p w14:paraId="2D4AE9B4" w14:textId="77777777" w:rsidR="00766E6D" w:rsidRPr="00241C9E" w:rsidRDefault="00766E6D" w:rsidP="00A62F2F">
            <w:pPr>
              <w:rPr>
                <w:rFonts w:cs="Arial"/>
              </w:rPr>
            </w:pPr>
            <w:r w:rsidRPr="00241C9E">
              <w:rPr>
                <w:rFonts w:cs="Arial"/>
              </w:rPr>
              <w:t>Total Word Count</w:t>
            </w:r>
          </w:p>
        </w:tc>
        <w:tc>
          <w:tcPr>
            <w:tcW w:w="1838" w:type="dxa"/>
            <w:tcBorders>
              <w:right w:val="nil"/>
            </w:tcBorders>
          </w:tcPr>
          <w:p w14:paraId="2DF462BA" w14:textId="77777777" w:rsidR="00766E6D" w:rsidRPr="00241C9E" w:rsidRDefault="00766E6D" w:rsidP="00A62F2F">
            <w:pPr>
              <w:rPr>
                <w:rFonts w:cs="Arial"/>
              </w:rPr>
            </w:pPr>
          </w:p>
          <w:p w14:paraId="137C463A" w14:textId="561B03A1" w:rsidR="00766E6D" w:rsidRPr="00241C9E" w:rsidRDefault="001B08DD" w:rsidP="00A62F2F">
            <w:pPr>
              <w:rPr>
                <w:rFonts w:cs="Arial"/>
              </w:rPr>
            </w:pPr>
            <w:r>
              <w:rPr>
                <w:rFonts w:cs="Arial"/>
              </w:rPr>
              <w:t>18,184</w:t>
            </w:r>
          </w:p>
        </w:tc>
      </w:tr>
    </w:tbl>
    <w:p w14:paraId="63F4C28F" w14:textId="77777777" w:rsidR="00766E6D" w:rsidRPr="00A62F2F" w:rsidRDefault="00766E6D" w:rsidP="00766E6D">
      <w:pPr>
        <w:spacing w:after="0"/>
        <w:rPr>
          <w:rFonts w:ascii="Arial" w:hAnsi="Arial" w:cs="Arial"/>
          <w:sz w:val="24"/>
          <w:szCs w:val="24"/>
        </w:rPr>
      </w:pPr>
    </w:p>
    <w:p w14:paraId="3FD8C0F7" w14:textId="77777777" w:rsidR="00766E6D" w:rsidRPr="00A62F2F" w:rsidRDefault="00766E6D">
      <w:pPr>
        <w:rPr>
          <w:rFonts w:ascii="Arial" w:hAnsi="Arial" w:cs="Arial"/>
          <w:sz w:val="24"/>
          <w:szCs w:val="24"/>
        </w:rPr>
      </w:pPr>
    </w:p>
    <w:p w14:paraId="796F9579" w14:textId="77777777" w:rsidR="00766E6D" w:rsidRPr="00A62F2F" w:rsidRDefault="00766E6D">
      <w:pPr>
        <w:rPr>
          <w:rFonts w:ascii="Arial" w:hAnsi="Arial" w:cs="Arial"/>
          <w:sz w:val="24"/>
          <w:szCs w:val="24"/>
        </w:rPr>
      </w:pPr>
    </w:p>
    <w:p w14:paraId="48C649AE" w14:textId="77777777" w:rsidR="006767FE" w:rsidRDefault="006767FE">
      <w:pPr>
        <w:rPr>
          <w:rFonts w:ascii="Arial" w:hAnsi="Arial" w:cs="Arial"/>
          <w:sz w:val="24"/>
          <w:szCs w:val="24"/>
        </w:rPr>
      </w:pPr>
    </w:p>
    <w:p w14:paraId="7A056276" w14:textId="77777777" w:rsidR="00BC1C17" w:rsidRDefault="00BC1C17">
      <w:pPr>
        <w:rPr>
          <w:rFonts w:ascii="Arial" w:hAnsi="Arial" w:cs="Arial"/>
          <w:sz w:val="24"/>
          <w:szCs w:val="24"/>
        </w:rPr>
      </w:pPr>
    </w:p>
    <w:p w14:paraId="3B9F494B" w14:textId="036F2BD4" w:rsidR="00BC1C17" w:rsidRDefault="00BC1C17">
      <w:pPr>
        <w:rPr>
          <w:rFonts w:ascii="Arial" w:hAnsi="Arial" w:cs="Arial"/>
          <w:sz w:val="24"/>
          <w:szCs w:val="24"/>
        </w:rPr>
      </w:pPr>
    </w:p>
    <w:p w14:paraId="5AF120A2" w14:textId="078F1400" w:rsidR="00241C9E" w:rsidRDefault="00241C9E">
      <w:pPr>
        <w:rPr>
          <w:rFonts w:ascii="Arial" w:hAnsi="Arial" w:cs="Arial"/>
          <w:sz w:val="24"/>
          <w:szCs w:val="24"/>
        </w:rPr>
      </w:pPr>
    </w:p>
    <w:p w14:paraId="16FEFB13" w14:textId="77777777" w:rsidR="00241C9E" w:rsidRDefault="00241C9E">
      <w:pPr>
        <w:rPr>
          <w:rFonts w:ascii="Arial" w:hAnsi="Arial" w:cs="Arial"/>
          <w:sz w:val="24"/>
          <w:szCs w:val="24"/>
        </w:rPr>
      </w:pPr>
    </w:p>
    <w:p w14:paraId="68CBA8F8" w14:textId="77777777" w:rsidR="00747028" w:rsidRDefault="00747028">
      <w:pPr>
        <w:rPr>
          <w:rFonts w:ascii="Arial" w:hAnsi="Arial" w:cs="Arial"/>
          <w:sz w:val="24"/>
          <w:szCs w:val="24"/>
        </w:rPr>
      </w:pPr>
    </w:p>
    <w:p w14:paraId="681E336B" w14:textId="77777777" w:rsidR="00226A16" w:rsidRPr="00A62F2F" w:rsidRDefault="00226A16">
      <w:pPr>
        <w:rPr>
          <w:rFonts w:ascii="Arial" w:hAnsi="Arial" w:cs="Arial"/>
          <w:sz w:val="24"/>
          <w:szCs w:val="24"/>
        </w:rPr>
      </w:pPr>
    </w:p>
    <w:sdt>
      <w:sdtPr>
        <w:rPr>
          <w:rFonts w:eastAsiaTheme="minorHAnsi" w:cstheme="minorBidi"/>
          <w:b w:val="0"/>
          <w:lang w:val="en-GB"/>
        </w:rPr>
        <w:id w:val="-1963106179"/>
        <w:docPartObj>
          <w:docPartGallery w:val="Table of Contents"/>
          <w:docPartUnique/>
        </w:docPartObj>
      </w:sdtPr>
      <w:sdtEndPr>
        <w:rPr>
          <w:rFonts w:ascii="Arial" w:hAnsi="Arial" w:cs="Arial"/>
          <w:bCs/>
          <w:noProof/>
          <w:sz w:val="24"/>
          <w:szCs w:val="24"/>
        </w:rPr>
      </w:sdtEndPr>
      <w:sdtContent>
        <w:p w14:paraId="69A77D57" w14:textId="77777777" w:rsidR="006767FE" w:rsidRPr="00A62F2F" w:rsidRDefault="006767FE" w:rsidP="00027769">
          <w:pPr>
            <w:pStyle w:val="TOCHeading"/>
          </w:pPr>
          <w:r w:rsidRPr="00A62F2F">
            <w:t>Contents</w:t>
          </w:r>
        </w:p>
        <w:p w14:paraId="67620B0F" w14:textId="76827FD4" w:rsidR="000D292E" w:rsidRDefault="006767FE">
          <w:pPr>
            <w:pStyle w:val="TOC1"/>
            <w:rPr>
              <w:rFonts w:eastAsiaTheme="minorEastAsia"/>
              <w:color w:val="auto"/>
              <w:lang w:eastAsia="en-GB"/>
            </w:rPr>
          </w:pPr>
          <w:r w:rsidRPr="00A62F2F">
            <w:rPr>
              <w:rFonts w:ascii="Arial" w:hAnsi="Arial" w:cs="Arial"/>
              <w:sz w:val="24"/>
              <w:szCs w:val="24"/>
            </w:rPr>
            <w:fldChar w:fldCharType="begin"/>
          </w:r>
          <w:r w:rsidRPr="00A62F2F">
            <w:rPr>
              <w:rFonts w:ascii="Arial" w:hAnsi="Arial" w:cs="Arial"/>
              <w:sz w:val="24"/>
              <w:szCs w:val="24"/>
            </w:rPr>
            <w:instrText xml:space="preserve"> TOC \o "1-3" \h \z \u </w:instrText>
          </w:r>
          <w:r w:rsidRPr="00A62F2F">
            <w:rPr>
              <w:rFonts w:ascii="Arial" w:hAnsi="Arial" w:cs="Arial"/>
              <w:sz w:val="24"/>
              <w:szCs w:val="24"/>
            </w:rPr>
            <w:fldChar w:fldCharType="separate"/>
          </w:r>
          <w:hyperlink w:anchor="_Toc133487762" w:history="1">
            <w:r w:rsidR="000D292E" w:rsidRPr="00602635">
              <w:rPr>
                <w:rStyle w:val="Hyperlink"/>
                <w:rFonts w:cs="Arial"/>
              </w:rPr>
              <w:t>Acknowledgements</w:t>
            </w:r>
            <w:r w:rsidR="000D292E">
              <w:rPr>
                <w:webHidden/>
              </w:rPr>
              <w:tab/>
            </w:r>
            <w:r w:rsidR="000D292E">
              <w:rPr>
                <w:webHidden/>
              </w:rPr>
              <w:fldChar w:fldCharType="begin"/>
            </w:r>
            <w:r w:rsidR="000D292E">
              <w:rPr>
                <w:webHidden/>
              </w:rPr>
              <w:instrText xml:space="preserve"> PAGEREF _Toc133487762 \h </w:instrText>
            </w:r>
            <w:r w:rsidR="000D292E">
              <w:rPr>
                <w:webHidden/>
              </w:rPr>
            </w:r>
            <w:r w:rsidR="000D292E">
              <w:rPr>
                <w:webHidden/>
              </w:rPr>
              <w:fldChar w:fldCharType="separate"/>
            </w:r>
            <w:r w:rsidR="001B08DD">
              <w:rPr>
                <w:webHidden/>
              </w:rPr>
              <w:t>3</w:t>
            </w:r>
            <w:r w:rsidR="000D292E">
              <w:rPr>
                <w:webHidden/>
              </w:rPr>
              <w:fldChar w:fldCharType="end"/>
            </w:r>
          </w:hyperlink>
        </w:p>
        <w:p w14:paraId="374F3A28" w14:textId="40A22E33" w:rsidR="000D292E" w:rsidRDefault="00000000">
          <w:pPr>
            <w:pStyle w:val="TOC1"/>
            <w:rPr>
              <w:rFonts w:eastAsiaTheme="minorEastAsia"/>
              <w:color w:val="auto"/>
              <w:lang w:eastAsia="en-GB"/>
            </w:rPr>
          </w:pPr>
          <w:hyperlink w:anchor="_Toc133487763" w:history="1">
            <w:r w:rsidR="000D292E" w:rsidRPr="00602635">
              <w:rPr>
                <w:rStyle w:val="Hyperlink"/>
              </w:rPr>
              <w:t>Thesis Abstract</w:t>
            </w:r>
            <w:r w:rsidR="000D292E">
              <w:rPr>
                <w:webHidden/>
              </w:rPr>
              <w:tab/>
            </w:r>
            <w:r w:rsidR="000D292E">
              <w:rPr>
                <w:webHidden/>
              </w:rPr>
              <w:fldChar w:fldCharType="begin"/>
            </w:r>
            <w:r w:rsidR="000D292E">
              <w:rPr>
                <w:webHidden/>
              </w:rPr>
              <w:instrText xml:space="preserve"> PAGEREF _Toc133487763 \h </w:instrText>
            </w:r>
            <w:r w:rsidR="000D292E">
              <w:rPr>
                <w:webHidden/>
              </w:rPr>
            </w:r>
            <w:r w:rsidR="000D292E">
              <w:rPr>
                <w:webHidden/>
              </w:rPr>
              <w:fldChar w:fldCharType="separate"/>
            </w:r>
            <w:r w:rsidR="001B08DD">
              <w:rPr>
                <w:webHidden/>
              </w:rPr>
              <w:t>9</w:t>
            </w:r>
            <w:r w:rsidR="000D292E">
              <w:rPr>
                <w:webHidden/>
              </w:rPr>
              <w:fldChar w:fldCharType="end"/>
            </w:r>
          </w:hyperlink>
        </w:p>
        <w:p w14:paraId="5906C8E8" w14:textId="77777777" w:rsidR="001B08DD" w:rsidRDefault="001B08DD">
          <w:pPr>
            <w:pStyle w:val="TOC1"/>
            <w:rPr>
              <w:rStyle w:val="Hyperlink"/>
            </w:rPr>
          </w:pPr>
        </w:p>
        <w:p w14:paraId="6D66378D" w14:textId="1612C4EC" w:rsidR="000D292E" w:rsidRDefault="00000000" w:rsidP="001B08DD">
          <w:pPr>
            <w:pStyle w:val="TOC1"/>
            <w:rPr>
              <w:rFonts w:eastAsiaTheme="minorEastAsia"/>
              <w:color w:val="auto"/>
              <w:lang w:eastAsia="en-GB"/>
            </w:rPr>
          </w:pPr>
          <w:hyperlink w:anchor="_Toc133487764" w:history="1">
            <w:r w:rsidR="000D292E" w:rsidRPr="00602635">
              <w:rPr>
                <w:rStyle w:val="Hyperlink"/>
              </w:rPr>
              <w:t>Paper 1: Review</w:t>
            </w:r>
            <w:r w:rsidR="000D292E">
              <w:rPr>
                <w:webHidden/>
              </w:rPr>
              <w:tab/>
            </w:r>
            <w:r w:rsidR="000D292E">
              <w:rPr>
                <w:webHidden/>
              </w:rPr>
              <w:fldChar w:fldCharType="begin"/>
            </w:r>
            <w:r w:rsidR="000D292E">
              <w:rPr>
                <w:webHidden/>
              </w:rPr>
              <w:instrText xml:space="preserve"> PAGEREF _Toc133487764 \h </w:instrText>
            </w:r>
            <w:r w:rsidR="000D292E">
              <w:rPr>
                <w:webHidden/>
              </w:rPr>
            </w:r>
            <w:r w:rsidR="000D292E">
              <w:rPr>
                <w:webHidden/>
              </w:rPr>
              <w:fldChar w:fldCharType="separate"/>
            </w:r>
            <w:r w:rsidR="001B08DD">
              <w:rPr>
                <w:webHidden/>
              </w:rPr>
              <w:t>10</w:t>
            </w:r>
            <w:r w:rsidR="000D292E">
              <w:rPr>
                <w:webHidden/>
              </w:rPr>
              <w:fldChar w:fldCharType="end"/>
            </w:r>
          </w:hyperlink>
        </w:p>
        <w:p w14:paraId="056E20C6" w14:textId="2BFFFAC3" w:rsidR="000D292E" w:rsidRDefault="00000000">
          <w:pPr>
            <w:pStyle w:val="TOC1"/>
            <w:rPr>
              <w:rFonts w:eastAsiaTheme="minorEastAsia"/>
              <w:color w:val="auto"/>
              <w:lang w:eastAsia="en-GB"/>
            </w:rPr>
          </w:pPr>
          <w:hyperlink w:anchor="_Toc133487766" w:history="1">
            <w:r w:rsidR="000D292E" w:rsidRPr="00602635">
              <w:rPr>
                <w:rStyle w:val="Hyperlink"/>
              </w:rPr>
              <w:t>Abstract</w:t>
            </w:r>
            <w:r w:rsidR="000D292E">
              <w:rPr>
                <w:webHidden/>
              </w:rPr>
              <w:tab/>
            </w:r>
            <w:r w:rsidR="000D292E">
              <w:rPr>
                <w:webHidden/>
              </w:rPr>
              <w:fldChar w:fldCharType="begin"/>
            </w:r>
            <w:r w:rsidR="000D292E">
              <w:rPr>
                <w:webHidden/>
              </w:rPr>
              <w:instrText xml:space="preserve"> PAGEREF _Toc133487766 \h </w:instrText>
            </w:r>
            <w:r w:rsidR="000D292E">
              <w:rPr>
                <w:webHidden/>
              </w:rPr>
            </w:r>
            <w:r w:rsidR="000D292E">
              <w:rPr>
                <w:webHidden/>
              </w:rPr>
              <w:fldChar w:fldCharType="separate"/>
            </w:r>
            <w:r w:rsidR="001B08DD">
              <w:rPr>
                <w:webHidden/>
              </w:rPr>
              <w:t>11</w:t>
            </w:r>
            <w:r w:rsidR="000D292E">
              <w:rPr>
                <w:webHidden/>
              </w:rPr>
              <w:fldChar w:fldCharType="end"/>
            </w:r>
          </w:hyperlink>
        </w:p>
        <w:p w14:paraId="6CEC0BD7" w14:textId="4286BCF7" w:rsidR="000D292E" w:rsidRDefault="00000000">
          <w:pPr>
            <w:pStyle w:val="TOC2"/>
            <w:tabs>
              <w:tab w:val="right" w:leader="dot" w:pos="9016"/>
            </w:tabs>
            <w:rPr>
              <w:rFonts w:eastAsiaTheme="minorEastAsia"/>
              <w:noProof/>
              <w:lang w:eastAsia="en-GB"/>
            </w:rPr>
          </w:pPr>
          <w:hyperlink w:anchor="_Toc133487767" w:history="1">
            <w:r w:rsidR="000D292E" w:rsidRPr="00602635">
              <w:rPr>
                <w:rStyle w:val="Hyperlink"/>
                <w:noProof/>
              </w:rPr>
              <w:t>Background</w:t>
            </w:r>
            <w:r w:rsidR="000D292E">
              <w:rPr>
                <w:noProof/>
                <w:webHidden/>
              </w:rPr>
              <w:tab/>
            </w:r>
            <w:r w:rsidR="000D292E">
              <w:rPr>
                <w:noProof/>
                <w:webHidden/>
              </w:rPr>
              <w:fldChar w:fldCharType="begin"/>
            </w:r>
            <w:r w:rsidR="000D292E">
              <w:rPr>
                <w:noProof/>
                <w:webHidden/>
              </w:rPr>
              <w:instrText xml:space="preserve"> PAGEREF _Toc133487767 \h </w:instrText>
            </w:r>
            <w:r w:rsidR="000D292E">
              <w:rPr>
                <w:noProof/>
                <w:webHidden/>
              </w:rPr>
            </w:r>
            <w:r w:rsidR="000D292E">
              <w:rPr>
                <w:noProof/>
                <w:webHidden/>
              </w:rPr>
              <w:fldChar w:fldCharType="separate"/>
            </w:r>
            <w:r w:rsidR="001B08DD">
              <w:rPr>
                <w:noProof/>
                <w:webHidden/>
              </w:rPr>
              <w:t>11</w:t>
            </w:r>
            <w:r w:rsidR="000D292E">
              <w:rPr>
                <w:noProof/>
                <w:webHidden/>
              </w:rPr>
              <w:fldChar w:fldCharType="end"/>
            </w:r>
          </w:hyperlink>
        </w:p>
        <w:p w14:paraId="368F34FC" w14:textId="5B673A6D" w:rsidR="000D292E" w:rsidRDefault="00000000">
          <w:pPr>
            <w:pStyle w:val="TOC2"/>
            <w:tabs>
              <w:tab w:val="right" w:leader="dot" w:pos="9016"/>
            </w:tabs>
            <w:rPr>
              <w:rFonts w:eastAsiaTheme="minorEastAsia"/>
              <w:noProof/>
              <w:lang w:eastAsia="en-GB"/>
            </w:rPr>
          </w:pPr>
          <w:hyperlink w:anchor="_Toc133487768" w:history="1">
            <w:r w:rsidR="000D292E" w:rsidRPr="00602635">
              <w:rPr>
                <w:rStyle w:val="Hyperlink"/>
                <w:noProof/>
              </w:rPr>
              <w:t>Method</w:t>
            </w:r>
            <w:r w:rsidR="000D292E">
              <w:rPr>
                <w:noProof/>
                <w:webHidden/>
              </w:rPr>
              <w:tab/>
            </w:r>
            <w:r w:rsidR="000D292E">
              <w:rPr>
                <w:noProof/>
                <w:webHidden/>
              </w:rPr>
              <w:fldChar w:fldCharType="begin"/>
            </w:r>
            <w:r w:rsidR="000D292E">
              <w:rPr>
                <w:noProof/>
                <w:webHidden/>
              </w:rPr>
              <w:instrText xml:space="preserve"> PAGEREF _Toc133487768 \h </w:instrText>
            </w:r>
            <w:r w:rsidR="000D292E">
              <w:rPr>
                <w:noProof/>
                <w:webHidden/>
              </w:rPr>
            </w:r>
            <w:r w:rsidR="000D292E">
              <w:rPr>
                <w:noProof/>
                <w:webHidden/>
              </w:rPr>
              <w:fldChar w:fldCharType="separate"/>
            </w:r>
            <w:r w:rsidR="001B08DD">
              <w:rPr>
                <w:noProof/>
                <w:webHidden/>
              </w:rPr>
              <w:t>11</w:t>
            </w:r>
            <w:r w:rsidR="000D292E">
              <w:rPr>
                <w:noProof/>
                <w:webHidden/>
              </w:rPr>
              <w:fldChar w:fldCharType="end"/>
            </w:r>
          </w:hyperlink>
        </w:p>
        <w:p w14:paraId="2EF08762" w14:textId="0AF78732" w:rsidR="000D292E" w:rsidRDefault="00000000">
          <w:pPr>
            <w:pStyle w:val="TOC2"/>
            <w:tabs>
              <w:tab w:val="right" w:leader="dot" w:pos="9016"/>
            </w:tabs>
            <w:rPr>
              <w:rFonts w:eastAsiaTheme="minorEastAsia"/>
              <w:noProof/>
              <w:lang w:eastAsia="en-GB"/>
            </w:rPr>
          </w:pPr>
          <w:hyperlink w:anchor="_Toc133487769" w:history="1">
            <w:r w:rsidR="000D292E" w:rsidRPr="00602635">
              <w:rPr>
                <w:rStyle w:val="Hyperlink"/>
                <w:noProof/>
              </w:rPr>
              <w:t>Results</w:t>
            </w:r>
            <w:r w:rsidR="000D292E">
              <w:rPr>
                <w:noProof/>
                <w:webHidden/>
              </w:rPr>
              <w:tab/>
            </w:r>
            <w:r w:rsidR="000D292E">
              <w:rPr>
                <w:noProof/>
                <w:webHidden/>
              </w:rPr>
              <w:fldChar w:fldCharType="begin"/>
            </w:r>
            <w:r w:rsidR="000D292E">
              <w:rPr>
                <w:noProof/>
                <w:webHidden/>
              </w:rPr>
              <w:instrText xml:space="preserve"> PAGEREF _Toc133487769 \h </w:instrText>
            </w:r>
            <w:r w:rsidR="000D292E">
              <w:rPr>
                <w:noProof/>
                <w:webHidden/>
              </w:rPr>
            </w:r>
            <w:r w:rsidR="000D292E">
              <w:rPr>
                <w:noProof/>
                <w:webHidden/>
              </w:rPr>
              <w:fldChar w:fldCharType="separate"/>
            </w:r>
            <w:r w:rsidR="001B08DD">
              <w:rPr>
                <w:noProof/>
                <w:webHidden/>
              </w:rPr>
              <w:t>11</w:t>
            </w:r>
            <w:r w:rsidR="000D292E">
              <w:rPr>
                <w:noProof/>
                <w:webHidden/>
              </w:rPr>
              <w:fldChar w:fldCharType="end"/>
            </w:r>
          </w:hyperlink>
        </w:p>
        <w:p w14:paraId="5C867A4A" w14:textId="07FE2C23" w:rsidR="000D292E" w:rsidRDefault="00000000">
          <w:pPr>
            <w:pStyle w:val="TOC2"/>
            <w:tabs>
              <w:tab w:val="right" w:leader="dot" w:pos="9016"/>
            </w:tabs>
            <w:rPr>
              <w:rFonts w:eastAsiaTheme="minorEastAsia"/>
              <w:noProof/>
              <w:lang w:eastAsia="en-GB"/>
            </w:rPr>
          </w:pPr>
          <w:hyperlink w:anchor="_Toc133487770" w:history="1">
            <w:r w:rsidR="000D292E" w:rsidRPr="00602635">
              <w:rPr>
                <w:rStyle w:val="Hyperlink"/>
                <w:noProof/>
              </w:rPr>
              <w:t>Conclusions</w:t>
            </w:r>
            <w:r w:rsidR="000D292E">
              <w:rPr>
                <w:noProof/>
                <w:webHidden/>
              </w:rPr>
              <w:tab/>
            </w:r>
            <w:r w:rsidR="000D292E">
              <w:rPr>
                <w:noProof/>
                <w:webHidden/>
              </w:rPr>
              <w:fldChar w:fldCharType="begin"/>
            </w:r>
            <w:r w:rsidR="000D292E">
              <w:rPr>
                <w:noProof/>
                <w:webHidden/>
              </w:rPr>
              <w:instrText xml:space="preserve"> PAGEREF _Toc133487770 \h </w:instrText>
            </w:r>
            <w:r w:rsidR="000D292E">
              <w:rPr>
                <w:noProof/>
                <w:webHidden/>
              </w:rPr>
            </w:r>
            <w:r w:rsidR="000D292E">
              <w:rPr>
                <w:noProof/>
                <w:webHidden/>
              </w:rPr>
              <w:fldChar w:fldCharType="separate"/>
            </w:r>
            <w:r w:rsidR="001B08DD">
              <w:rPr>
                <w:noProof/>
                <w:webHidden/>
              </w:rPr>
              <w:t>11</w:t>
            </w:r>
            <w:r w:rsidR="000D292E">
              <w:rPr>
                <w:noProof/>
                <w:webHidden/>
              </w:rPr>
              <w:fldChar w:fldCharType="end"/>
            </w:r>
          </w:hyperlink>
        </w:p>
        <w:p w14:paraId="2E0E51DC" w14:textId="5C7A74FF" w:rsidR="000D292E" w:rsidRDefault="00000000">
          <w:pPr>
            <w:pStyle w:val="TOC1"/>
            <w:rPr>
              <w:rFonts w:eastAsiaTheme="minorEastAsia"/>
              <w:color w:val="auto"/>
              <w:lang w:eastAsia="en-GB"/>
            </w:rPr>
          </w:pPr>
          <w:hyperlink w:anchor="_Toc133487771" w:history="1">
            <w:r w:rsidR="000D292E" w:rsidRPr="00602635">
              <w:rPr>
                <w:rStyle w:val="Hyperlink"/>
              </w:rPr>
              <w:t>Introduction</w:t>
            </w:r>
            <w:r w:rsidR="000D292E">
              <w:rPr>
                <w:webHidden/>
              </w:rPr>
              <w:tab/>
            </w:r>
            <w:r w:rsidR="000D292E">
              <w:rPr>
                <w:webHidden/>
              </w:rPr>
              <w:fldChar w:fldCharType="begin"/>
            </w:r>
            <w:r w:rsidR="000D292E">
              <w:rPr>
                <w:webHidden/>
              </w:rPr>
              <w:instrText xml:space="preserve"> PAGEREF _Toc133487771 \h </w:instrText>
            </w:r>
            <w:r w:rsidR="000D292E">
              <w:rPr>
                <w:webHidden/>
              </w:rPr>
            </w:r>
            <w:r w:rsidR="000D292E">
              <w:rPr>
                <w:webHidden/>
              </w:rPr>
              <w:fldChar w:fldCharType="separate"/>
            </w:r>
            <w:r w:rsidR="001B08DD">
              <w:rPr>
                <w:webHidden/>
              </w:rPr>
              <w:t>12</w:t>
            </w:r>
            <w:r w:rsidR="000D292E">
              <w:rPr>
                <w:webHidden/>
              </w:rPr>
              <w:fldChar w:fldCharType="end"/>
            </w:r>
          </w:hyperlink>
        </w:p>
        <w:p w14:paraId="76672AC1" w14:textId="227B8AFC" w:rsidR="000D292E" w:rsidRDefault="00000000">
          <w:pPr>
            <w:pStyle w:val="TOC2"/>
            <w:tabs>
              <w:tab w:val="right" w:leader="dot" w:pos="9016"/>
            </w:tabs>
            <w:rPr>
              <w:rFonts w:eastAsiaTheme="minorEastAsia"/>
              <w:noProof/>
              <w:lang w:eastAsia="en-GB"/>
            </w:rPr>
          </w:pPr>
          <w:hyperlink w:anchor="_Toc133487772" w:history="1">
            <w:r w:rsidR="000D292E" w:rsidRPr="00602635">
              <w:rPr>
                <w:rStyle w:val="Hyperlink"/>
                <w:noProof/>
              </w:rPr>
              <w:t>Rationale</w:t>
            </w:r>
            <w:r w:rsidR="000D292E">
              <w:rPr>
                <w:noProof/>
                <w:webHidden/>
              </w:rPr>
              <w:tab/>
            </w:r>
            <w:r w:rsidR="000D292E">
              <w:rPr>
                <w:noProof/>
                <w:webHidden/>
              </w:rPr>
              <w:fldChar w:fldCharType="begin"/>
            </w:r>
            <w:r w:rsidR="000D292E">
              <w:rPr>
                <w:noProof/>
                <w:webHidden/>
              </w:rPr>
              <w:instrText xml:space="preserve"> PAGEREF _Toc133487772 \h </w:instrText>
            </w:r>
            <w:r w:rsidR="000D292E">
              <w:rPr>
                <w:noProof/>
                <w:webHidden/>
              </w:rPr>
            </w:r>
            <w:r w:rsidR="000D292E">
              <w:rPr>
                <w:noProof/>
                <w:webHidden/>
              </w:rPr>
              <w:fldChar w:fldCharType="separate"/>
            </w:r>
            <w:r w:rsidR="001B08DD">
              <w:rPr>
                <w:noProof/>
                <w:webHidden/>
              </w:rPr>
              <w:t>13</w:t>
            </w:r>
            <w:r w:rsidR="000D292E">
              <w:rPr>
                <w:noProof/>
                <w:webHidden/>
              </w:rPr>
              <w:fldChar w:fldCharType="end"/>
            </w:r>
          </w:hyperlink>
        </w:p>
        <w:p w14:paraId="6EE0130A" w14:textId="39109FCA" w:rsidR="000D292E" w:rsidRDefault="00000000">
          <w:pPr>
            <w:pStyle w:val="TOC2"/>
            <w:tabs>
              <w:tab w:val="right" w:leader="dot" w:pos="9016"/>
            </w:tabs>
            <w:rPr>
              <w:rFonts w:eastAsiaTheme="minorEastAsia"/>
              <w:noProof/>
              <w:lang w:eastAsia="en-GB"/>
            </w:rPr>
          </w:pPr>
          <w:hyperlink w:anchor="_Toc133487773" w:history="1">
            <w:r w:rsidR="000D292E" w:rsidRPr="00602635">
              <w:rPr>
                <w:rStyle w:val="Hyperlink"/>
                <w:noProof/>
              </w:rPr>
              <w:t>Review Question</w:t>
            </w:r>
            <w:r w:rsidR="000D292E">
              <w:rPr>
                <w:noProof/>
                <w:webHidden/>
              </w:rPr>
              <w:tab/>
            </w:r>
            <w:r w:rsidR="000D292E">
              <w:rPr>
                <w:noProof/>
                <w:webHidden/>
              </w:rPr>
              <w:fldChar w:fldCharType="begin"/>
            </w:r>
            <w:r w:rsidR="000D292E">
              <w:rPr>
                <w:noProof/>
                <w:webHidden/>
              </w:rPr>
              <w:instrText xml:space="preserve"> PAGEREF _Toc133487773 \h </w:instrText>
            </w:r>
            <w:r w:rsidR="000D292E">
              <w:rPr>
                <w:noProof/>
                <w:webHidden/>
              </w:rPr>
            </w:r>
            <w:r w:rsidR="000D292E">
              <w:rPr>
                <w:noProof/>
                <w:webHidden/>
              </w:rPr>
              <w:fldChar w:fldCharType="separate"/>
            </w:r>
            <w:r w:rsidR="001B08DD">
              <w:rPr>
                <w:noProof/>
                <w:webHidden/>
              </w:rPr>
              <w:t>13</w:t>
            </w:r>
            <w:r w:rsidR="000D292E">
              <w:rPr>
                <w:noProof/>
                <w:webHidden/>
              </w:rPr>
              <w:fldChar w:fldCharType="end"/>
            </w:r>
          </w:hyperlink>
        </w:p>
        <w:p w14:paraId="25475A40" w14:textId="15986D12" w:rsidR="000D292E" w:rsidRDefault="00000000">
          <w:pPr>
            <w:pStyle w:val="TOC1"/>
            <w:rPr>
              <w:rFonts w:eastAsiaTheme="minorEastAsia"/>
              <w:color w:val="auto"/>
              <w:lang w:eastAsia="en-GB"/>
            </w:rPr>
          </w:pPr>
          <w:hyperlink w:anchor="_Toc133487774" w:history="1">
            <w:r w:rsidR="000D292E" w:rsidRPr="00602635">
              <w:rPr>
                <w:rStyle w:val="Hyperlink"/>
              </w:rPr>
              <w:t>Methodology</w:t>
            </w:r>
            <w:r w:rsidR="000D292E">
              <w:rPr>
                <w:webHidden/>
              </w:rPr>
              <w:tab/>
            </w:r>
            <w:r w:rsidR="000D292E">
              <w:rPr>
                <w:webHidden/>
              </w:rPr>
              <w:fldChar w:fldCharType="begin"/>
            </w:r>
            <w:r w:rsidR="000D292E">
              <w:rPr>
                <w:webHidden/>
              </w:rPr>
              <w:instrText xml:space="preserve"> PAGEREF _Toc133487774 \h </w:instrText>
            </w:r>
            <w:r w:rsidR="000D292E">
              <w:rPr>
                <w:webHidden/>
              </w:rPr>
            </w:r>
            <w:r w:rsidR="000D292E">
              <w:rPr>
                <w:webHidden/>
              </w:rPr>
              <w:fldChar w:fldCharType="separate"/>
            </w:r>
            <w:r w:rsidR="001B08DD">
              <w:rPr>
                <w:webHidden/>
              </w:rPr>
              <w:t>14</w:t>
            </w:r>
            <w:r w:rsidR="000D292E">
              <w:rPr>
                <w:webHidden/>
              </w:rPr>
              <w:fldChar w:fldCharType="end"/>
            </w:r>
          </w:hyperlink>
        </w:p>
        <w:p w14:paraId="3D5E0737" w14:textId="0A65BD51" w:rsidR="000D292E" w:rsidRDefault="00000000">
          <w:pPr>
            <w:pStyle w:val="TOC2"/>
            <w:tabs>
              <w:tab w:val="right" w:leader="dot" w:pos="9016"/>
            </w:tabs>
            <w:rPr>
              <w:rFonts w:eastAsiaTheme="minorEastAsia"/>
              <w:noProof/>
              <w:lang w:eastAsia="en-GB"/>
            </w:rPr>
          </w:pPr>
          <w:hyperlink w:anchor="_Toc133487775" w:history="1">
            <w:r w:rsidR="000D292E" w:rsidRPr="00602635">
              <w:rPr>
                <w:rStyle w:val="Hyperlink"/>
                <w:noProof/>
              </w:rPr>
              <w:t>Scoping searches</w:t>
            </w:r>
            <w:r w:rsidR="000D292E">
              <w:rPr>
                <w:noProof/>
                <w:webHidden/>
              </w:rPr>
              <w:tab/>
            </w:r>
            <w:r w:rsidR="000D292E">
              <w:rPr>
                <w:noProof/>
                <w:webHidden/>
              </w:rPr>
              <w:fldChar w:fldCharType="begin"/>
            </w:r>
            <w:r w:rsidR="000D292E">
              <w:rPr>
                <w:noProof/>
                <w:webHidden/>
              </w:rPr>
              <w:instrText xml:space="preserve"> PAGEREF _Toc133487775 \h </w:instrText>
            </w:r>
            <w:r w:rsidR="000D292E">
              <w:rPr>
                <w:noProof/>
                <w:webHidden/>
              </w:rPr>
            </w:r>
            <w:r w:rsidR="000D292E">
              <w:rPr>
                <w:noProof/>
                <w:webHidden/>
              </w:rPr>
              <w:fldChar w:fldCharType="separate"/>
            </w:r>
            <w:r w:rsidR="001B08DD">
              <w:rPr>
                <w:noProof/>
                <w:webHidden/>
              </w:rPr>
              <w:t>14</w:t>
            </w:r>
            <w:r w:rsidR="000D292E">
              <w:rPr>
                <w:noProof/>
                <w:webHidden/>
              </w:rPr>
              <w:fldChar w:fldCharType="end"/>
            </w:r>
          </w:hyperlink>
        </w:p>
        <w:p w14:paraId="5B47AB23" w14:textId="6C861109" w:rsidR="000D292E" w:rsidRDefault="00000000">
          <w:pPr>
            <w:pStyle w:val="TOC2"/>
            <w:tabs>
              <w:tab w:val="right" w:leader="dot" w:pos="9016"/>
            </w:tabs>
            <w:rPr>
              <w:rFonts w:eastAsiaTheme="minorEastAsia"/>
              <w:noProof/>
              <w:lang w:eastAsia="en-GB"/>
            </w:rPr>
          </w:pPr>
          <w:hyperlink w:anchor="_Toc133487776" w:history="1">
            <w:r w:rsidR="000D292E" w:rsidRPr="00602635">
              <w:rPr>
                <w:rStyle w:val="Hyperlink"/>
                <w:noProof/>
              </w:rPr>
              <w:t>Search Strategy</w:t>
            </w:r>
            <w:r w:rsidR="000D292E">
              <w:rPr>
                <w:noProof/>
                <w:webHidden/>
              </w:rPr>
              <w:tab/>
            </w:r>
            <w:r w:rsidR="000D292E">
              <w:rPr>
                <w:noProof/>
                <w:webHidden/>
              </w:rPr>
              <w:fldChar w:fldCharType="begin"/>
            </w:r>
            <w:r w:rsidR="000D292E">
              <w:rPr>
                <w:noProof/>
                <w:webHidden/>
              </w:rPr>
              <w:instrText xml:space="preserve"> PAGEREF _Toc133487776 \h </w:instrText>
            </w:r>
            <w:r w:rsidR="000D292E">
              <w:rPr>
                <w:noProof/>
                <w:webHidden/>
              </w:rPr>
            </w:r>
            <w:r w:rsidR="000D292E">
              <w:rPr>
                <w:noProof/>
                <w:webHidden/>
              </w:rPr>
              <w:fldChar w:fldCharType="separate"/>
            </w:r>
            <w:r w:rsidR="001B08DD">
              <w:rPr>
                <w:noProof/>
                <w:webHidden/>
              </w:rPr>
              <w:t>14</w:t>
            </w:r>
            <w:r w:rsidR="000D292E">
              <w:rPr>
                <w:noProof/>
                <w:webHidden/>
              </w:rPr>
              <w:fldChar w:fldCharType="end"/>
            </w:r>
          </w:hyperlink>
        </w:p>
        <w:p w14:paraId="677D359B" w14:textId="6DA6B55C" w:rsidR="000D292E" w:rsidRDefault="00000000">
          <w:pPr>
            <w:pStyle w:val="TOC2"/>
            <w:tabs>
              <w:tab w:val="right" w:leader="dot" w:pos="9016"/>
            </w:tabs>
            <w:rPr>
              <w:rFonts w:eastAsiaTheme="minorEastAsia"/>
              <w:noProof/>
              <w:lang w:eastAsia="en-GB"/>
            </w:rPr>
          </w:pPr>
          <w:hyperlink w:anchor="_Toc133487777" w:history="1">
            <w:r w:rsidR="000D292E" w:rsidRPr="00602635">
              <w:rPr>
                <w:rStyle w:val="Hyperlink"/>
                <w:noProof/>
              </w:rPr>
              <w:t>Eligibility criteria</w:t>
            </w:r>
            <w:r w:rsidR="000D292E">
              <w:rPr>
                <w:noProof/>
                <w:webHidden/>
              </w:rPr>
              <w:tab/>
            </w:r>
            <w:r w:rsidR="000D292E">
              <w:rPr>
                <w:noProof/>
                <w:webHidden/>
              </w:rPr>
              <w:fldChar w:fldCharType="begin"/>
            </w:r>
            <w:r w:rsidR="000D292E">
              <w:rPr>
                <w:noProof/>
                <w:webHidden/>
              </w:rPr>
              <w:instrText xml:space="preserve"> PAGEREF _Toc133487777 \h </w:instrText>
            </w:r>
            <w:r w:rsidR="000D292E">
              <w:rPr>
                <w:noProof/>
                <w:webHidden/>
              </w:rPr>
            </w:r>
            <w:r w:rsidR="000D292E">
              <w:rPr>
                <w:noProof/>
                <w:webHidden/>
              </w:rPr>
              <w:fldChar w:fldCharType="separate"/>
            </w:r>
            <w:r w:rsidR="001B08DD">
              <w:rPr>
                <w:noProof/>
                <w:webHidden/>
              </w:rPr>
              <w:t>14</w:t>
            </w:r>
            <w:r w:rsidR="000D292E">
              <w:rPr>
                <w:noProof/>
                <w:webHidden/>
              </w:rPr>
              <w:fldChar w:fldCharType="end"/>
            </w:r>
          </w:hyperlink>
        </w:p>
        <w:p w14:paraId="497E579F" w14:textId="215B0EFB" w:rsidR="000D292E" w:rsidRDefault="00000000">
          <w:pPr>
            <w:pStyle w:val="TOC2"/>
            <w:tabs>
              <w:tab w:val="right" w:leader="dot" w:pos="9016"/>
            </w:tabs>
            <w:rPr>
              <w:rFonts w:eastAsiaTheme="minorEastAsia"/>
              <w:noProof/>
              <w:lang w:eastAsia="en-GB"/>
            </w:rPr>
          </w:pPr>
          <w:hyperlink w:anchor="_Toc133487778" w:history="1">
            <w:r w:rsidR="000D292E" w:rsidRPr="00602635">
              <w:rPr>
                <w:rStyle w:val="Hyperlink"/>
                <w:noProof/>
              </w:rPr>
              <w:t>Table 1</w:t>
            </w:r>
            <w:r w:rsidR="000D292E">
              <w:rPr>
                <w:noProof/>
                <w:webHidden/>
              </w:rPr>
              <w:tab/>
            </w:r>
            <w:r w:rsidR="000D292E">
              <w:rPr>
                <w:noProof/>
                <w:webHidden/>
              </w:rPr>
              <w:fldChar w:fldCharType="begin"/>
            </w:r>
            <w:r w:rsidR="000D292E">
              <w:rPr>
                <w:noProof/>
                <w:webHidden/>
              </w:rPr>
              <w:instrText xml:space="preserve"> PAGEREF _Toc133487778 \h </w:instrText>
            </w:r>
            <w:r w:rsidR="000D292E">
              <w:rPr>
                <w:noProof/>
                <w:webHidden/>
              </w:rPr>
            </w:r>
            <w:r w:rsidR="000D292E">
              <w:rPr>
                <w:noProof/>
                <w:webHidden/>
              </w:rPr>
              <w:fldChar w:fldCharType="separate"/>
            </w:r>
            <w:r w:rsidR="001B08DD">
              <w:rPr>
                <w:noProof/>
                <w:webHidden/>
              </w:rPr>
              <w:t>15</w:t>
            </w:r>
            <w:r w:rsidR="000D292E">
              <w:rPr>
                <w:noProof/>
                <w:webHidden/>
              </w:rPr>
              <w:fldChar w:fldCharType="end"/>
            </w:r>
          </w:hyperlink>
        </w:p>
        <w:p w14:paraId="0EF44036" w14:textId="53FB26B5" w:rsidR="000D292E" w:rsidRDefault="00000000">
          <w:pPr>
            <w:pStyle w:val="TOC2"/>
            <w:tabs>
              <w:tab w:val="right" w:leader="dot" w:pos="9016"/>
            </w:tabs>
            <w:rPr>
              <w:rFonts w:eastAsiaTheme="minorEastAsia"/>
              <w:noProof/>
              <w:lang w:eastAsia="en-GB"/>
            </w:rPr>
          </w:pPr>
          <w:hyperlink w:anchor="_Toc133487779" w:history="1">
            <w:r w:rsidR="000D292E" w:rsidRPr="00602635">
              <w:rPr>
                <w:rStyle w:val="Hyperlink"/>
                <w:noProof/>
              </w:rPr>
              <w:t>Bias</w:t>
            </w:r>
            <w:r w:rsidR="000D292E">
              <w:rPr>
                <w:noProof/>
                <w:webHidden/>
              </w:rPr>
              <w:tab/>
            </w:r>
            <w:r w:rsidR="000D292E">
              <w:rPr>
                <w:noProof/>
                <w:webHidden/>
              </w:rPr>
              <w:fldChar w:fldCharType="begin"/>
            </w:r>
            <w:r w:rsidR="000D292E">
              <w:rPr>
                <w:noProof/>
                <w:webHidden/>
              </w:rPr>
              <w:instrText xml:space="preserve"> PAGEREF _Toc133487779 \h </w:instrText>
            </w:r>
            <w:r w:rsidR="000D292E">
              <w:rPr>
                <w:noProof/>
                <w:webHidden/>
              </w:rPr>
            </w:r>
            <w:r w:rsidR="000D292E">
              <w:rPr>
                <w:noProof/>
                <w:webHidden/>
              </w:rPr>
              <w:fldChar w:fldCharType="separate"/>
            </w:r>
            <w:r w:rsidR="001B08DD">
              <w:rPr>
                <w:noProof/>
                <w:webHidden/>
              </w:rPr>
              <w:t>15</w:t>
            </w:r>
            <w:r w:rsidR="000D292E">
              <w:rPr>
                <w:noProof/>
                <w:webHidden/>
              </w:rPr>
              <w:fldChar w:fldCharType="end"/>
            </w:r>
          </w:hyperlink>
        </w:p>
        <w:p w14:paraId="4B501C1A" w14:textId="1DAFBA74" w:rsidR="000D292E" w:rsidRDefault="00000000">
          <w:pPr>
            <w:pStyle w:val="TOC2"/>
            <w:tabs>
              <w:tab w:val="right" w:leader="dot" w:pos="9016"/>
            </w:tabs>
            <w:rPr>
              <w:rFonts w:eastAsiaTheme="minorEastAsia"/>
              <w:noProof/>
              <w:lang w:eastAsia="en-GB"/>
            </w:rPr>
          </w:pPr>
          <w:hyperlink w:anchor="_Toc133487780" w:history="1">
            <w:r w:rsidR="000D292E" w:rsidRPr="00602635">
              <w:rPr>
                <w:rStyle w:val="Hyperlink"/>
                <w:noProof/>
              </w:rPr>
              <w:t>Quality Appraisal Method</w:t>
            </w:r>
            <w:r w:rsidR="000D292E">
              <w:rPr>
                <w:noProof/>
                <w:webHidden/>
              </w:rPr>
              <w:tab/>
            </w:r>
            <w:r w:rsidR="000D292E">
              <w:rPr>
                <w:noProof/>
                <w:webHidden/>
              </w:rPr>
              <w:fldChar w:fldCharType="begin"/>
            </w:r>
            <w:r w:rsidR="000D292E">
              <w:rPr>
                <w:noProof/>
                <w:webHidden/>
              </w:rPr>
              <w:instrText xml:space="preserve"> PAGEREF _Toc133487780 \h </w:instrText>
            </w:r>
            <w:r w:rsidR="000D292E">
              <w:rPr>
                <w:noProof/>
                <w:webHidden/>
              </w:rPr>
            </w:r>
            <w:r w:rsidR="000D292E">
              <w:rPr>
                <w:noProof/>
                <w:webHidden/>
              </w:rPr>
              <w:fldChar w:fldCharType="separate"/>
            </w:r>
            <w:r w:rsidR="001B08DD">
              <w:rPr>
                <w:noProof/>
                <w:webHidden/>
              </w:rPr>
              <w:t>15</w:t>
            </w:r>
            <w:r w:rsidR="000D292E">
              <w:rPr>
                <w:noProof/>
                <w:webHidden/>
              </w:rPr>
              <w:fldChar w:fldCharType="end"/>
            </w:r>
          </w:hyperlink>
        </w:p>
        <w:p w14:paraId="5B52EC08" w14:textId="3E52C05F" w:rsidR="000D292E" w:rsidRDefault="00000000">
          <w:pPr>
            <w:pStyle w:val="TOC2"/>
            <w:tabs>
              <w:tab w:val="right" w:leader="dot" w:pos="9016"/>
            </w:tabs>
            <w:rPr>
              <w:rFonts w:eastAsiaTheme="minorEastAsia"/>
              <w:noProof/>
              <w:lang w:eastAsia="en-GB"/>
            </w:rPr>
          </w:pPr>
          <w:hyperlink w:anchor="_Toc133487781" w:history="1">
            <w:r w:rsidR="000D292E" w:rsidRPr="00602635">
              <w:rPr>
                <w:rStyle w:val="Hyperlink"/>
                <w:noProof/>
              </w:rPr>
              <w:t>Synthesis</w:t>
            </w:r>
            <w:r w:rsidR="000D292E">
              <w:rPr>
                <w:noProof/>
                <w:webHidden/>
              </w:rPr>
              <w:tab/>
            </w:r>
            <w:r w:rsidR="000D292E">
              <w:rPr>
                <w:noProof/>
                <w:webHidden/>
              </w:rPr>
              <w:fldChar w:fldCharType="begin"/>
            </w:r>
            <w:r w:rsidR="000D292E">
              <w:rPr>
                <w:noProof/>
                <w:webHidden/>
              </w:rPr>
              <w:instrText xml:space="preserve"> PAGEREF _Toc133487781 \h </w:instrText>
            </w:r>
            <w:r w:rsidR="000D292E">
              <w:rPr>
                <w:noProof/>
                <w:webHidden/>
              </w:rPr>
            </w:r>
            <w:r w:rsidR="000D292E">
              <w:rPr>
                <w:noProof/>
                <w:webHidden/>
              </w:rPr>
              <w:fldChar w:fldCharType="separate"/>
            </w:r>
            <w:r w:rsidR="001B08DD">
              <w:rPr>
                <w:noProof/>
                <w:webHidden/>
              </w:rPr>
              <w:t>16</w:t>
            </w:r>
            <w:r w:rsidR="000D292E">
              <w:rPr>
                <w:noProof/>
                <w:webHidden/>
              </w:rPr>
              <w:fldChar w:fldCharType="end"/>
            </w:r>
          </w:hyperlink>
        </w:p>
        <w:p w14:paraId="1735DFE7" w14:textId="3F8C50C4" w:rsidR="000D292E" w:rsidRDefault="00000000">
          <w:pPr>
            <w:pStyle w:val="TOC1"/>
            <w:rPr>
              <w:rFonts w:eastAsiaTheme="minorEastAsia"/>
              <w:color w:val="auto"/>
              <w:lang w:eastAsia="en-GB"/>
            </w:rPr>
          </w:pPr>
          <w:hyperlink w:anchor="_Toc133487782" w:history="1">
            <w:r w:rsidR="000D292E" w:rsidRPr="00602635">
              <w:rPr>
                <w:rStyle w:val="Hyperlink"/>
              </w:rPr>
              <w:t>Results</w:t>
            </w:r>
            <w:r w:rsidR="000D292E">
              <w:rPr>
                <w:webHidden/>
              </w:rPr>
              <w:tab/>
            </w:r>
            <w:r w:rsidR="000D292E">
              <w:rPr>
                <w:webHidden/>
              </w:rPr>
              <w:fldChar w:fldCharType="begin"/>
            </w:r>
            <w:r w:rsidR="000D292E">
              <w:rPr>
                <w:webHidden/>
              </w:rPr>
              <w:instrText xml:space="preserve"> PAGEREF _Toc133487782 \h </w:instrText>
            </w:r>
            <w:r w:rsidR="000D292E">
              <w:rPr>
                <w:webHidden/>
              </w:rPr>
            </w:r>
            <w:r w:rsidR="000D292E">
              <w:rPr>
                <w:webHidden/>
              </w:rPr>
              <w:fldChar w:fldCharType="separate"/>
            </w:r>
            <w:r w:rsidR="001B08DD">
              <w:rPr>
                <w:webHidden/>
              </w:rPr>
              <w:t>17</w:t>
            </w:r>
            <w:r w:rsidR="000D292E">
              <w:rPr>
                <w:webHidden/>
              </w:rPr>
              <w:fldChar w:fldCharType="end"/>
            </w:r>
          </w:hyperlink>
        </w:p>
        <w:p w14:paraId="08DB511A" w14:textId="68051476" w:rsidR="000D292E" w:rsidRDefault="00000000">
          <w:pPr>
            <w:pStyle w:val="TOC2"/>
            <w:tabs>
              <w:tab w:val="right" w:leader="dot" w:pos="9016"/>
            </w:tabs>
            <w:rPr>
              <w:rFonts w:eastAsiaTheme="minorEastAsia"/>
              <w:noProof/>
              <w:lang w:eastAsia="en-GB"/>
            </w:rPr>
          </w:pPr>
          <w:hyperlink r:id="rId12" w:anchor="_Toc133487783" w:history="1">
            <w:r w:rsidR="000D292E" w:rsidRPr="00602635">
              <w:rPr>
                <w:rStyle w:val="Hyperlink"/>
                <w:noProof/>
                <w:lang w:val="en"/>
              </w:rPr>
              <w:t>Identification</w:t>
            </w:r>
            <w:r w:rsidR="000D292E">
              <w:rPr>
                <w:noProof/>
                <w:webHidden/>
              </w:rPr>
              <w:tab/>
            </w:r>
            <w:r w:rsidR="000D292E">
              <w:rPr>
                <w:noProof/>
                <w:webHidden/>
              </w:rPr>
              <w:fldChar w:fldCharType="begin"/>
            </w:r>
            <w:r w:rsidR="000D292E">
              <w:rPr>
                <w:noProof/>
                <w:webHidden/>
              </w:rPr>
              <w:instrText xml:space="preserve"> PAGEREF _Toc133487783 \h </w:instrText>
            </w:r>
            <w:r w:rsidR="000D292E">
              <w:rPr>
                <w:noProof/>
                <w:webHidden/>
              </w:rPr>
            </w:r>
            <w:r w:rsidR="000D292E">
              <w:rPr>
                <w:noProof/>
                <w:webHidden/>
              </w:rPr>
              <w:fldChar w:fldCharType="separate"/>
            </w:r>
            <w:r w:rsidR="001B08DD">
              <w:rPr>
                <w:noProof/>
                <w:webHidden/>
              </w:rPr>
              <w:t>17</w:t>
            </w:r>
            <w:r w:rsidR="000D292E">
              <w:rPr>
                <w:noProof/>
                <w:webHidden/>
              </w:rPr>
              <w:fldChar w:fldCharType="end"/>
            </w:r>
          </w:hyperlink>
        </w:p>
        <w:p w14:paraId="60C2FE0D" w14:textId="59859B81" w:rsidR="000D292E" w:rsidRDefault="00000000">
          <w:pPr>
            <w:pStyle w:val="TOC2"/>
            <w:tabs>
              <w:tab w:val="right" w:leader="dot" w:pos="9016"/>
            </w:tabs>
            <w:rPr>
              <w:rFonts w:eastAsiaTheme="minorEastAsia"/>
              <w:noProof/>
              <w:lang w:eastAsia="en-GB"/>
            </w:rPr>
          </w:pPr>
          <w:hyperlink r:id="rId13" w:anchor="_Toc133487784" w:history="1">
            <w:r w:rsidR="000D292E" w:rsidRPr="00602635">
              <w:rPr>
                <w:rStyle w:val="Hyperlink"/>
                <w:noProof/>
                <w:lang w:val="en"/>
              </w:rPr>
              <w:t>Screening</w:t>
            </w:r>
            <w:r w:rsidR="000D292E">
              <w:rPr>
                <w:noProof/>
                <w:webHidden/>
              </w:rPr>
              <w:tab/>
            </w:r>
            <w:r w:rsidR="000D292E">
              <w:rPr>
                <w:noProof/>
                <w:webHidden/>
              </w:rPr>
              <w:fldChar w:fldCharType="begin"/>
            </w:r>
            <w:r w:rsidR="000D292E">
              <w:rPr>
                <w:noProof/>
                <w:webHidden/>
              </w:rPr>
              <w:instrText xml:space="preserve"> PAGEREF _Toc133487784 \h </w:instrText>
            </w:r>
            <w:r w:rsidR="000D292E">
              <w:rPr>
                <w:noProof/>
                <w:webHidden/>
              </w:rPr>
            </w:r>
            <w:r w:rsidR="000D292E">
              <w:rPr>
                <w:noProof/>
                <w:webHidden/>
              </w:rPr>
              <w:fldChar w:fldCharType="separate"/>
            </w:r>
            <w:r w:rsidR="001B08DD">
              <w:rPr>
                <w:noProof/>
                <w:webHidden/>
              </w:rPr>
              <w:t>17</w:t>
            </w:r>
            <w:r w:rsidR="000D292E">
              <w:rPr>
                <w:noProof/>
                <w:webHidden/>
              </w:rPr>
              <w:fldChar w:fldCharType="end"/>
            </w:r>
          </w:hyperlink>
        </w:p>
        <w:p w14:paraId="33992DFD" w14:textId="52049167" w:rsidR="000D292E" w:rsidRDefault="00000000">
          <w:pPr>
            <w:pStyle w:val="TOC2"/>
            <w:tabs>
              <w:tab w:val="right" w:leader="dot" w:pos="9016"/>
            </w:tabs>
            <w:rPr>
              <w:rFonts w:eastAsiaTheme="minorEastAsia"/>
              <w:noProof/>
              <w:lang w:eastAsia="en-GB"/>
            </w:rPr>
          </w:pPr>
          <w:hyperlink r:id="rId14" w:anchor="_Toc133487785" w:history="1">
            <w:r w:rsidR="000D292E" w:rsidRPr="00602635">
              <w:rPr>
                <w:rStyle w:val="Hyperlink"/>
                <w:noProof/>
                <w:lang w:val="en"/>
              </w:rPr>
              <w:t>Eligibility</w:t>
            </w:r>
            <w:r w:rsidR="000D292E">
              <w:rPr>
                <w:noProof/>
                <w:webHidden/>
              </w:rPr>
              <w:tab/>
            </w:r>
            <w:r w:rsidR="000D292E">
              <w:rPr>
                <w:noProof/>
                <w:webHidden/>
              </w:rPr>
              <w:fldChar w:fldCharType="begin"/>
            </w:r>
            <w:r w:rsidR="000D292E">
              <w:rPr>
                <w:noProof/>
                <w:webHidden/>
              </w:rPr>
              <w:instrText xml:space="preserve"> PAGEREF _Toc133487785 \h </w:instrText>
            </w:r>
            <w:r w:rsidR="000D292E">
              <w:rPr>
                <w:noProof/>
                <w:webHidden/>
              </w:rPr>
            </w:r>
            <w:r w:rsidR="000D292E">
              <w:rPr>
                <w:noProof/>
                <w:webHidden/>
              </w:rPr>
              <w:fldChar w:fldCharType="separate"/>
            </w:r>
            <w:r w:rsidR="001B08DD">
              <w:rPr>
                <w:noProof/>
                <w:webHidden/>
              </w:rPr>
              <w:t>17</w:t>
            </w:r>
            <w:r w:rsidR="000D292E">
              <w:rPr>
                <w:noProof/>
                <w:webHidden/>
              </w:rPr>
              <w:fldChar w:fldCharType="end"/>
            </w:r>
          </w:hyperlink>
        </w:p>
        <w:p w14:paraId="168600A7" w14:textId="1C010633" w:rsidR="000D292E" w:rsidRDefault="00000000">
          <w:pPr>
            <w:pStyle w:val="TOC2"/>
            <w:tabs>
              <w:tab w:val="right" w:leader="dot" w:pos="9016"/>
            </w:tabs>
            <w:rPr>
              <w:rFonts w:eastAsiaTheme="minorEastAsia"/>
              <w:noProof/>
              <w:lang w:eastAsia="en-GB"/>
            </w:rPr>
          </w:pPr>
          <w:hyperlink r:id="rId15" w:anchor="_Toc133487786" w:history="1">
            <w:r w:rsidR="000D292E" w:rsidRPr="00602635">
              <w:rPr>
                <w:rStyle w:val="Hyperlink"/>
                <w:noProof/>
                <w:lang w:val="en"/>
              </w:rPr>
              <w:t>Included</w:t>
            </w:r>
            <w:r w:rsidR="000D292E">
              <w:rPr>
                <w:noProof/>
                <w:webHidden/>
              </w:rPr>
              <w:tab/>
            </w:r>
            <w:r w:rsidR="000D292E">
              <w:rPr>
                <w:noProof/>
                <w:webHidden/>
              </w:rPr>
              <w:fldChar w:fldCharType="begin"/>
            </w:r>
            <w:r w:rsidR="000D292E">
              <w:rPr>
                <w:noProof/>
                <w:webHidden/>
              </w:rPr>
              <w:instrText xml:space="preserve"> PAGEREF _Toc133487786 \h </w:instrText>
            </w:r>
            <w:r w:rsidR="000D292E">
              <w:rPr>
                <w:noProof/>
                <w:webHidden/>
              </w:rPr>
            </w:r>
            <w:r w:rsidR="000D292E">
              <w:rPr>
                <w:noProof/>
                <w:webHidden/>
              </w:rPr>
              <w:fldChar w:fldCharType="separate"/>
            </w:r>
            <w:r w:rsidR="001B08DD">
              <w:rPr>
                <w:noProof/>
                <w:webHidden/>
              </w:rPr>
              <w:t>17</w:t>
            </w:r>
            <w:r w:rsidR="000D292E">
              <w:rPr>
                <w:noProof/>
                <w:webHidden/>
              </w:rPr>
              <w:fldChar w:fldCharType="end"/>
            </w:r>
          </w:hyperlink>
        </w:p>
        <w:p w14:paraId="2DD3D3EC" w14:textId="336E2FFA" w:rsidR="000D292E" w:rsidRDefault="00000000">
          <w:pPr>
            <w:pStyle w:val="TOC2"/>
            <w:tabs>
              <w:tab w:val="right" w:leader="dot" w:pos="9016"/>
            </w:tabs>
            <w:rPr>
              <w:rFonts w:eastAsiaTheme="minorEastAsia"/>
              <w:noProof/>
              <w:lang w:eastAsia="en-GB"/>
            </w:rPr>
          </w:pPr>
          <w:hyperlink w:anchor="_Toc133487787" w:history="1">
            <w:r w:rsidR="000D292E" w:rsidRPr="00602635">
              <w:rPr>
                <w:rStyle w:val="Hyperlink"/>
                <w:noProof/>
              </w:rPr>
              <w:t>Study Characteristics</w:t>
            </w:r>
            <w:r w:rsidR="000D292E">
              <w:rPr>
                <w:noProof/>
                <w:webHidden/>
              </w:rPr>
              <w:tab/>
            </w:r>
            <w:r w:rsidR="000D292E">
              <w:rPr>
                <w:noProof/>
                <w:webHidden/>
              </w:rPr>
              <w:fldChar w:fldCharType="begin"/>
            </w:r>
            <w:r w:rsidR="000D292E">
              <w:rPr>
                <w:noProof/>
                <w:webHidden/>
              </w:rPr>
              <w:instrText xml:space="preserve"> PAGEREF _Toc133487787 \h </w:instrText>
            </w:r>
            <w:r w:rsidR="000D292E">
              <w:rPr>
                <w:noProof/>
                <w:webHidden/>
              </w:rPr>
            </w:r>
            <w:r w:rsidR="000D292E">
              <w:rPr>
                <w:noProof/>
                <w:webHidden/>
              </w:rPr>
              <w:fldChar w:fldCharType="separate"/>
            </w:r>
            <w:r w:rsidR="001B08DD">
              <w:rPr>
                <w:noProof/>
                <w:webHidden/>
              </w:rPr>
              <w:t>18</w:t>
            </w:r>
            <w:r w:rsidR="000D292E">
              <w:rPr>
                <w:noProof/>
                <w:webHidden/>
              </w:rPr>
              <w:fldChar w:fldCharType="end"/>
            </w:r>
          </w:hyperlink>
        </w:p>
        <w:p w14:paraId="3275C2A0" w14:textId="40019660" w:rsidR="000D292E" w:rsidRDefault="00000000">
          <w:pPr>
            <w:pStyle w:val="TOC2"/>
            <w:tabs>
              <w:tab w:val="right" w:leader="dot" w:pos="9016"/>
            </w:tabs>
            <w:rPr>
              <w:rFonts w:eastAsiaTheme="minorEastAsia"/>
              <w:noProof/>
              <w:lang w:eastAsia="en-GB"/>
            </w:rPr>
          </w:pPr>
          <w:hyperlink w:anchor="_Toc133487788" w:history="1">
            <w:r w:rsidR="000D292E" w:rsidRPr="00602635">
              <w:rPr>
                <w:rStyle w:val="Hyperlink"/>
                <w:noProof/>
              </w:rPr>
              <w:t>Table 2</w:t>
            </w:r>
            <w:r w:rsidR="000D292E">
              <w:rPr>
                <w:noProof/>
                <w:webHidden/>
              </w:rPr>
              <w:tab/>
            </w:r>
            <w:r w:rsidR="000D292E">
              <w:rPr>
                <w:noProof/>
                <w:webHidden/>
              </w:rPr>
              <w:fldChar w:fldCharType="begin"/>
            </w:r>
            <w:r w:rsidR="000D292E">
              <w:rPr>
                <w:noProof/>
                <w:webHidden/>
              </w:rPr>
              <w:instrText xml:space="preserve"> PAGEREF _Toc133487788 \h </w:instrText>
            </w:r>
            <w:r w:rsidR="000D292E">
              <w:rPr>
                <w:noProof/>
                <w:webHidden/>
              </w:rPr>
            </w:r>
            <w:r w:rsidR="000D292E">
              <w:rPr>
                <w:noProof/>
                <w:webHidden/>
              </w:rPr>
              <w:fldChar w:fldCharType="separate"/>
            </w:r>
            <w:r w:rsidR="001B08DD">
              <w:rPr>
                <w:noProof/>
                <w:webHidden/>
              </w:rPr>
              <w:t>18</w:t>
            </w:r>
            <w:r w:rsidR="000D292E">
              <w:rPr>
                <w:noProof/>
                <w:webHidden/>
              </w:rPr>
              <w:fldChar w:fldCharType="end"/>
            </w:r>
          </w:hyperlink>
        </w:p>
        <w:p w14:paraId="6AB84F4F" w14:textId="5772FED2" w:rsidR="000D292E" w:rsidRDefault="00000000">
          <w:pPr>
            <w:pStyle w:val="TOC2"/>
            <w:tabs>
              <w:tab w:val="right" w:leader="dot" w:pos="9016"/>
            </w:tabs>
            <w:rPr>
              <w:rFonts w:eastAsiaTheme="minorEastAsia"/>
              <w:noProof/>
              <w:lang w:eastAsia="en-GB"/>
            </w:rPr>
          </w:pPr>
          <w:hyperlink w:anchor="_Toc133487789" w:history="1">
            <w:r w:rsidR="000D292E" w:rsidRPr="00602635">
              <w:rPr>
                <w:rStyle w:val="Hyperlink"/>
                <w:noProof/>
              </w:rPr>
              <w:t>Study Samples</w:t>
            </w:r>
            <w:r w:rsidR="000D292E">
              <w:rPr>
                <w:noProof/>
                <w:webHidden/>
              </w:rPr>
              <w:tab/>
            </w:r>
            <w:r w:rsidR="000D292E">
              <w:rPr>
                <w:noProof/>
                <w:webHidden/>
              </w:rPr>
              <w:fldChar w:fldCharType="begin"/>
            </w:r>
            <w:r w:rsidR="000D292E">
              <w:rPr>
                <w:noProof/>
                <w:webHidden/>
              </w:rPr>
              <w:instrText xml:space="preserve"> PAGEREF _Toc133487789 \h </w:instrText>
            </w:r>
            <w:r w:rsidR="000D292E">
              <w:rPr>
                <w:noProof/>
                <w:webHidden/>
              </w:rPr>
            </w:r>
            <w:r w:rsidR="000D292E">
              <w:rPr>
                <w:noProof/>
                <w:webHidden/>
              </w:rPr>
              <w:fldChar w:fldCharType="separate"/>
            </w:r>
            <w:r w:rsidR="001B08DD">
              <w:rPr>
                <w:noProof/>
                <w:webHidden/>
              </w:rPr>
              <w:t>24</w:t>
            </w:r>
            <w:r w:rsidR="000D292E">
              <w:rPr>
                <w:noProof/>
                <w:webHidden/>
              </w:rPr>
              <w:fldChar w:fldCharType="end"/>
            </w:r>
          </w:hyperlink>
        </w:p>
        <w:p w14:paraId="3BC78C13" w14:textId="2290D459" w:rsidR="000D292E" w:rsidRDefault="00000000">
          <w:pPr>
            <w:pStyle w:val="TOC2"/>
            <w:tabs>
              <w:tab w:val="right" w:leader="dot" w:pos="9016"/>
            </w:tabs>
            <w:rPr>
              <w:rFonts w:eastAsiaTheme="minorEastAsia"/>
              <w:noProof/>
              <w:lang w:eastAsia="en-GB"/>
            </w:rPr>
          </w:pPr>
          <w:hyperlink w:anchor="_Toc133487790" w:history="1">
            <w:r w:rsidR="000D292E" w:rsidRPr="00602635">
              <w:rPr>
                <w:rStyle w:val="Hyperlink"/>
                <w:rFonts w:eastAsia="Times New Roman"/>
                <w:noProof/>
                <w:lang w:eastAsia="en-GB"/>
              </w:rPr>
              <w:t>Trauma exposure</w:t>
            </w:r>
            <w:r w:rsidR="000D292E">
              <w:rPr>
                <w:noProof/>
                <w:webHidden/>
              </w:rPr>
              <w:tab/>
            </w:r>
            <w:r w:rsidR="000D292E">
              <w:rPr>
                <w:noProof/>
                <w:webHidden/>
              </w:rPr>
              <w:fldChar w:fldCharType="begin"/>
            </w:r>
            <w:r w:rsidR="000D292E">
              <w:rPr>
                <w:noProof/>
                <w:webHidden/>
              </w:rPr>
              <w:instrText xml:space="preserve"> PAGEREF _Toc133487790 \h </w:instrText>
            </w:r>
            <w:r w:rsidR="000D292E">
              <w:rPr>
                <w:noProof/>
                <w:webHidden/>
              </w:rPr>
            </w:r>
            <w:r w:rsidR="000D292E">
              <w:rPr>
                <w:noProof/>
                <w:webHidden/>
              </w:rPr>
              <w:fldChar w:fldCharType="separate"/>
            </w:r>
            <w:r w:rsidR="001B08DD">
              <w:rPr>
                <w:noProof/>
                <w:webHidden/>
              </w:rPr>
              <w:t>24</w:t>
            </w:r>
            <w:r w:rsidR="000D292E">
              <w:rPr>
                <w:noProof/>
                <w:webHidden/>
              </w:rPr>
              <w:fldChar w:fldCharType="end"/>
            </w:r>
          </w:hyperlink>
        </w:p>
        <w:p w14:paraId="715590D6" w14:textId="0F1FF9A1" w:rsidR="000D292E" w:rsidRDefault="00000000">
          <w:pPr>
            <w:pStyle w:val="TOC2"/>
            <w:tabs>
              <w:tab w:val="right" w:leader="dot" w:pos="9016"/>
            </w:tabs>
            <w:rPr>
              <w:rFonts w:eastAsiaTheme="minorEastAsia"/>
              <w:noProof/>
              <w:lang w:eastAsia="en-GB"/>
            </w:rPr>
          </w:pPr>
          <w:hyperlink w:anchor="_Toc133487791" w:history="1">
            <w:r w:rsidR="000D292E" w:rsidRPr="00602635">
              <w:rPr>
                <w:rStyle w:val="Hyperlink"/>
                <w:noProof/>
              </w:rPr>
              <w:t>Procedure</w:t>
            </w:r>
            <w:r w:rsidR="000D292E">
              <w:rPr>
                <w:noProof/>
                <w:webHidden/>
              </w:rPr>
              <w:tab/>
            </w:r>
            <w:r w:rsidR="000D292E">
              <w:rPr>
                <w:noProof/>
                <w:webHidden/>
              </w:rPr>
              <w:fldChar w:fldCharType="begin"/>
            </w:r>
            <w:r w:rsidR="000D292E">
              <w:rPr>
                <w:noProof/>
                <w:webHidden/>
              </w:rPr>
              <w:instrText xml:space="preserve"> PAGEREF _Toc133487791 \h </w:instrText>
            </w:r>
            <w:r w:rsidR="000D292E">
              <w:rPr>
                <w:noProof/>
                <w:webHidden/>
              </w:rPr>
            </w:r>
            <w:r w:rsidR="000D292E">
              <w:rPr>
                <w:noProof/>
                <w:webHidden/>
              </w:rPr>
              <w:fldChar w:fldCharType="separate"/>
            </w:r>
            <w:r w:rsidR="001B08DD">
              <w:rPr>
                <w:noProof/>
                <w:webHidden/>
              </w:rPr>
              <w:t>24</w:t>
            </w:r>
            <w:r w:rsidR="000D292E">
              <w:rPr>
                <w:noProof/>
                <w:webHidden/>
              </w:rPr>
              <w:fldChar w:fldCharType="end"/>
            </w:r>
          </w:hyperlink>
        </w:p>
        <w:p w14:paraId="7AA25D12" w14:textId="33C51B85" w:rsidR="000D292E" w:rsidRDefault="00000000">
          <w:pPr>
            <w:pStyle w:val="TOC2"/>
            <w:tabs>
              <w:tab w:val="right" w:leader="dot" w:pos="9016"/>
            </w:tabs>
            <w:rPr>
              <w:rFonts w:eastAsiaTheme="minorEastAsia"/>
              <w:noProof/>
              <w:lang w:eastAsia="en-GB"/>
            </w:rPr>
          </w:pPr>
          <w:hyperlink w:anchor="_Toc133487792" w:history="1">
            <w:r w:rsidR="000D292E" w:rsidRPr="00602635">
              <w:rPr>
                <w:rStyle w:val="Hyperlink"/>
                <w:noProof/>
              </w:rPr>
              <w:t>Measures</w:t>
            </w:r>
            <w:r w:rsidR="000D292E">
              <w:rPr>
                <w:noProof/>
                <w:webHidden/>
              </w:rPr>
              <w:tab/>
            </w:r>
            <w:r w:rsidR="000D292E">
              <w:rPr>
                <w:noProof/>
                <w:webHidden/>
              </w:rPr>
              <w:fldChar w:fldCharType="begin"/>
            </w:r>
            <w:r w:rsidR="000D292E">
              <w:rPr>
                <w:noProof/>
                <w:webHidden/>
              </w:rPr>
              <w:instrText xml:space="preserve"> PAGEREF _Toc133487792 \h </w:instrText>
            </w:r>
            <w:r w:rsidR="000D292E">
              <w:rPr>
                <w:noProof/>
                <w:webHidden/>
              </w:rPr>
            </w:r>
            <w:r w:rsidR="000D292E">
              <w:rPr>
                <w:noProof/>
                <w:webHidden/>
              </w:rPr>
              <w:fldChar w:fldCharType="separate"/>
            </w:r>
            <w:r w:rsidR="001B08DD">
              <w:rPr>
                <w:noProof/>
                <w:webHidden/>
              </w:rPr>
              <w:t>25</w:t>
            </w:r>
            <w:r w:rsidR="000D292E">
              <w:rPr>
                <w:noProof/>
                <w:webHidden/>
              </w:rPr>
              <w:fldChar w:fldCharType="end"/>
            </w:r>
          </w:hyperlink>
        </w:p>
        <w:p w14:paraId="41D97B24" w14:textId="2276B58D" w:rsidR="000D292E" w:rsidRDefault="00000000">
          <w:pPr>
            <w:pStyle w:val="TOC2"/>
            <w:tabs>
              <w:tab w:val="right" w:leader="dot" w:pos="9016"/>
            </w:tabs>
            <w:rPr>
              <w:rFonts w:eastAsiaTheme="minorEastAsia"/>
              <w:noProof/>
              <w:lang w:eastAsia="en-GB"/>
            </w:rPr>
          </w:pPr>
          <w:hyperlink w:anchor="_Toc133487793" w:history="1">
            <w:r w:rsidR="000D292E" w:rsidRPr="00602635">
              <w:rPr>
                <w:rStyle w:val="Hyperlink"/>
                <w:noProof/>
              </w:rPr>
              <w:t>Assessing Trauma exposure</w:t>
            </w:r>
            <w:r w:rsidR="000D292E">
              <w:rPr>
                <w:noProof/>
                <w:webHidden/>
              </w:rPr>
              <w:tab/>
            </w:r>
            <w:r w:rsidR="000D292E">
              <w:rPr>
                <w:noProof/>
                <w:webHidden/>
              </w:rPr>
              <w:fldChar w:fldCharType="begin"/>
            </w:r>
            <w:r w:rsidR="000D292E">
              <w:rPr>
                <w:noProof/>
                <w:webHidden/>
              </w:rPr>
              <w:instrText xml:space="preserve"> PAGEREF _Toc133487793 \h </w:instrText>
            </w:r>
            <w:r w:rsidR="000D292E">
              <w:rPr>
                <w:noProof/>
                <w:webHidden/>
              </w:rPr>
            </w:r>
            <w:r w:rsidR="000D292E">
              <w:rPr>
                <w:noProof/>
                <w:webHidden/>
              </w:rPr>
              <w:fldChar w:fldCharType="separate"/>
            </w:r>
            <w:r w:rsidR="001B08DD">
              <w:rPr>
                <w:noProof/>
                <w:webHidden/>
              </w:rPr>
              <w:t>27</w:t>
            </w:r>
            <w:r w:rsidR="000D292E">
              <w:rPr>
                <w:noProof/>
                <w:webHidden/>
              </w:rPr>
              <w:fldChar w:fldCharType="end"/>
            </w:r>
          </w:hyperlink>
        </w:p>
        <w:p w14:paraId="4F55FACE" w14:textId="3D175F29" w:rsidR="000D292E" w:rsidRDefault="00000000">
          <w:pPr>
            <w:pStyle w:val="TOC2"/>
            <w:tabs>
              <w:tab w:val="right" w:leader="dot" w:pos="9016"/>
            </w:tabs>
            <w:rPr>
              <w:rFonts w:eastAsiaTheme="minorEastAsia"/>
              <w:noProof/>
              <w:lang w:eastAsia="en-GB"/>
            </w:rPr>
          </w:pPr>
          <w:hyperlink w:anchor="_Toc133487794" w:history="1">
            <w:r w:rsidR="000D292E" w:rsidRPr="00602635">
              <w:rPr>
                <w:rStyle w:val="Hyperlink"/>
                <w:noProof/>
              </w:rPr>
              <w:t>Associated personality factors</w:t>
            </w:r>
            <w:r w:rsidR="000D292E">
              <w:rPr>
                <w:noProof/>
                <w:webHidden/>
              </w:rPr>
              <w:tab/>
            </w:r>
            <w:r w:rsidR="000D292E">
              <w:rPr>
                <w:noProof/>
                <w:webHidden/>
              </w:rPr>
              <w:fldChar w:fldCharType="begin"/>
            </w:r>
            <w:r w:rsidR="000D292E">
              <w:rPr>
                <w:noProof/>
                <w:webHidden/>
              </w:rPr>
              <w:instrText xml:space="preserve"> PAGEREF _Toc133487794 \h </w:instrText>
            </w:r>
            <w:r w:rsidR="000D292E">
              <w:rPr>
                <w:noProof/>
                <w:webHidden/>
              </w:rPr>
            </w:r>
            <w:r w:rsidR="000D292E">
              <w:rPr>
                <w:noProof/>
                <w:webHidden/>
              </w:rPr>
              <w:fldChar w:fldCharType="separate"/>
            </w:r>
            <w:r w:rsidR="001B08DD">
              <w:rPr>
                <w:noProof/>
                <w:webHidden/>
              </w:rPr>
              <w:t>27</w:t>
            </w:r>
            <w:r w:rsidR="000D292E">
              <w:rPr>
                <w:noProof/>
                <w:webHidden/>
              </w:rPr>
              <w:fldChar w:fldCharType="end"/>
            </w:r>
          </w:hyperlink>
        </w:p>
        <w:p w14:paraId="30838BCD" w14:textId="5C1D5C85" w:rsidR="000D292E" w:rsidRDefault="00000000">
          <w:pPr>
            <w:pStyle w:val="TOC2"/>
            <w:tabs>
              <w:tab w:val="right" w:leader="dot" w:pos="9016"/>
            </w:tabs>
            <w:rPr>
              <w:rFonts w:eastAsiaTheme="minorEastAsia"/>
              <w:noProof/>
              <w:lang w:eastAsia="en-GB"/>
            </w:rPr>
          </w:pPr>
          <w:hyperlink w:anchor="_Toc133487795" w:history="1">
            <w:r w:rsidR="000D292E" w:rsidRPr="00602635">
              <w:rPr>
                <w:rStyle w:val="Hyperlink"/>
                <w:noProof/>
              </w:rPr>
              <w:t>Associated mental health difficulties</w:t>
            </w:r>
            <w:r w:rsidR="000D292E">
              <w:rPr>
                <w:noProof/>
                <w:webHidden/>
              </w:rPr>
              <w:tab/>
            </w:r>
            <w:r w:rsidR="000D292E">
              <w:rPr>
                <w:noProof/>
                <w:webHidden/>
              </w:rPr>
              <w:fldChar w:fldCharType="begin"/>
            </w:r>
            <w:r w:rsidR="000D292E">
              <w:rPr>
                <w:noProof/>
                <w:webHidden/>
              </w:rPr>
              <w:instrText xml:space="preserve"> PAGEREF _Toc133487795 \h </w:instrText>
            </w:r>
            <w:r w:rsidR="000D292E">
              <w:rPr>
                <w:noProof/>
                <w:webHidden/>
              </w:rPr>
            </w:r>
            <w:r w:rsidR="000D292E">
              <w:rPr>
                <w:noProof/>
                <w:webHidden/>
              </w:rPr>
              <w:fldChar w:fldCharType="separate"/>
            </w:r>
            <w:r w:rsidR="001B08DD">
              <w:rPr>
                <w:noProof/>
                <w:webHidden/>
              </w:rPr>
              <w:t>27</w:t>
            </w:r>
            <w:r w:rsidR="000D292E">
              <w:rPr>
                <w:noProof/>
                <w:webHidden/>
              </w:rPr>
              <w:fldChar w:fldCharType="end"/>
            </w:r>
          </w:hyperlink>
        </w:p>
        <w:p w14:paraId="4196FE94" w14:textId="793CE1D6" w:rsidR="000D292E" w:rsidRDefault="00000000">
          <w:pPr>
            <w:pStyle w:val="TOC1"/>
            <w:rPr>
              <w:rFonts w:eastAsiaTheme="minorEastAsia"/>
              <w:color w:val="auto"/>
              <w:lang w:eastAsia="en-GB"/>
            </w:rPr>
          </w:pPr>
          <w:hyperlink w:anchor="_Toc133487796" w:history="1">
            <w:r w:rsidR="000D292E" w:rsidRPr="00602635">
              <w:rPr>
                <w:rStyle w:val="Hyperlink"/>
              </w:rPr>
              <w:t>Quality Appraisal</w:t>
            </w:r>
            <w:r w:rsidR="000D292E">
              <w:rPr>
                <w:webHidden/>
              </w:rPr>
              <w:tab/>
            </w:r>
            <w:r w:rsidR="000D292E">
              <w:rPr>
                <w:webHidden/>
              </w:rPr>
              <w:fldChar w:fldCharType="begin"/>
            </w:r>
            <w:r w:rsidR="000D292E">
              <w:rPr>
                <w:webHidden/>
              </w:rPr>
              <w:instrText xml:space="preserve"> PAGEREF _Toc133487796 \h </w:instrText>
            </w:r>
            <w:r w:rsidR="000D292E">
              <w:rPr>
                <w:webHidden/>
              </w:rPr>
            </w:r>
            <w:r w:rsidR="000D292E">
              <w:rPr>
                <w:webHidden/>
              </w:rPr>
              <w:fldChar w:fldCharType="separate"/>
            </w:r>
            <w:r w:rsidR="001B08DD">
              <w:rPr>
                <w:webHidden/>
              </w:rPr>
              <w:t>28</w:t>
            </w:r>
            <w:r w:rsidR="000D292E">
              <w:rPr>
                <w:webHidden/>
              </w:rPr>
              <w:fldChar w:fldCharType="end"/>
            </w:r>
          </w:hyperlink>
        </w:p>
        <w:p w14:paraId="58B15C11" w14:textId="2B78FD40" w:rsidR="000D292E" w:rsidRDefault="00000000">
          <w:pPr>
            <w:pStyle w:val="TOC1"/>
            <w:rPr>
              <w:rFonts w:eastAsiaTheme="minorEastAsia"/>
              <w:color w:val="auto"/>
              <w:lang w:eastAsia="en-GB"/>
            </w:rPr>
          </w:pPr>
          <w:hyperlink w:anchor="_Toc133487797" w:history="1">
            <w:r w:rsidR="000D292E" w:rsidRPr="00602635">
              <w:rPr>
                <w:rStyle w:val="Hyperlink"/>
                <w:rFonts w:eastAsia="Times New Roman"/>
                <w:lang w:eastAsia="en-GB"/>
              </w:rPr>
              <w:t>Main Findings</w:t>
            </w:r>
            <w:r w:rsidR="000D292E">
              <w:rPr>
                <w:webHidden/>
              </w:rPr>
              <w:tab/>
            </w:r>
            <w:r w:rsidR="000D292E">
              <w:rPr>
                <w:webHidden/>
              </w:rPr>
              <w:fldChar w:fldCharType="begin"/>
            </w:r>
            <w:r w:rsidR="000D292E">
              <w:rPr>
                <w:webHidden/>
              </w:rPr>
              <w:instrText xml:space="preserve"> PAGEREF _Toc133487797 \h </w:instrText>
            </w:r>
            <w:r w:rsidR="000D292E">
              <w:rPr>
                <w:webHidden/>
              </w:rPr>
            </w:r>
            <w:r w:rsidR="000D292E">
              <w:rPr>
                <w:webHidden/>
              </w:rPr>
              <w:fldChar w:fldCharType="separate"/>
            </w:r>
            <w:r w:rsidR="001B08DD">
              <w:rPr>
                <w:webHidden/>
              </w:rPr>
              <w:t>30</w:t>
            </w:r>
            <w:r w:rsidR="000D292E">
              <w:rPr>
                <w:webHidden/>
              </w:rPr>
              <w:fldChar w:fldCharType="end"/>
            </w:r>
          </w:hyperlink>
        </w:p>
        <w:p w14:paraId="2725CC06" w14:textId="7D8024A3" w:rsidR="000D292E" w:rsidRDefault="00000000">
          <w:pPr>
            <w:pStyle w:val="TOC2"/>
            <w:tabs>
              <w:tab w:val="right" w:leader="dot" w:pos="9016"/>
            </w:tabs>
            <w:rPr>
              <w:rFonts w:eastAsiaTheme="minorEastAsia"/>
              <w:noProof/>
              <w:lang w:eastAsia="en-GB"/>
            </w:rPr>
          </w:pPr>
          <w:hyperlink w:anchor="_Toc133487798" w:history="1">
            <w:r w:rsidR="000D292E" w:rsidRPr="00602635">
              <w:rPr>
                <w:rStyle w:val="Hyperlink"/>
                <w:rFonts w:eastAsia="Times New Roman"/>
                <w:noProof/>
                <w:lang w:eastAsia="en-GB"/>
              </w:rPr>
              <w:t>Correlation between IU and PTSS</w:t>
            </w:r>
            <w:r w:rsidR="000D292E">
              <w:rPr>
                <w:noProof/>
                <w:webHidden/>
              </w:rPr>
              <w:tab/>
            </w:r>
            <w:r w:rsidR="000D292E">
              <w:rPr>
                <w:noProof/>
                <w:webHidden/>
              </w:rPr>
              <w:fldChar w:fldCharType="begin"/>
            </w:r>
            <w:r w:rsidR="000D292E">
              <w:rPr>
                <w:noProof/>
                <w:webHidden/>
              </w:rPr>
              <w:instrText xml:space="preserve"> PAGEREF _Toc133487798 \h </w:instrText>
            </w:r>
            <w:r w:rsidR="000D292E">
              <w:rPr>
                <w:noProof/>
                <w:webHidden/>
              </w:rPr>
            </w:r>
            <w:r w:rsidR="000D292E">
              <w:rPr>
                <w:noProof/>
                <w:webHidden/>
              </w:rPr>
              <w:fldChar w:fldCharType="separate"/>
            </w:r>
            <w:r w:rsidR="001B08DD">
              <w:rPr>
                <w:noProof/>
                <w:webHidden/>
              </w:rPr>
              <w:t>30</w:t>
            </w:r>
            <w:r w:rsidR="000D292E">
              <w:rPr>
                <w:noProof/>
                <w:webHidden/>
              </w:rPr>
              <w:fldChar w:fldCharType="end"/>
            </w:r>
          </w:hyperlink>
        </w:p>
        <w:p w14:paraId="7010BF78" w14:textId="06CE8F24" w:rsidR="000D292E" w:rsidRDefault="00000000">
          <w:pPr>
            <w:pStyle w:val="TOC2"/>
            <w:tabs>
              <w:tab w:val="right" w:leader="dot" w:pos="9016"/>
            </w:tabs>
            <w:rPr>
              <w:rFonts w:eastAsiaTheme="minorEastAsia"/>
              <w:noProof/>
              <w:lang w:eastAsia="en-GB"/>
            </w:rPr>
          </w:pPr>
          <w:hyperlink w:anchor="_Toc133487799" w:history="1">
            <w:r w:rsidR="000D292E" w:rsidRPr="00602635">
              <w:rPr>
                <w:rStyle w:val="Hyperlink"/>
                <w:rFonts w:eastAsia="Times New Roman"/>
                <w:noProof/>
                <w:lang w:eastAsia="en-GB"/>
              </w:rPr>
              <w:t>Regression analyses – IU as a predictor of PTSS in cross-sectional studies</w:t>
            </w:r>
            <w:r w:rsidR="000D292E">
              <w:rPr>
                <w:noProof/>
                <w:webHidden/>
              </w:rPr>
              <w:tab/>
            </w:r>
            <w:r w:rsidR="000D292E">
              <w:rPr>
                <w:noProof/>
                <w:webHidden/>
              </w:rPr>
              <w:fldChar w:fldCharType="begin"/>
            </w:r>
            <w:r w:rsidR="000D292E">
              <w:rPr>
                <w:noProof/>
                <w:webHidden/>
              </w:rPr>
              <w:instrText xml:space="preserve"> PAGEREF _Toc133487799 \h </w:instrText>
            </w:r>
            <w:r w:rsidR="000D292E">
              <w:rPr>
                <w:noProof/>
                <w:webHidden/>
              </w:rPr>
            </w:r>
            <w:r w:rsidR="000D292E">
              <w:rPr>
                <w:noProof/>
                <w:webHidden/>
              </w:rPr>
              <w:fldChar w:fldCharType="separate"/>
            </w:r>
            <w:r w:rsidR="001B08DD">
              <w:rPr>
                <w:noProof/>
                <w:webHidden/>
              </w:rPr>
              <w:t>30</w:t>
            </w:r>
            <w:r w:rsidR="000D292E">
              <w:rPr>
                <w:noProof/>
                <w:webHidden/>
              </w:rPr>
              <w:fldChar w:fldCharType="end"/>
            </w:r>
          </w:hyperlink>
        </w:p>
        <w:p w14:paraId="4D8E4EC3" w14:textId="290EB7DF" w:rsidR="000D292E" w:rsidRDefault="00000000">
          <w:pPr>
            <w:pStyle w:val="TOC2"/>
            <w:tabs>
              <w:tab w:val="right" w:leader="dot" w:pos="9016"/>
            </w:tabs>
            <w:rPr>
              <w:rFonts w:eastAsiaTheme="minorEastAsia"/>
              <w:noProof/>
              <w:lang w:eastAsia="en-GB"/>
            </w:rPr>
          </w:pPr>
          <w:hyperlink w:anchor="_Toc133487800" w:history="1">
            <w:r w:rsidR="000D292E" w:rsidRPr="00602635">
              <w:rPr>
                <w:rStyle w:val="Hyperlink"/>
                <w:rFonts w:eastAsia="Times New Roman"/>
                <w:noProof/>
                <w:lang w:eastAsia="en-GB"/>
              </w:rPr>
              <w:t>Regression analyses – IU as a predictor of PTSS in prospective studies</w:t>
            </w:r>
            <w:r w:rsidR="000D292E">
              <w:rPr>
                <w:noProof/>
                <w:webHidden/>
              </w:rPr>
              <w:tab/>
            </w:r>
            <w:r w:rsidR="000D292E">
              <w:rPr>
                <w:noProof/>
                <w:webHidden/>
              </w:rPr>
              <w:fldChar w:fldCharType="begin"/>
            </w:r>
            <w:r w:rsidR="000D292E">
              <w:rPr>
                <w:noProof/>
                <w:webHidden/>
              </w:rPr>
              <w:instrText xml:space="preserve"> PAGEREF _Toc133487800 \h </w:instrText>
            </w:r>
            <w:r w:rsidR="000D292E">
              <w:rPr>
                <w:noProof/>
                <w:webHidden/>
              </w:rPr>
            </w:r>
            <w:r w:rsidR="000D292E">
              <w:rPr>
                <w:noProof/>
                <w:webHidden/>
              </w:rPr>
              <w:fldChar w:fldCharType="separate"/>
            </w:r>
            <w:r w:rsidR="001B08DD">
              <w:rPr>
                <w:noProof/>
                <w:webHidden/>
              </w:rPr>
              <w:t>30</w:t>
            </w:r>
            <w:r w:rsidR="000D292E">
              <w:rPr>
                <w:noProof/>
                <w:webHidden/>
              </w:rPr>
              <w:fldChar w:fldCharType="end"/>
            </w:r>
          </w:hyperlink>
        </w:p>
        <w:p w14:paraId="67706588" w14:textId="79D155FB" w:rsidR="000D292E" w:rsidRDefault="00000000">
          <w:pPr>
            <w:pStyle w:val="TOC2"/>
            <w:tabs>
              <w:tab w:val="right" w:leader="dot" w:pos="9016"/>
            </w:tabs>
            <w:rPr>
              <w:rFonts w:eastAsiaTheme="minorEastAsia"/>
              <w:noProof/>
              <w:lang w:eastAsia="en-GB"/>
            </w:rPr>
          </w:pPr>
          <w:hyperlink w:anchor="_Toc133487801" w:history="1">
            <w:r w:rsidR="000D292E" w:rsidRPr="00602635">
              <w:rPr>
                <w:rStyle w:val="Hyperlink"/>
                <w:rFonts w:eastAsia="Times New Roman"/>
                <w:noProof/>
                <w:lang w:eastAsia="en-GB"/>
              </w:rPr>
              <w:t>Non-regression Analyses</w:t>
            </w:r>
            <w:r w:rsidR="000D292E">
              <w:rPr>
                <w:noProof/>
                <w:webHidden/>
              </w:rPr>
              <w:tab/>
            </w:r>
            <w:r w:rsidR="000D292E">
              <w:rPr>
                <w:noProof/>
                <w:webHidden/>
              </w:rPr>
              <w:fldChar w:fldCharType="begin"/>
            </w:r>
            <w:r w:rsidR="000D292E">
              <w:rPr>
                <w:noProof/>
                <w:webHidden/>
              </w:rPr>
              <w:instrText xml:space="preserve"> PAGEREF _Toc133487801 \h </w:instrText>
            </w:r>
            <w:r w:rsidR="000D292E">
              <w:rPr>
                <w:noProof/>
                <w:webHidden/>
              </w:rPr>
            </w:r>
            <w:r w:rsidR="000D292E">
              <w:rPr>
                <w:noProof/>
                <w:webHidden/>
              </w:rPr>
              <w:fldChar w:fldCharType="separate"/>
            </w:r>
            <w:r w:rsidR="001B08DD">
              <w:rPr>
                <w:noProof/>
                <w:webHidden/>
              </w:rPr>
              <w:t>30</w:t>
            </w:r>
            <w:r w:rsidR="000D292E">
              <w:rPr>
                <w:noProof/>
                <w:webHidden/>
              </w:rPr>
              <w:fldChar w:fldCharType="end"/>
            </w:r>
          </w:hyperlink>
        </w:p>
        <w:p w14:paraId="5DF3F250" w14:textId="1837B856" w:rsidR="000D292E" w:rsidRDefault="00000000">
          <w:pPr>
            <w:pStyle w:val="TOC2"/>
            <w:tabs>
              <w:tab w:val="right" w:leader="dot" w:pos="9016"/>
            </w:tabs>
            <w:rPr>
              <w:rFonts w:eastAsiaTheme="minorEastAsia"/>
              <w:noProof/>
              <w:lang w:eastAsia="en-GB"/>
            </w:rPr>
          </w:pPr>
          <w:hyperlink w:anchor="_Toc133487802" w:history="1">
            <w:r w:rsidR="000D292E" w:rsidRPr="00602635">
              <w:rPr>
                <w:rStyle w:val="Hyperlink"/>
                <w:rFonts w:eastAsia="Times New Roman"/>
                <w:noProof/>
                <w:lang w:eastAsia="en-GB"/>
              </w:rPr>
              <w:t>Sub-factors</w:t>
            </w:r>
            <w:r w:rsidR="000D292E">
              <w:rPr>
                <w:noProof/>
                <w:webHidden/>
              </w:rPr>
              <w:tab/>
            </w:r>
            <w:r w:rsidR="000D292E">
              <w:rPr>
                <w:noProof/>
                <w:webHidden/>
              </w:rPr>
              <w:fldChar w:fldCharType="begin"/>
            </w:r>
            <w:r w:rsidR="000D292E">
              <w:rPr>
                <w:noProof/>
                <w:webHidden/>
              </w:rPr>
              <w:instrText xml:space="preserve"> PAGEREF _Toc133487802 \h </w:instrText>
            </w:r>
            <w:r w:rsidR="000D292E">
              <w:rPr>
                <w:noProof/>
                <w:webHidden/>
              </w:rPr>
            </w:r>
            <w:r w:rsidR="000D292E">
              <w:rPr>
                <w:noProof/>
                <w:webHidden/>
              </w:rPr>
              <w:fldChar w:fldCharType="separate"/>
            </w:r>
            <w:r w:rsidR="001B08DD">
              <w:rPr>
                <w:noProof/>
                <w:webHidden/>
              </w:rPr>
              <w:t>31</w:t>
            </w:r>
            <w:r w:rsidR="000D292E">
              <w:rPr>
                <w:noProof/>
                <w:webHidden/>
              </w:rPr>
              <w:fldChar w:fldCharType="end"/>
            </w:r>
          </w:hyperlink>
        </w:p>
        <w:p w14:paraId="72A3D415" w14:textId="324EAC7A" w:rsidR="000D292E" w:rsidRDefault="00000000">
          <w:pPr>
            <w:pStyle w:val="TOC1"/>
            <w:rPr>
              <w:rFonts w:eastAsiaTheme="minorEastAsia"/>
              <w:color w:val="auto"/>
              <w:lang w:eastAsia="en-GB"/>
            </w:rPr>
          </w:pPr>
          <w:hyperlink w:anchor="_Toc133487803" w:history="1">
            <w:r w:rsidR="000D292E" w:rsidRPr="00602635">
              <w:rPr>
                <w:rStyle w:val="Hyperlink"/>
              </w:rPr>
              <w:t>Discussion</w:t>
            </w:r>
            <w:r w:rsidR="000D292E">
              <w:rPr>
                <w:webHidden/>
              </w:rPr>
              <w:tab/>
            </w:r>
            <w:r w:rsidR="000D292E">
              <w:rPr>
                <w:webHidden/>
              </w:rPr>
              <w:fldChar w:fldCharType="begin"/>
            </w:r>
            <w:r w:rsidR="000D292E">
              <w:rPr>
                <w:webHidden/>
              </w:rPr>
              <w:instrText xml:space="preserve"> PAGEREF _Toc133487803 \h </w:instrText>
            </w:r>
            <w:r w:rsidR="000D292E">
              <w:rPr>
                <w:webHidden/>
              </w:rPr>
            </w:r>
            <w:r w:rsidR="000D292E">
              <w:rPr>
                <w:webHidden/>
              </w:rPr>
              <w:fldChar w:fldCharType="separate"/>
            </w:r>
            <w:r w:rsidR="001B08DD">
              <w:rPr>
                <w:webHidden/>
              </w:rPr>
              <w:t>31</w:t>
            </w:r>
            <w:r w:rsidR="000D292E">
              <w:rPr>
                <w:webHidden/>
              </w:rPr>
              <w:fldChar w:fldCharType="end"/>
            </w:r>
          </w:hyperlink>
        </w:p>
        <w:p w14:paraId="120C0E7C" w14:textId="7BB9AD60" w:rsidR="000D292E" w:rsidRDefault="00000000">
          <w:pPr>
            <w:pStyle w:val="TOC2"/>
            <w:tabs>
              <w:tab w:val="right" w:leader="dot" w:pos="9016"/>
            </w:tabs>
            <w:rPr>
              <w:rFonts w:eastAsiaTheme="minorEastAsia"/>
              <w:noProof/>
              <w:lang w:eastAsia="en-GB"/>
            </w:rPr>
          </w:pPr>
          <w:hyperlink w:anchor="_Toc133487804" w:history="1">
            <w:r w:rsidR="000D292E" w:rsidRPr="00602635">
              <w:rPr>
                <w:rStyle w:val="Hyperlink"/>
                <w:noProof/>
              </w:rPr>
              <w:t>Limitations of current studies and review</w:t>
            </w:r>
            <w:r w:rsidR="000D292E">
              <w:rPr>
                <w:noProof/>
                <w:webHidden/>
              </w:rPr>
              <w:tab/>
            </w:r>
            <w:r w:rsidR="000D292E">
              <w:rPr>
                <w:noProof/>
                <w:webHidden/>
              </w:rPr>
              <w:fldChar w:fldCharType="begin"/>
            </w:r>
            <w:r w:rsidR="000D292E">
              <w:rPr>
                <w:noProof/>
                <w:webHidden/>
              </w:rPr>
              <w:instrText xml:space="preserve"> PAGEREF _Toc133487804 \h </w:instrText>
            </w:r>
            <w:r w:rsidR="000D292E">
              <w:rPr>
                <w:noProof/>
                <w:webHidden/>
              </w:rPr>
            </w:r>
            <w:r w:rsidR="000D292E">
              <w:rPr>
                <w:noProof/>
                <w:webHidden/>
              </w:rPr>
              <w:fldChar w:fldCharType="separate"/>
            </w:r>
            <w:r w:rsidR="001B08DD">
              <w:rPr>
                <w:noProof/>
                <w:webHidden/>
              </w:rPr>
              <w:t>32</w:t>
            </w:r>
            <w:r w:rsidR="000D292E">
              <w:rPr>
                <w:noProof/>
                <w:webHidden/>
              </w:rPr>
              <w:fldChar w:fldCharType="end"/>
            </w:r>
          </w:hyperlink>
        </w:p>
        <w:p w14:paraId="73947167" w14:textId="50F1A01E" w:rsidR="000D292E" w:rsidRDefault="00000000">
          <w:pPr>
            <w:pStyle w:val="TOC2"/>
            <w:tabs>
              <w:tab w:val="right" w:leader="dot" w:pos="9016"/>
            </w:tabs>
            <w:rPr>
              <w:rFonts w:eastAsiaTheme="minorEastAsia"/>
              <w:noProof/>
              <w:lang w:eastAsia="en-GB"/>
            </w:rPr>
          </w:pPr>
          <w:hyperlink w:anchor="_Toc133487805" w:history="1">
            <w:r w:rsidR="000D292E" w:rsidRPr="00602635">
              <w:rPr>
                <w:rStyle w:val="Hyperlink"/>
                <w:noProof/>
              </w:rPr>
              <w:t>Conclusion</w:t>
            </w:r>
            <w:r w:rsidR="000D292E">
              <w:rPr>
                <w:noProof/>
                <w:webHidden/>
              </w:rPr>
              <w:tab/>
            </w:r>
            <w:r w:rsidR="000D292E">
              <w:rPr>
                <w:noProof/>
                <w:webHidden/>
              </w:rPr>
              <w:fldChar w:fldCharType="begin"/>
            </w:r>
            <w:r w:rsidR="000D292E">
              <w:rPr>
                <w:noProof/>
                <w:webHidden/>
              </w:rPr>
              <w:instrText xml:space="preserve"> PAGEREF _Toc133487805 \h </w:instrText>
            </w:r>
            <w:r w:rsidR="000D292E">
              <w:rPr>
                <w:noProof/>
                <w:webHidden/>
              </w:rPr>
            </w:r>
            <w:r w:rsidR="000D292E">
              <w:rPr>
                <w:noProof/>
                <w:webHidden/>
              </w:rPr>
              <w:fldChar w:fldCharType="separate"/>
            </w:r>
            <w:r w:rsidR="001B08DD">
              <w:rPr>
                <w:noProof/>
                <w:webHidden/>
              </w:rPr>
              <w:t>34</w:t>
            </w:r>
            <w:r w:rsidR="000D292E">
              <w:rPr>
                <w:noProof/>
                <w:webHidden/>
              </w:rPr>
              <w:fldChar w:fldCharType="end"/>
            </w:r>
          </w:hyperlink>
        </w:p>
        <w:p w14:paraId="20CF6BC3" w14:textId="52E9ED04" w:rsidR="000D292E" w:rsidRDefault="00000000">
          <w:pPr>
            <w:pStyle w:val="TOC1"/>
            <w:rPr>
              <w:rFonts w:eastAsiaTheme="minorEastAsia"/>
              <w:color w:val="auto"/>
              <w:lang w:eastAsia="en-GB"/>
            </w:rPr>
          </w:pPr>
          <w:hyperlink w:anchor="_Toc133487806" w:history="1">
            <w:r w:rsidR="000D292E" w:rsidRPr="00602635">
              <w:rPr>
                <w:rStyle w:val="Hyperlink"/>
              </w:rPr>
              <w:t>References</w:t>
            </w:r>
            <w:r w:rsidR="000D292E">
              <w:rPr>
                <w:webHidden/>
              </w:rPr>
              <w:tab/>
            </w:r>
            <w:r w:rsidR="000D292E">
              <w:rPr>
                <w:webHidden/>
              </w:rPr>
              <w:fldChar w:fldCharType="begin"/>
            </w:r>
            <w:r w:rsidR="000D292E">
              <w:rPr>
                <w:webHidden/>
              </w:rPr>
              <w:instrText xml:space="preserve"> PAGEREF _Toc133487806 \h </w:instrText>
            </w:r>
            <w:r w:rsidR="000D292E">
              <w:rPr>
                <w:webHidden/>
              </w:rPr>
            </w:r>
            <w:r w:rsidR="000D292E">
              <w:rPr>
                <w:webHidden/>
              </w:rPr>
              <w:fldChar w:fldCharType="separate"/>
            </w:r>
            <w:r w:rsidR="001B08DD">
              <w:rPr>
                <w:webHidden/>
              </w:rPr>
              <w:t>35</w:t>
            </w:r>
            <w:r w:rsidR="000D292E">
              <w:rPr>
                <w:webHidden/>
              </w:rPr>
              <w:fldChar w:fldCharType="end"/>
            </w:r>
          </w:hyperlink>
        </w:p>
        <w:p w14:paraId="5065EEAE" w14:textId="0DCDD523" w:rsidR="000D292E" w:rsidRDefault="00000000">
          <w:pPr>
            <w:pStyle w:val="TOC1"/>
            <w:rPr>
              <w:rFonts w:eastAsiaTheme="minorEastAsia"/>
              <w:color w:val="auto"/>
              <w:lang w:eastAsia="en-GB"/>
            </w:rPr>
          </w:pPr>
          <w:hyperlink w:anchor="_Toc133487807" w:history="1">
            <w:r w:rsidR="000D292E" w:rsidRPr="00602635">
              <w:rPr>
                <w:rStyle w:val="Hyperlink"/>
              </w:rPr>
              <w:t>Appendix  A : Journal of Traumatic Stress</w:t>
            </w:r>
            <w:r w:rsidR="000D292E">
              <w:rPr>
                <w:webHidden/>
              </w:rPr>
              <w:tab/>
            </w:r>
            <w:r w:rsidR="000D292E">
              <w:rPr>
                <w:webHidden/>
              </w:rPr>
              <w:fldChar w:fldCharType="begin"/>
            </w:r>
            <w:r w:rsidR="000D292E">
              <w:rPr>
                <w:webHidden/>
              </w:rPr>
              <w:instrText xml:space="preserve"> PAGEREF _Toc133487807 \h </w:instrText>
            </w:r>
            <w:r w:rsidR="000D292E">
              <w:rPr>
                <w:webHidden/>
              </w:rPr>
            </w:r>
            <w:r w:rsidR="000D292E">
              <w:rPr>
                <w:webHidden/>
              </w:rPr>
              <w:fldChar w:fldCharType="separate"/>
            </w:r>
            <w:r w:rsidR="001B08DD">
              <w:rPr>
                <w:webHidden/>
              </w:rPr>
              <w:t>44</w:t>
            </w:r>
            <w:r w:rsidR="000D292E">
              <w:rPr>
                <w:webHidden/>
              </w:rPr>
              <w:fldChar w:fldCharType="end"/>
            </w:r>
          </w:hyperlink>
        </w:p>
        <w:p w14:paraId="7182770E" w14:textId="551FB0EB" w:rsidR="000D292E" w:rsidRDefault="00000000">
          <w:pPr>
            <w:pStyle w:val="TOC1"/>
            <w:rPr>
              <w:rFonts w:eastAsiaTheme="minorEastAsia"/>
              <w:color w:val="auto"/>
              <w:lang w:eastAsia="en-GB"/>
            </w:rPr>
          </w:pPr>
          <w:hyperlink w:anchor="_Toc133487808" w:history="1">
            <w:r w:rsidR="000D292E" w:rsidRPr="00602635">
              <w:rPr>
                <w:rStyle w:val="Hyperlink"/>
              </w:rPr>
              <w:t>Appendix 2 – Quality appraisal scoring using modified AXIS tool</w:t>
            </w:r>
            <w:r w:rsidR="000D292E">
              <w:rPr>
                <w:webHidden/>
              </w:rPr>
              <w:tab/>
            </w:r>
            <w:r w:rsidR="000D292E">
              <w:rPr>
                <w:webHidden/>
              </w:rPr>
              <w:fldChar w:fldCharType="begin"/>
            </w:r>
            <w:r w:rsidR="000D292E">
              <w:rPr>
                <w:webHidden/>
              </w:rPr>
              <w:instrText xml:space="preserve"> PAGEREF _Toc133487808 \h </w:instrText>
            </w:r>
            <w:r w:rsidR="000D292E">
              <w:rPr>
                <w:webHidden/>
              </w:rPr>
            </w:r>
            <w:r w:rsidR="000D292E">
              <w:rPr>
                <w:webHidden/>
              </w:rPr>
              <w:fldChar w:fldCharType="separate"/>
            </w:r>
            <w:r w:rsidR="001B08DD">
              <w:rPr>
                <w:webHidden/>
              </w:rPr>
              <w:t>45</w:t>
            </w:r>
            <w:r w:rsidR="000D292E">
              <w:rPr>
                <w:webHidden/>
              </w:rPr>
              <w:fldChar w:fldCharType="end"/>
            </w:r>
          </w:hyperlink>
        </w:p>
        <w:p w14:paraId="2B2B06D9" w14:textId="77777777" w:rsidR="001B08DD" w:rsidRDefault="001B08DD">
          <w:pPr>
            <w:pStyle w:val="TOC1"/>
            <w:rPr>
              <w:rStyle w:val="Hyperlink"/>
            </w:rPr>
          </w:pPr>
        </w:p>
        <w:p w14:paraId="351E38DE" w14:textId="1105EB92" w:rsidR="000D292E" w:rsidRDefault="00000000">
          <w:pPr>
            <w:pStyle w:val="TOC1"/>
            <w:rPr>
              <w:rFonts w:eastAsiaTheme="minorEastAsia"/>
              <w:color w:val="auto"/>
              <w:lang w:eastAsia="en-GB"/>
            </w:rPr>
          </w:pPr>
          <w:hyperlink w:anchor="_Toc133487809" w:history="1">
            <w:r w:rsidR="000D292E" w:rsidRPr="00602635">
              <w:rPr>
                <w:rStyle w:val="Hyperlink"/>
              </w:rPr>
              <w:t>Paper 2: Empirical Paper</w:t>
            </w:r>
            <w:r w:rsidR="000D292E">
              <w:rPr>
                <w:webHidden/>
              </w:rPr>
              <w:tab/>
            </w:r>
            <w:r w:rsidR="000D292E">
              <w:rPr>
                <w:webHidden/>
              </w:rPr>
              <w:fldChar w:fldCharType="begin"/>
            </w:r>
            <w:r w:rsidR="000D292E">
              <w:rPr>
                <w:webHidden/>
              </w:rPr>
              <w:instrText xml:space="preserve"> PAGEREF _Toc133487809 \h </w:instrText>
            </w:r>
            <w:r w:rsidR="000D292E">
              <w:rPr>
                <w:webHidden/>
              </w:rPr>
            </w:r>
            <w:r w:rsidR="000D292E">
              <w:rPr>
                <w:webHidden/>
              </w:rPr>
              <w:fldChar w:fldCharType="separate"/>
            </w:r>
            <w:r w:rsidR="001B08DD">
              <w:rPr>
                <w:webHidden/>
              </w:rPr>
              <w:t>49</w:t>
            </w:r>
            <w:r w:rsidR="000D292E">
              <w:rPr>
                <w:webHidden/>
              </w:rPr>
              <w:fldChar w:fldCharType="end"/>
            </w:r>
          </w:hyperlink>
        </w:p>
        <w:p w14:paraId="63785BF6" w14:textId="69C4BA8A" w:rsidR="000D292E" w:rsidRDefault="00000000">
          <w:pPr>
            <w:pStyle w:val="TOC1"/>
            <w:rPr>
              <w:rFonts w:eastAsiaTheme="minorEastAsia"/>
              <w:color w:val="auto"/>
              <w:lang w:eastAsia="en-GB"/>
            </w:rPr>
          </w:pPr>
          <w:hyperlink w:anchor="_Toc133487810" w:history="1">
            <w:r w:rsidR="000D292E" w:rsidRPr="00602635">
              <w:rPr>
                <w:rStyle w:val="Hyperlink"/>
              </w:rPr>
              <w:t>Abstract</w:t>
            </w:r>
            <w:r w:rsidR="000D292E">
              <w:rPr>
                <w:webHidden/>
              </w:rPr>
              <w:tab/>
            </w:r>
            <w:r w:rsidR="000D292E">
              <w:rPr>
                <w:webHidden/>
              </w:rPr>
              <w:fldChar w:fldCharType="begin"/>
            </w:r>
            <w:r w:rsidR="000D292E">
              <w:rPr>
                <w:webHidden/>
              </w:rPr>
              <w:instrText xml:space="preserve"> PAGEREF _Toc133487810 \h </w:instrText>
            </w:r>
            <w:r w:rsidR="000D292E">
              <w:rPr>
                <w:webHidden/>
              </w:rPr>
            </w:r>
            <w:r w:rsidR="000D292E">
              <w:rPr>
                <w:webHidden/>
              </w:rPr>
              <w:fldChar w:fldCharType="separate"/>
            </w:r>
            <w:r w:rsidR="001B08DD">
              <w:rPr>
                <w:webHidden/>
              </w:rPr>
              <w:t>50</w:t>
            </w:r>
            <w:r w:rsidR="000D292E">
              <w:rPr>
                <w:webHidden/>
              </w:rPr>
              <w:fldChar w:fldCharType="end"/>
            </w:r>
          </w:hyperlink>
        </w:p>
        <w:p w14:paraId="1B6CD8DE" w14:textId="7FC7B066" w:rsidR="000D292E" w:rsidRDefault="00000000">
          <w:pPr>
            <w:pStyle w:val="TOC1"/>
            <w:rPr>
              <w:rFonts w:eastAsiaTheme="minorEastAsia"/>
              <w:color w:val="auto"/>
              <w:lang w:eastAsia="en-GB"/>
            </w:rPr>
          </w:pPr>
          <w:hyperlink w:anchor="_Toc133487811" w:history="1">
            <w:r w:rsidR="000D292E" w:rsidRPr="00602635">
              <w:rPr>
                <w:rStyle w:val="Hyperlink"/>
              </w:rPr>
              <w:t>Introduction</w:t>
            </w:r>
            <w:r w:rsidR="000D292E">
              <w:rPr>
                <w:webHidden/>
              </w:rPr>
              <w:tab/>
            </w:r>
            <w:r w:rsidR="000D292E">
              <w:rPr>
                <w:webHidden/>
              </w:rPr>
              <w:fldChar w:fldCharType="begin"/>
            </w:r>
            <w:r w:rsidR="000D292E">
              <w:rPr>
                <w:webHidden/>
              </w:rPr>
              <w:instrText xml:space="preserve"> PAGEREF _Toc133487811 \h </w:instrText>
            </w:r>
            <w:r w:rsidR="000D292E">
              <w:rPr>
                <w:webHidden/>
              </w:rPr>
            </w:r>
            <w:r w:rsidR="000D292E">
              <w:rPr>
                <w:webHidden/>
              </w:rPr>
              <w:fldChar w:fldCharType="separate"/>
            </w:r>
            <w:r w:rsidR="001B08DD">
              <w:rPr>
                <w:webHidden/>
              </w:rPr>
              <w:t>51</w:t>
            </w:r>
            <w:r w:rsidR="000D292E">
              <w:rPr>
                <w:webHidden/>
              </w:rPr>
              <w:fldChar w:fldCharType="end"/>
            </w:r>
          </w:hyperlink>
        </w:p>
        <w:p w14:paraId="39C870B9" w14:textId="3A3C9015" w:rsidR="000D292E" w:rsidRDefault="00000000">
          <w:pPr>
            <w:pStyle w:val="TOC2"/>
            <w:tabs>
              <w:tab w:val="right" w:leader="dot" w:pos="9016"/>
            </w:tabs>
            <w:rPr>
              <w:rFonts w:eastAsiaTheme="minorEastAsia"/>
              <w:noProof/>
              <w:lang w:eastAsia="en-GB"/>
            </w:rPr>
          </w:pPr>
          <w:hyperlink w:anchor="_Toc133487812" w:history="1">
            <w:r w:rsidR="000D292E" w:rsidRPr="00602635">
              <w:rPr>
                <w:rStyle w:val="Hyperlink"/>
                <w:noProof/>
              </w:rPr>
              <w:t>Outcomes in seizure studies</w:t>
            </w:r>
            <w:r w:rsidR="000D292E">
              <w:rPr>
                <w:noProof/>
                <w:webHidden/>
              </w:rPr>
              <w:tab/>
            </w:r>
            <w:r w:rsidR="000D292E">
              <w:rPr>
                <w:noProof/>
                <w:webHidden/>
              </w:rPr>
              <w:fldChar w:fldCharType="begin"/>
            </w:r>
            <w:r w:rsidR="000D292E">
              <w:rPr>
                <w:noProof/>
                <w:webHidden/>
              </w:rPr>
              <w:instrText xml:space="preserve"> PAGEREF _Toc133487812 \h </w:instrText>
            </w:r>
            <w:r w:rsidR="000D292E">
              <w:rPr>
                <w:noProof/>
                <w:webHidden/>
              </w:rPr>
            </w:r>
            <w:r w:rsidR="000D292E">
              <w:rPr>
                <w:noProof/>
                <w:webHidden/>
              </w:rPr>
              <w:fldChar w:fldCharType="separate"/>
            </w:r>
            <w:r w:rsidR="001B08DD">
              <w:rPr>
                <w:noProof/>
                <w:webHidden/>
              </w:rPr>
              <w:t>52</w:t>
            </w:r>
            <w:r w:rsidR="000D292E">
              <w:rPr>
                <w:noProof/>
                <w:webHidden/>
              </w:rPr>
              <w:fldChar w:fldCharType="end"/>
            </w:r>
          </w:hyperlink>
        </w:p>
        <w:p w14:paraId="59994C43" w14:textId="2FE1DD8D" w:rsidR="000D292E" w:rsidRDefault="00000000">
          <w:pPr>
            <w:pStyle w:val="TOC1"/>
            <w:rPr>
              <w:rFonts w:eastAsiaTheme="minorEastAsia"/>
              <w:color w:val="auto"/>
              <w:lang w:eastAsia="en-GB"/>
            </w:rPr>
          </w:pPr>
          <w:hyperlink w:anchor="_Toc133487813" w:history="1">
            <w:r w:rsidR="000D292E" w:rsidRPr="00602635">
              <w:rPr>
                <w:rStyle w:val="Hyperlink"/>
              </w:rPr>
              <w:t>Wider relevance of this research</w:t>
            </w:r>
            <w:r w:rsidR="000D292E">
              <w:rPr>
                <w:webHidden/>
              </w:rPr>
              <w:tab/>
            </w:r>
            <w:r w:rsidR="000D292E">
              <w:rPr>
                <w:webHidden/>
              </w:rPr>
              <w:fldChar w:fldCharType="begin"/>
            </w:r>
            <w:r w:rsidR="000D292E">
              <w:rPr>
                <w:webHidden/>
              </w:rPr>
              <w:instrText xml:space="preserve"> PAGEREF _Toc133487813 \h </w:instrText>
            </w:r>
            <w:r w:rsidR="000D292E">
              <w:rPr>
                <w:webHidden/>
              </w:rPr>
            </w:r>
            <w:r w:rsidR="000D292E">
              <w:rPr>
                <w:webHidden/>
              </w:rPr>
              <w:fldChar w:fldCharType="separate"/>
            </w:r>
            <w:r w:rsidR="001B08DD">
              <w:rPr>
                <w:webHidden/>
              </w:rPr>
              <w:t>53</w:t>
            </w:r>
            <w:r w:rsidR="000D292E">
              <w:rPr>
                <w:webHidden/>
              </w:rPr>
              <w:fldChar w:fldCharType="end"/>
            </w:r>
          </w:hyperlink>
        </w:p>
        <w:p w14:paraId="690F851F" w14:textId="3B9F1D34" w:rsidR="000D292E" w:rsidRDefault="00000000">
          <w:pPr>
            <w:pStyle w:val="TOC2"/>
            <w:tabs>
              <w:tab w:val="right" w:leader="dot" w:pos="9016"/>
            </w:tabs>
            <w:rPr>
              <w:rFonts w:eastAsiaTheme="minorEastAsia"/>
              <w:noProof/>
              <w:lang w:eastAsia="en-GB"/>
            </w:rPr>
          </w:pPr>
          <w:hyperlink w:anchor="_Toc133487814" w:history="1">
            <w:r w:rsidR="000D292E" w:rsidRPr="00602635">
              <w:rPr>
                <w:rStyle w:val="Hyperlink"/>
                <w:noProof/>
              </w:rPr>
              <w:t>Hypotheses</w:t>
            </w:r>
            <w:r w:rsidR="000D292E">
              <w:rPr>
                <w:noProof/>
                <w:webHidden/>
              </w:rPr>
              <w:tab/>
            </w:r>
            <w:r w:rsidR="000D292E">
              <w:rPr>
                <w:noProof/>
                <w:webHidden/>
              </w:rPr>
              <w:fldChar w:fldCharType="begin"/>
            </w:r>
            <w:r w:rsidR="000D292E">
              <w:rPr>
                <w:noProof/>
                <w:webHidden/>
              </w:rPr>
              <w:instrText xml:space="preserve"> PAGEREF _Toc133487814 \h </w:instrText>
            </w:r>
            <w:r w:rsidR="000D292E">
              <w:rPr>
                <w:noProof/>
                <w:webHidden/>
              </w:rPr>
            </w:r>
            <w:r w:rsidR="000D292E">
              <w:rPr>
                <w:noProof/>
                <w:webHidden/>
              </w:rPr>
              <w:fldChar w:fldCharType="separate"/>
            </w:r>
            <w:r w:rsidR="001B08DD">
              <w:rPr>
                <w:noProof/>
                <w:webHidden/>
              </w:rPr>
              <w:t>53</w:t>
            </w:r>
            <w:r w:rsidR="000D292E">
              <w:rPr>
                <w:noProof/>
                <w:webHidden/>
              </w:rPr>
              <w:fldChar w:fldCharType="end"/>
            </w:r>
          </w:hyperlink>
        </w:p>
        <w:p w14:paraId="1372EDDA" w14:textId="6BA52422" w:rsidR="000D292E" w:rsidRDefault="00000000">
          <w:pPr>
            <w:pStyle w:val="TOC1"/>
            <w:rPr>
              <w:rFonts w:eastAsiaTheme="minorEastAsia"/>
              <w:color w:val="auto"/>
              <w:lang w:eastAsia="en-GB"/>
            </w:rPr>
          </w:pPr>
          <w:hyperlink w:anchor="_Toc133487815" w:history="1">
            <w:r w:rsidR="000D292E" w:rsidRPr="00602635">
              <w:rPr>
                <w:rStyle w:val="Hyperlink"/>
              </w:rPr>
              <w:t>Method</w:t>
            </w:r>
            <w:r w:rsidR="000D292E">
              <w:rPr>
                <w:webHidden/>
              </w:rPr>
              <w:tab/>
            </w:r>
            <w:r w:rsidR="000D292E">
              <w:rPr>
                <w:webHidden/>
              </w:rPr>
              <w:fldChar w:fldCharType="begin"/>
            </w:r>
            <w:r w:rsidR="000D292E">
              <w:rPr>
                <w:webHidden/>
              </w:rPr>
              <w:instrText xml:space="preserve"> PAGEREF _Toc133487815 \h </w:instrText>
            </w:r>
            <w:r w:rsidR="000D292E">
              <w:rPr>
                <w:webHidden/>
              </w:rPr>
            </w:r>
            <w:r w:rsidR="000D292E">
              <w:rPr>
                <w:webHidden/>
              </w:rPr>
              <w:fldChar w:fldCharType="separate"/>
            </w:r>
            <w:r w:rsidR="001B08DD">
              <w:rPr>
                <w:webHidden/>
              </w:rPr>
              <w:t>53</w:t>
            </w:r>
            <w:r w:rsidR="000D292E">
              <w:rPr>
                <w:webHidden/>
              </w:rPr>
              <w:fldChar w:fldCharType="end"/>
            </w:r>
          </w:hyperlink>
        </w:p>
        <w:p w14:paraId="3B1B73C7" w14:textId="67F5E9C8" w:rsidR="000D292E" w:rsidRDefault="00000000">
          <w:pPr>
            <w:pStyle w:val="TOC2"/>
            <w:tabs>
              <w:tab w:val="right" w:leader="dot" w:pos="9016"/>
            </w:tabs>
            <w:rPr>
              <w:rFonts w:eastAsiaTheme="minorEastAsia"/>
              <w:noProof/>
              <w:lang w:eastAsia="en-GB"/>
            </w:rPr>
          </w:pPr>
          <w:hyperlink w:anchor="_Toc133487816" w:history="1">
            <w:r w:rsidR="000D292E" w:rsidRPr="00602635">
              <w:rPr>
                <w:rStyle w:val="Hyperlink"/>
                <w:noProof/>
              </w:rPr>
              <w:t>Design and Ethics</w:t>
            </w:r>
            <w:r w:rsidR="000D292E">
              <w:rPr>
                <w:noProof/>
                <w:webHidden/>
              </w:rPr>
              <w:tab/>
            </w:r>
            <w:r w:rsidR="000D292E">
              <w:rPr>
                <w:noProof/>
                <w:webHidden/>
              </w:rPr>
              <w:fldChar w:fldCharType="begin"/>
            </w:r>
            <w:r w:rsidR="000D292E">
              <w:rPr>
                <w:noProof/>
                <w:webHidden/>
              </w:rPr>
              <w:instrText xml:space="preserve"> PAGEREF _Toc133487816 \h </w:instrText>
            </w:r>
            <w:r w:rsidR="000D292E">
              <w:rPr>
                <w:noProof/>
                <w:webHidden/>
              </w:rPr>
            </w:r>
            <w:r w:rsidR="000D292E">
              <w:rPr>
                <w:noProof/>
                <w:webHidden/>
              </w:rPr>
              <w:fldChar w:fldCharType="separate"/>
            </w:r>
            <w:r w:rsidR="001B08DD">
              <w:rPr>
                <w:noProof/>
                <w:webHidden/>
              </w:rPr>
              <w:t>53</w:t>
            </w:r>
            <w:r w:rsidR="000D292E">
              <w:rPr>
                <w:noProof/>
                <w:webHidden/>
              </w:rPr>
              <w:fldChar w:fldCharType="end"/>
            </w:r>
          </w:hyperlink>
        </w:p>
        <w:p w14:paraId="273559E2" w14:textId="5DE0FC08" w:rsidR="000D292E" w:rsidRDefault="00000000">
          <w:pPr>
            <w:pStyle w:val="TOC2"/>
            <w:tabs>
              <w:tab w:val="right" w:leader="dot" w:pos="9016"/>
            </w:tabs>
            <w:rPr>
              <w:rFonts w:eastAsiaTheme="minorEastAsia"/>
              <w:noProof/>
              <w:lang w:eastAsia="en-GB"/>
            </w:rPr>
          </w:pPr>
          <w:hyperlink w:anchor="_Toc133487817" w:history="1">
            <w:r w:rsidR="000D292E" w:rsidRPr="00602635">
              <w:rPr>
                <w:rStyle w:val="Hyperlink"/>
                <w:noProof/>
              </w:rPr>
              <w:t>Service User Involvement</w:t>
            </w:r>
            <w:r w:rsidR="000D292E">
              <w:rPr>
                <w:noProof/>
                <w:webHidden/>
              </w:rPr>
              <w:tab/>
            </w:r>
            <w:r w:rsidR="000D292E">
              <w:rPr>
                <w:noProof/>
                <w:webHidden/>
              </w:rPr>
              <w:fldChar w:fldCharType="begin"/>
            </w:r>
            <w:r w:rsidR="000D292E">
              <w:rPr>
                <w:noProof/>
                <w:webHidden/>
              </w:rPr>
              <w:instrText xml:space="preserve"> PAGEREF _Toc133487817 \h </w:instrText>
            </w:r>
            <w:r w:rsidR="000D292E">
              <w:rPr>
                <w:noProof/>
                <w:webHidden/>
              </w:rPr>
            </w:r>
            <w:r w:rsidR="000D292E">
              <w:rPr>
                <w:noProof/>
                <w:webHidden/>
              </w:rPr>
              <w:fldChar w:fldCharType="separate"/>
            </w:r>
            <w:r w:rsidR="001B08DD">
              <w:rPr>
                <w:noProof/>
                <w:webHidden/>
              </w:rPr>
              <w:t>54</w:t>
            </w:r>
            <w:r w:rsidR="000D292E">
              <w:rPr>
                <w:noProof/>
                <w:webHidden/>
              </w:rPr>
              <w:fldChar w:fldCharType="end"/>
            </w:r>
          </w:hyperlink>
        </w:p>
        <w:p w14:paraId="44C5FC9B" w14:textId="5D835218" w:rsidR="000D292E" w:rsidRDefault="00000000">
          <w:pPr>
            <w:pStyle w:val="TOC2"/>
            <w:tabs>
              <w:tab w:val="right" w:leader="dot" w:pos="9016"/>
            </w:tabs>
            <w:rPr>
              <w:rFonts w:eastAsiaTheme="minorEastAsia"/>
              <w:noProof/>
              <w:lang w:eastAsia="en-GB"/>
            </w:rPr>
          </w:pPr>
          <w:hyperlink w:anchor="_Toc133487818" w:history="1">
            <w:r w:rsidR="000D292E" w:rsidRPr="00602635">
              <w:rPr>
                <w:rStyle w:val="Hyperlink"/>
                <w:noProof/>
              </w:rPr>
              <w:t>Participants</w:t>
            </w:r>
            <w:r w:rsidR="000D292E">
              <w:rPr>
                <w:noProof/>
                <w:webHidden/>
              </w:rPr>
              <w:tab/>
            </w:r>
            <w:r w:rsidR="000D292E">
              <w:rPr>
                <w:noProof/>
                <w:webHidden/>
              </w:rPr>
              <w:fldChar w:fldCharType="begin"/>
            </w:r>
            <w:r w:rsidR="000D292E">
              <w:rPr>
                <w:noProof/>
                <w:webHidden/>
              </w:rPr>
              <w:instrText xml:space="preserve"> PAGEREF _Toc133487818 \h </w:instrText>
            </w:r>
            <w:r w:rsidR="000D292E">
              <w:rPr>
                <w:noProof/>
                <w:webHidden/>
              </w:rPr>
            </w:r>
            <w:r w:rsidR="000D292E">
              <w:rPr>
                <w:noProof/>
                <w:webHidden/>
              </w:rPr>
              <w:fldChar w:fldCharType="separate"/>
            </w:r>
            <w:r w:rsidR="001B08DD">
              <w:rPr>
                <w:noProof/>
                <w:webHidden/>
              </w:rPr>
              <w:t>54</w:t>
            </w:r>
            <w:r w:rsidR="000D292E">
              <w:rPr>
                <w:noProof/>
                <w:webHidden/>
              </w:rPr>
              <w:fldChar w:fldCharType="end"/>
            </w:r>
          </w:hyperlink>
        </w:p>
        <w:p w14:paraId="7A78A76A" w14:textId="70989581" w:rsidR="000D292E" w:rsidRDefault="00000000">
          <w:pPr>
            <w:pStyle w:val="TOC2"/>
            <w:tabs>
              <w:tab w:val="right" w:leader="dot" w:pos="9016"/>
            </w:tabs>
            <w:rPr>
              <w:rFonts w:eastAsiaTheme="minorEastAsia"/>
              <w:noProof/>
              <w:lang w:eastAsia="en-GB"/>
            </w:rPr>
          </w:pPr>
          <w:hyperlink w:anchor="_Toc133487819" w:history="1">
            <w:r w:rsidR="000D292E" w:rsidRPr="00602635">
              <w:rPr>
                <w:rStyle w:val="Hyperlink"/>
                <w:noProof/>
              </w:rPr>
              <w:t>Table 1</w:t>
            </w:r>
            <w:r w:rsidR="000D292E">
              <w:rPr>
                <w:noProof/>
                <w:webHidden/>
              </w:rPr>
              <w:tab/>
            </w:r>
            <w:r w:rsidR="000D292E">
              <w:rPr>
                <w:noProof/>
                <w:webHidden/>
              </w:rPr>
              <w:fldChar w:fldCharType="begin"/>
            </w:r>
            <w:r w:rsidR="000D292E">
              <w:rPr>
                <w:noProof/>
                <w:webHidden/>
              </w:rPr>
              <w:instrText xml:space="preserve"> PAGEREF _Toc133487819 \h </w:instrText>
            </w:r>
            <w:r w:rsidR="000D292E">
              <w:rPr>
                <w:noProof/>
                <w:webHidden/>
              </w:rPr>
            </w:r>
            <w:r w:rsidR="000D292E">
              <w:rPr>
                <w:noProof/>
                <w:webHidden/>
              </w:rPr>
              <w:fldChar w:fldCharType="separate"/>
            </w:r>
            <w:r w:rsidR="001B08DD">
              <w:rPr>
                <w:noProof/>
                <w:webHidden/>
              </w:rPr>
              <w:t>54</w:t>
            </w:r>
            <w:r w:rsidR="000D292E">
              <w:rPr>
                <w:noProof/>
                <w:webHidden/>
              </w:rPr>
              <w:fldChar w:fldCharType="end"/>
            </w:r>
          </w:hyperlink>
        </w:p>
        <w:p w14:paraId="01BB76F0" w14:textId="7909B510" w:rsidR="000D292E" w:rsidRDefault="00000000">
          <w:pPr>
            <w:pStyle w:val="TOC2"/>
            <w:tabs>
              <w:tab w:val="right" w:leader="dot" w:pos="9016"/>
            </w:tabs>
            <w:rPr>
              <w:rFonts w:eastAsiaTheme="minorEastAsia"/>
              <w:noProof/>
              <w:lang w:eastAsia="en-GB"/>
            </w:rPr>
          </w:pPr>
          <w:hyperlink w:anchor="_Toc133487820" w:history="1">
            <w:r w:rsidR="000D292E" w:rsidRPr="00602635">
              <w:rPr>
                <w:rStyle w:val="Hyperlink"/>
                <w:noProof/>
              </w:rPr>
              <w:t>Recruitment and procedure</w:t>
            </w:r>
            <w:r w:rsidR="000D292E">
              <w:rPr>
                <w:noProof/>
                <w:webHidden/>
              </w:rPr>
              <w:tab/>
            </w:r>
            <w:r w:rsidR="000D292E">
              <w:rPr>
                <w:noProof/>
                <w:webHidden/>
              </w:rPr>
              <w:fldChar w:fldCharType="begin"/>
            </w:r>
            <w:r w:rsidR="000D292E">
              <w:rPr>
                <w:noProof/>
                <w:webHidden/>
              </w:rPr>
              <w:instrText xml:space="preserve"> PAGEREF _Toc133487820 \h </w:instrText>
            </w:r>
            <w:r w:rsidR="000D292E">
              <w:rPr>
                <w:noProof/>
                <w:webHidden/>
              </w:rPr>
            </w:r>
            <w:r w:rsidR="000D292E">
              <w:rPr>
                <w:noProof/>
                <w:webHidden/>
              </w:rPr>
              <w:fldChar w:fldCharType="separate"/>
            </w:r>
            <w:r w:rsidR="001B08DD">
              <w:rPr>
                <w:noProof/>
                <w:webHidden/>
              </w:rPr>
              <w:t>54</w:t>
            </w:r>
            <w:r w:rsidR="000D292E">
              <w:rPr>
                <w:noProof/>
                <w:webHidden/>
              </w:rPr>
              <w:fldChar w:fldCharType="end"/>
            </w:r>
          </w:hyperlink>
        </w:p>
        <w:p w14:paraId="0FCE782F" w14:textId="76AABA8A" w:rsidR="000D292E" w:rsidRDefault="00000000">
          <w:pPr>
            <w:pStyle w:val="TOC2"/>
            <w:tabs>
              <w:tab w:val="right" w:leader="dot" w:pos="9016"/>
            </w:tabs>
            <w:rPr>
              <w:rFonts w:eastAsiaTheme="minorEastAsia"/>
              <w:noProof/>
              <w:lang w:eastAsia="en-GB"/>
            </w:rPr>
          </w:pPr>
          <w:hyperlink w:anchor="_Toc133487821" w:history="1">
            <w:r w:rsidR="000D292E" w:rsidRPr="00602635">
              <w:rPr>
                <w:rStyle w:val="Hyperlink"/>
                <w:noProof/>
              </w:rPr>
              <w:t>Measures</w:t>
            </w:r>
            <w:r w:rsidR="000D292E">
              <w:rPr>
                <w:noProof/>
                <w:webHidden/>
              </w:rPr>
              <w:tab/>
            </w:r>
            <w:r w:rsidR="000D292E">
              <w:rPr>
                <w:noProof/>
                <w:webHidden/>
              </w:rPr>
              <w:fldChar w:fldCharType="begin"/>
            </w:r>
            <w:r w:rsidR="000D292E">
              <w:rPr>
                <w:noProof/>
                <w:webHidden/>
              </w:rPr>
              <w:instrText xml:space="preserve"> PAGEREF _Toc133487821 \h </w:instrText>
            </w:r>
            <w:r w:rsidR="000D292E">
              <w:rPr>
                <w:noProof/>
                <w:webHidden/>
              </w:rPr>
            </w:r>
            <w:r w:rsidR="000D292E">
              <w:rPr>
                <w:noProof/>
                <w:webHidden/>
              </w:rPr>
              <w:fldChar w:fldCharType="separate"/>
            </w:r>
            <w:r w:rsidR="001B08DD">
              <w:rPr>
                <w:noProof/>
                <w:webHidden/>
              </w:rPr>
              <w:t>55</w:t>
            </w:r>
            <w:r w:rsidR="000D292E">
              <w:rPr>
                <w:noProof/>
                <w:webHidden/>
              </w:rPr>
              <w:fldChar w:fldCharType="end"/>
            </w:r>
          </w:hyperlink>
        </w:p>
        <w:p w14:paraId="7EE54FE1" w14:textId="72EF9BEA" w:rsidR="000D292E" w:rsidRDefault="00000000">
          <w:pPr>
            <w:pStyle w:val="TOC2"/>
            <w:tabs>
              <w:tab w:val="right" w:leader="dot" w:pos="9016"/>
            </w:tabs>
            <w:rPr>
              <w:rFonts w:eastAsiaTheme="minorEastAsia"/>
              <w:noProof/>
              <w:lang w:eastAsia="en-GB"/>
            </w:rPr>
          </w:pPr>
          <w:hyperlink w:anchor="_Toc133487822" w:history="1">
            <w:r w:rsidR="000D292E" w:rsidRPr="00602635">
              <w:rPr>
                <w:rStyle w:val="Hyperlink"/>
                <w:noProof/>
              </w:rPr>
              <w:t>Data Analysis</w:t>
            </w:r>
            <w:r w:rsidR="000D292E">
              <w:rPr>
                <w:noProof/>
                <w:webHidden/>
              </w:rPr>
              <w:tab/>
            </w:r>
            <w:r w:rsidR="000D292E">
              <w:rPr>
                <w:noProof/>
                <w:webHidden/>
              </w:rPr>
              <w:fldChar w:fldCharType="begin"/>
            </w:r>
            <w:r w:rsidR="000D292E">
              <w:rPr>
                <w:noProof/>
                <w:webHidden/>
              </w:rPr>
              <w:instrText xml:space="preserve"> PAGEREF _Toc133487822 \h </w:instrText>
            </w:r>
            <w:r w:rsidR="000D292E">
              <w:rPr>
                <w:noProof/>
                <w:webHidden/>
              </w:rPr>
            </w:r>
            <w:r w:rsidR="000D292E">
              <w:rPr>
                <w:noProof/>
                <w:webHidden/>
              </w:rPr>
              <w:fldChar w:fldCharType="separate"/>
            </w:r>
            <w:r w:rsidR="001B08DD">
              <w:rPr>
                <w:noProof/>
                <w:webHidden/>
              </w:rPr>
              <w:t>56</w:t>
            </w:r>
            <w:r w:rsidR="000D292E">
              <w:rPr>
                <w:noProof/>
                <w:webHidden/>
              </w:rPr>
              <w:fldChar w:fldCharType="end"/>
            </w:r>
          </w:hyperlink>
        </w:p>
        <w:p w14:paraId="3E367368" w14:textId="66E2E676" w:rsidR="000D292E" w:rsidRDefault="00000000">
          <w:pPr>
            <w:pStyle w:val="TOC2"/>
            <w:tabs>
              <w:tab w:val="right" w:leader="dot" w:pos="9016"/>
            </w:tabs>
            <w:rPr>
              <w:rFonts w:eastAsiaTheme="minorEastAsia"/>
              <w:noProof/>
              <w:lang w:eastAsia="en-GB"/>
            </w:rPr>
          </w:pPr>
          <w:hyperlink w:anchor="_Toc133487823" w:history="1">
            <w:r w:rsidR="000D292E" w:rsidRPr="00602635">
              <w:rPr>
                <w:rStyle w:val="Hyperlink"/>
                <w:noProof/>
              </w:rPr>
              <w:t>Statistical Assumptions</w:t>
            </w:r>
            <w:r w:rsidR="000D292E">
              <w:rPr>
                <w:noProof/>
                <w:webHidden/>
              </w:rPr>
              <w:tab/>
            </w:r>
            <w:r w:rsidR="000D292E">
              <w:rPr>
                <w:noProof/>
                <w:webHidden/>
              </w:rPr>
              <w:fldChar w:fldCharType="begin"/>
            </w:r>
            <w:r w:rsidR="000D292E">
              <w:rPr>
                <w:noProof/>
                <w:webHidden/>
              </w:rPr>
              <w:instrText xml:space="preserve"> PAGEREF _Toc133487823 \h </w:instrText>
            </w:r>
            <w:r w:rsidR="000D292E">
              <w:rPr>
                <w:noProof/>
                <w:webHidden/>
              </w:rPr>
            </w:r>
            <w:r w:rsidR="000D292E">
              <w:rPr>
                <w:noProof/>
                <w:webHidden/>
              </w:rPr>
              <w:fldChar w:fldCharType="separate"/>
            </w:r>
            <w:r w:rsidR="001B08DD">
              <w:rPr>
                <w:noProof/>
                <w:webHidden/>
              </w:rPr>
              <w:t>56</w:t>
            </w:r>
            <w:r w:rsidR="000D292E">
              <w:rPr>
                <w:noProof/>
                <w:webHidden/>
              </w:rPr>
              <w:fldChar w:fldCharType="end"/>
            </w:r>
          </w:hyperlink>
        </w:p>
        <w:p w14:paraId="49F6429C" w14:textId="687734F8" w:rsidR="000D292E" w:rsidRDefault="00000000">
          <w:pPr>
            <w:pStyle w:val="TOC2"/>
            <w:tabs>
              <w:tab w:val="right" w:leader="dot" w:pos="9016"/>
            </w:tabs>
            <w:rPr>
              <w:rFonts w:eastAsiaTheme="minorEastAsia"/>
              <w:noProof/>
              <w:lang w:eastAsia="en-GB"/>
            </w:rPr>
          </w:pPr>
          <w:hyperlink w:anchor="_Toc133487824" w:history="1">
            <w:r w:rsidR="000D292E" w:rsidRPr="00602635">
              <w:rPr>
                <w:rStyle w:val="Hyperlink"/>
                <w:noProof/>
              </w:rPr>
              <w:t>Power Analysis</w:t>
            </w:r>
            <w:r w:rsidR="000D292E">
              <w:rPr>
                <w:noProof/>
                <w:webHidden/>
              </w:rPr>
              <w:tab/>
            </w:r>
            <w:r w:rsidR="000D292E">
              <w:rPr>
                <w:noProof/>
                <w:webHidden/>
              </w:rPr>
              <w:fldChar w:fldCharType="begin"/>
            </w:r>
            <w:r w:rsidR="000D292E">
              <w:rPr>
                <w:noProof/>
                <w:webHidden/>
              </w:rPr>
              <w:instrText xml:space="preserve"> PAGEREF _Toc133487824 \h </w:instrText>
            </w:r>
            <w:r w:rsidR="000D292E">
              <w:rPr>
                <w:noProof/>
                <w:webHidden/>
              </w:rPr>
            </w:r>
            <w:r w:rsidR="000D292E">
              <w:rPr>
                <w:noProof/>
                <w:webHidden/>
              </w:rPr>
              <w:fldChar w:fldCharType="separate"/>
            </w:r>
            <w:r w:rsidR="001B08DD">
              <w:rPr>
                <w:noProof/>
                <w:webHidden/>
              </w:rPr>
              <w:t>58</w:t>
            </w:r>
            <w:r w:rsidR="000D292E">
              <w:rPr>
                <w:noProof/>
                <w:webHidden/>
              </w:rPr>
              <w:fldChar w:fldCharType="end"/>
            </w:r>
          </w:hyperlink>
        </w:p>
        <w:p w14:paraId="07662EBF" w14:textId="3E47B0C9" w:rsidR="000D292E" w:rsidRDefault="00000000">
          <w:pPr>
            <w:pStyle w:val="TOC2"/>
            <w:tabs>
              <w:tab w:val="right" w:leader="dot" w:pos="9016"/>
            </w:tabs>
            <w:rPr>
              <w:rFonts w:eastAsiaTheme="minorEastAsia"/>
              <w:noProof/>
              <w:lang w:eastAsia="en-GB"/>
            </w:rPr>
          </w:pPr>
          <w:hyperlink w:anchor="_Toc133487825" w:history="1">
            <w:r w:rsidR="000D292E" w:rsidRPr="00602635">
              <w:rPr>
                <w:rStyle w:val="Hyperlink"/>
                <w:noProof/>
              </w:rPr>
              <w:t>Data Screening</w:t>
            </w:r>
            <w:r w:rsidR="000D292E">
              <w:rPr>
                <w:noProof/>
                <w:webHidden/>
              </w:rPr>
              <w:tab/>
            </w:r>
            <w:r w:rsidR="000D292E">
              <w:rPr>
                <w:noProof/>
                <w:webHidden/>
              </w:rPr>
              <w:fldChar w:fldCharType="begin"/>
            </w:r>
            <w:r w:rsidR="000D292E">
              <w:rPr>
                <w:noProof/>
                <w:webHidden/>
              </w:rPr>
              <w:instrText xml:space="preserve"> PAGEREF _Toc133487825 \h </w:instrText>
            </w:r>
            <w:r w:rsidR="000D292E">
              <w:rPr>
                <w:noProof/>
                <w:webHidden/>
              </w:rPr>
            </w:r>
            <w:r w:rsidR="000D292E">
              <w:rPr>
                <w:noProof/>
                <w:webHidden/>
              </w:rPr>
              <w:fldChar w:fldCharType="separate"/>
            </w:r>
            <w:r w:rsidR="001B08DD">
              <w:rPr>
                <w:noProof/>
                <w:webHidden/>
              </w:rPr>
              <w:t>58</w:t>
            </w:r>
            <w:r w:rsidR="000D292E">
              <w:rPr>
                <w:noProof/>
                <w:webHidden/>
              </w:rPr>
              <w:fldChar w:fldCharType="end"/>
            </w:r>
          </w:hyperlink>
        </w:p>
        <w:p w14:paraId="761C0138" w14:textId="7EA20847" w:rsidR="000D292E" w:rsidRDefault="00000000">
          <w:pPr>
            <w:pStyle w:val="TOC2"/>
            <w:tabs>
              <w:tab w:val="right" w:leader="dot" w:pos="9016"/>
            </w:tabs>
            <w:rPr>
              <w:rFonts w:eastAsiaTheme="minorEastAsia"/>
              <w:noProof/>
              <w:lang w:eastAsia="en-GB"/>
            </w:rPr>
          </w:pPr>
          <w:hyperlink w:anchor="_Toc133487826" w:history="1">
            <w:r w:rsidR="000D292E" w:rsidRPr="00602635">
              <w:rPr>
                <w:rStyle w:val="Hyperlink"/>
                <w:noProof/>
              </w:rPr>
              <w:t>Table 2</w:t>
            </w:r>
            <w:r w:rsidR="000D292E">
              <w:rPr>
                <w:noProof/>
                <w:webHidden/>
              </w:rPr>
              <w:tab/>
            </w:r>
            <w:r w:rsidR="000D292E">
              <w:rPr>
                <w:noProof/>
                <w:webHidden/>
              </w:rPr>
              <w:fldChar w:fldCharType="begin"/>
            </w:r>
            <w:r w:rsidR="000D292E">
              <w:rPr>
                <w:noProof/>
                <w:webHidden/>
              </w:rPr>
              <w:instrText xml:space="preserve"> PAGEREF _Toc133487826 \h </w:instrText>
            </w:r>
            <w:r w:rsidR="000D292E">
              <w:rPr>
                <w:noProof/>
                <w:webHidden/>
              </w:rPr>
            </w:r>
            <w:r w:rsidR="000D292E">
              <w:rPr>
                <w:noProof/>
                <w:webHidden/>
              </w:rPr>
              <w:fldChar w:fldCharType="separate"/>
            </w:r>
            <w:r w:rsidR="001B08DD">
              <w:rPr>
                <w:noProof/>
                <w:webHidden/>
              </w:rPr>
              <w:t>59</w:t>
            </w:r>
            <w:r w:rsidR="000D292E">
              <w:rPr>
                <w:noProof/>
                <w:webHidden/>
              </w:rPr>
              <w:fldChar w:fldCharType="end"/>
            </w:r>
          </w:hyperlink>
        </w:p>
        <w:p w14:paraId="2B67A526" w14:textId="7B913691" w:rsidR="000D292E" w:rsidRDefault="00000000">
          <w:pPr>
            <w:pStyle w:val="TOC1"/>
            <w:rPr>
              <w:rFonts w:eastAsiaTheme="minorEastAsia"/>
              <w:color w:val="auto"/>
              <w:lang w:eastAsia="en-GB"/>
            </w:rPr>
          </w:pPr>
          <w:hyperlink w:anchor="_Toc133487827" w:history="1">
            <w:r w:rsidR="000D292E" w:rsidRPr="00602635">
              <w:rPr>
                <w:rStyle w:val="Hyperlink"/>
              </w:rPr>
              <w:t>Results</w:t>
            </w:r>
            <w:r w:rsidR="000D292E">
              <w:rPr>
                <w:webHidden/>
              </w:rPr>
              <w:tab/>
            </w:r>
            <w:r w:rsidR="000D292E">
              <w:rPr>
                <w:webHidden/>
              </w:rPr>
              <w:fldChar w:fldCharType="begin"/>
            </w:r>
            <w:r w:rsidR="000D292E">
              <w:rPr>
                <w:webHidden/>
              </w:rPr>
              <w:instrText xml:space="preserve"> PAGEREF _Toc133487827 \h </w:instrText>
            </w:r>
            <w:r w:rsidR="000D292E">
              <w:rPr>
                <w:webHidden/>
              </w:rPr>
            </w:r>
            <w:r w:rsidR="000D292E">
              <w:rPr>
                <w:webHidden/>
              </w:rPr>
              <w:fldChar w:fldCharType="separate"/>
            </w:r>
            <w:r w:rsidR="001B08DD">
              <w:rPr>
                <w:webHidden/>
              </w:rPr>
              <w:t>59</w:t>
            </w:r>
            <w:r w:rsidR="000D292E">
              <w:rPr>
                <w:webHidden/>
              </w:rPr>
              <w:fldChar w:fldCharType="end"/>
            </w:r>
          </w:hyperlink>
        </w:p>
        <w:p w14:paraId="42377A8C" w14:textId="237753D5" w:rsidR="000D292E" w:rsidRDefault="00000000">
          <w:pPr>
            <w:pStyle w:val="TOC2"/>
            <w:tabs>
              <w:tab w:val="right" w:leader="dot" w:pos="9016"/>
            </w:tabs>
            <w:rPr>
              <w:rFonts w:eastAsiaTheme="minorEastAsia"/>
              <w:noProof/>
              <w:lang w:eastAsia="en-GB"/>
            </w:rPr>
          </w:pPr>
          <w:hyperlink w:anchor="_Toc133487828" w:history="1">
            <w:r w:rsidR="000D292E" w:rsidRPr="00602635">
              <w:rPr>
                <w:rStyle w:val="Hyperlink"/>
                <w:noProof/>
              </w:rPr>
              <w:t>Descriptive Statistics to Assess Comparability of PWE and PWDS</w:t>
            </w:r>
            <w:r w:rsidR="000D292E">
              <w:rPr>
                <w:noProof/>
                <w:webHidden/>
              </w:rPr>
              <w:tab/>
            </w:r>
            <w:r w:rsidR="000D292E">
              <w:rPr>
                <w:noProof/>
                <w:webHidden/>
              </w:rPr>
              <w:fldChar w:fldCharType="begin"/>
            </w:r>
            <w:r w:rsidR="000D292E">
              <w:rPr>
                <w:noProof/>
                <w:webHidden/>
              </w:rPr>
              <w:instrText xml:space="preserve"> PAGEREF _Toc133487828 \h </w:instrText>
            </w:r>
            <w:r w:rsidR="000D292E">
              <w:rPr>
                <w:noProof/>
                <w:webHidden/>
              </w:rPr>
            </w:r>
            <w:r w:rsidR="000D292E">
              <w:rPr>
                <w:noProof/>
                <w:webHidden/>
              </w:rPr>
              <w:fldChar w:fldCharType="separate"/>
            </w:r>
            <w:r w:rsidR="001B08DD">
              <w:rPr>
                <w:noProof/>
                <w:webHidden/>
              </w:rPr>
              <w:t>59</w:t>
            </w:r>
            <w:r w:rsidR="000D292E">
              <w:rPr>
                <w:noProof/>
                <w:webHidden/>
              </w:rPr>
              <w:fldChar w:fldCharType="end"/>
            </w:r>
          </w:hyperlink>
        </w:p>
        <w:p w14:paraId="65651B3B" w14:textId="7BE1A548" w:rsidR="000D292E" w:rsidRDefault="00000000">
          <w:pPr>
            <w:pStyle w:val="TOC2"/>
            <w:tabs>
              <w:tab w:val="right" w:leader="dot" w:pos="9016"/>
            </w:tabs>
            <w:rPr>
              <w:rFonts w:eastAsiaTheme="minorEastAsia"/>
              <w:noProof/>
              <w:lang w:eastAsia="en-GB"/>
            </w:rPr>
          </w:pPr>
          <w:hyperlink w:anchor="_Toc133487829" w:history="1">
            <w:r w:rsidR="000D292E" w:rsidRPr="00602635">
              <w:rPr>
                <w:rStyle w:val="Hyperlink"/>
                <w:noProof/>
              </w:rPr>
              <w:t>Table 3</w:t>
            </w:r>
            <w:r w:rsidR="000D292E">
              <w:rPr>
                <w:noProof/>
                <w:webHidden/>
              </w:rPr>
              <w:tab/>
            </w:r>
            <w:r w:rsidR="000D292E">
              <w:rPr>
                <w:noProof/>
                <w:webHidden/>
              </w:rPr>
              <w:fldChar w:fldCharType="begin"/>
            </w:r>
            <w:r w:rsidR="000D292E">
              <w:rPr>
                <w:noProof/>
                <w:webHidden/>
              </w:rPr>
              <w:instrText xml:space="preserve"> PAGEREF _Toc133487829 \h </w:instrText>
            </w:r>
            <w:r w:rsidR="000D292E">
              <w:rPr>
                <w:noProof/>
                <w:webHidden/>
              </w:rPr>
            </w:r>
            <w:r w:rsidR="000D292E">
              <w:rPr>
                <w:noProof/>
                <w:webHidden/>
              </w:rPr>
              <w:fldChar w:fldCharType="separate"/>
            </w:r>
            <w:r w:rsidR="001B08DD">
              <w:rPr>
                <w:noProof/>
                <w:webHidden/>
              </w:rPr>
              <w:t>60</w:t>
            </w:r>
            <w:r w:rsidR="000D292E">
              <w:rPr>
                <w:noProof/>
                <w:webHidden/>
              </w:rPr>
              <w:fldChar w:fldCharType="end"/>
            </w:r>
          </w:hyperlink>
        </w:p>
        <w:p w14:paraId="72D2A67C" w14:textId="70ADEA7B" w:rsidR="000D292E" w:rsidRDefault="00000000">
          <w:pPr>
            <w:pStyle w:val="TOC2"/>
            <w:tabs>
              <w:tab w:val="right" w:leader="dot" w:pos="9016"/>
            </w:tabs>
            <w:rPr>
              <w:rFonts w:eastAsiaTheme="minorEastAsia"/>
              <w:noProof/>
              <w:lang w:eastAsia="en-GB"/>
            </w:rPr>
          </w:pPr>
          <w:hyperlink w:anchor="_Toc133487830" w:history="1">
            <w:r w:rsidR="000D292E" w:rsidRPr="00602635">
              <w:rPr>
                <w:rStyle w:val="Hyperlink"/>
                <w:noProof/>
              </w:rPr>
              <w:t>Between groups differences in IU, AS, anxiety, depression, and somatisation</w:t>
            </w:r>
            <w:r w:rsidR="000D292E">
              <w:rPr>
                <w:noProof/>
                <w:webHidden/>
              </w:rPr>
              <w:tab/>
            </w:r>
            <w:r w:rsidR="000D292E">
              <w:rPr>
                <w:noProof/>
                <w:webHidden/>
              </w:rPr>
              <w:fldChar w:fldCharType="begin"/>
            </w:r>
            <w:r w:rsidR="000D292E">
              <w:rPr>
                <w:noProof/>
                <w:webHidden/>
              </w:rPr>
              <w:instrText xml:space="preserve"> PAGEREF _Toc133487830 \h </w:instrText>
            </w:r>
            <w:r w:rsidR="000D292E">
              <w:rPr>
                <w:noProof/>
                <w:webHidden/>
              </w:rPr>
            </w:r>
            <w:r w:rsidR="000D292E">
              <w:rPr>
                <w:noProof/>
                <w:webHidden/>
              </w:rPr>
              <w:fldChar w:fldCharType="separate"/>
            </w:r>
            <w:r w:rsidR="001B08DD">
              <w:rPr>
                <w:noProof/>
                <w:webHidden/>
              </w:rPr>
              <w:t>61</w:t>
            </w:r>
            <w:r w:rsidR="000D292E">
              <w:rPr>
                <w:noProof/>
                <w:webHidden/>
              </w:rPr>
              <w:fldChar w:fldCharType="end"/>
            </w:r>
          </w:hyperlink>
        </w:p>
        <w:p w14:paraId="1649CD26" w14:textId="1045D3F1" w:rsidR="000D292E" w:rsidRDefault="00000000">
          <w:pPr>
            <w:pStyle w:val="TOC2"/>
            <w:tabs>
              <w:tab w:val="right" w:leader="dot" w:pos="9016"/>
            </w:tabs>
            <w:rPr>
              <w:rFonts w:eastAsiaTheme="minorEastAsia"/>
              <w:noProof/>
              <w:lang w:eastAsia="en-GB"/>
            </w:rPr>
          </w:pPr>
          <w:hyperlink w:anchor="_Toc133487831" w:history="1">
            <w:r w:rsidR="000D292E" w:rsidRPr="00602635">
              <w:rPr>
                <w:rStyle w:val="Hyperlink"/>
                <w:noProof/>
              </w:rPr>
              <w:t>Table 4</w:t>
            </w:r>
            <w:r w:rsidR="000D292E">
              <w:rPr>
                <w:noProof/>
                <w:webHidden/>
              </w:rPr>
              <w:tab/>
            </w:r>
            <w:r w:rsidR="000D292E">
              <w:rPr>
                <w:noProof/>
                <w:webHidden/>
              </w:rPr>
              <w:fldChar w:fldCharType="begin"/>
            </w:r>
            <w:r w:rsidR="000D292E">
              <w:rPr>
                <w:noProof/>
                <w:webHidden/>
              </w:rPr>
              <w:instrText xml:space="preserve"> PAGEREF _Toc133487831 \h </w:instrText>
            </w:r>
            <w:r w:rsidR="000D292E">
              <w:rPr>
                <w:noProof/>
                <w:webHidden/>
              </w:rPr>
            </w:r>
            <w:r w:rsidR="000D292E">
              <w:rPr>
                <w:noProof/>
                <w:webHidden/>
              </w:rPr>
              <w:fldChar w:fldCharType="separate"/>
            </w:r>
            <w:r w:rsidR="001B08DD">
              <w:rPr>
                <w:noProof/>
                <w:webHidden/>
              </w:rPr>
              <w:t>62</w:t>
            </w:r>
            <w:r w:rsidR="000D292E">
              <w:rPr>
                <w:noProof/>
                <w:webHidden/>
              </w:rPr>
              <w:fldChar w:fldCharType="end"/>
            </w:r>
          </w:hyperlink>
        </w:p>
        <w:p w14:paraId="284FE613" w14:textId="7CF9043C" w:rsidR="000D292E" w:rsidRDefault="00000000">
          <w:pPr>
            <w:pStyle w:val="TOC2"/>
            <w:tabs>
              <w:tab w:val="right" w:leader="dot" w:pos="9016"/>
            </w:tabs>
            <w:rPr>
              <w:rFonts w:eastAsiaTheme="minorEastAsia"/>
              <w:noProof/>
              <w:lang w:eastAsia="en-GB"/>
            </w:rPr>
          </w:pPr>
          <w:hyperlink w:anchor="_Toc133487832" w:history="1">
            <w:r w:rsidR="000D292E" w:rsidRPr="00602635">
              <w:rPr>
                <w:rStyle w:val="Hyperlink"/>
                <w:noProof/>
              </w:rPr>
              <w:t>Correlations</w:t>
            </w:r>
            <w:r w:rsidR="000D292E">
              <w:rPr>
                <w:noProof/>
                <w:webHidden/>
              </w:rPr>
              <w:tab/>
            </w:r>
            <w:r w:rsidR="000D292E">
              <w:rPr>
                <w:noProof/>
                <w:webHidden/>
              </w:rPr>
              <w:fldChar w:fldCharType="begin"/>
            </w:r>
            <w:r w:rsidR="000D292E">
              <w:rPr>
                <w:noProof/>
                <w:webHidden/>
              </w:rPr>
              <w:instrText xml:space="preserve"> PAGEREF _Toc133487832 \h </w:instrText>
            </w:r>
            <w:r w:rsidR="000D292E">
              <w:rPr>
                <w:noProof/>
                <w:webHidden/>
              </w:rPr>
            </w:r>
            <w:r w:rsidR="000D292E">
              <w:rPr>
                <w:noProof/>
                <w:webHidden/>
              </w:rPr>
              <w:fldChar w:fldCharType="separate"/>
            </w:r>
            <w:r w:rsidR="001B08DD">
              <w:rPr>
                <w:noProof/>
                <w:webHidden/>
              </w:rPr>
              <w:t>62</w:t>
            </w:r>
            <w:r w:rsidR="000D292E">
              <w:rPr>
                <w:noProof/>
                <w:webHidden/>
              </w:rPr>
              <w:fldChar w:fldCharType="end"/>
            </w:r>
          </w:hyperlink>
        </w:p>
        <w:p w14:paraId="1C3A3461" w14:textId="298997EC" w:rsidR="000D292E" w:rsidRDefault="00000000">
          <w:pPr>
            <w:pStyle w:val="TOC2"/>
            <w:tabs>
              <w:tab w:val="right" w:leader="dot" w:pos="9016"/>
            </w:tabs>
            <w:rPr>
              <w:rFonts w:eastAsiaTheme="minorEastAsia"/>
              <w:noProof/>
              <w:lang w:eastAsia="en-GB"/>
            </w:rPr>
          </w:pPr>
          <w:hyperlink w:anchor="_Toc133487833" w:history="1">
            <w:r w:rsidR="000D292E" w:rsidRPr="00602635">
              <w:rPr>
                <w:rStyle w:val="Hyperlink"/>
                <w:noProof/>
              </w:rPr>
              <w:t>Table 5</w:t>
            </w:r>
            <w:r w:rsidR="000D292E">
              <w:rPr>
                <w:noProof/>
                <w:webHidden/>
              </w:rPr>
              <w:tab/>
            </w:r>
            <w:r w:rsidR="000D292E">
              <w:rPr>
                <w:noProof/>
                <w:webHidden/>
              </w:rPr>
              <w:fldChar w:fldCharType="begin"/>
            </w:r>
            <w:r w:rsidR="000D292E">
              <w:rPr>
                <w:noProof/>
                <w:webHidden/>
              </w:rPr>
              <w:instrText xml:space="preserve"> PAGEREF _Toc133487833 \h </w:instrText>
            </w:r>
            <w:r w:rsidR="000D292E">
              <w:rPr>
                <w:noProof/>
                <w:webHidden/>
              </w:rPr>
            </w:r>
            <w:r w:rsidR="000D292E">
              <w:rPr>
                <w:noProof/>
                <w:webHidden/>
              </w:rPr>
              <w:fldChar w:fldCharType="separate"/>
            </w:r>
            <w:r w:rsidR="001B08DD">
              <w:rPr>
                <w:noProof/>
                <w:webHidden/>
              </w:rPr>
              <w:t>63</w:t>
            </w:r>
            <w:r w:rsidR="000D292E">
              <w:rPr>
                <w:noProof/>
                <w:webHidden/>
              </w:rPr>
              <w:fldChar w:fldCharType="end"/>
            </w:r>
          </w:hyperlink>
        </w:p>
        <w:p w14:paraId="7FF84008" w14:textId="7D9B6B59" w:rsidR="000D292E" w:rsidRDefault="00000000">
          <w:pPr>
            <w:pStyle w:val="TOC2"/>
            <w:tabs>
              <w:tab w:val="right" w:leader="dot" w:pos="9016"/>
            </w:tabs>
            <w:rPr>
              <w:rFonts w:eastAsiaTheme="minorEastAsia"/>
              <w:noProof/>
              <w:lang w:eastAsia="en-GB"/>
            </w:rPr>
          </w:pPr>
          <w:hyperlink w:anchor="_Toc133487834" w:history="1">
            <w:r w:rsidR="000D292E" w:rsidRPr="00602635">
              <w:rPr>
                <w:rStyle w:val="Hyperlink"/>
                <w:noProof/>
              </w:rPr>
              <w:t>Multiple regression: Predicting somatisation</w:t>
            </w:r>
            <w:r w:rsidR="000D292E">
              <w:rPr>
                <w:noProof/>
                <w:webHidden/>
              </w:rPr>
              <w:tab/>
            </w:r>
            <w:r w:rsidR="000D292E">
              <w:rPr>
                <w:noProof/>
                <w:webHidden/>
              </w:rPr>
              <w:fldChar w:fldCharType="begin"/>
            </w:r>
            <w:r w:rsidR="000D292E">
              <w:rPr>
                <w:noProof/>
                <w:webHidden/>
              </w:rPr>
              <w:instrText xml:space="preserve"> PAGEREF _Toc133487834 \h </w:instrText>
            </w:r>
            <w:r w:rsidR="000D292E">
              <w:rPr>
                <w:noProof/>
                <w:webHidden/>
              </w:rPr>
            </w:r>
            <w:r w:rsidR="000D292E">
              <w:rPr>
                <w:noProof/>
                <w:webHidden/>
              </w:rPr>
              <w:fldChar w:fldCharType="separate"/>
            </w:r>
            <w:r w:rsidR="001B08DD">
              <w:rPr>
                <w:noProof/>
                <w:webHidden/>
              </w:rPr>
              <w:t>63</w:t>
            </w:r>
            <w:r w:rsidR="000D292E">
              <w:rPr>
                <w:noProof/>
                <w:webHidden/>
              </w:rPr>
              <w:fldChar w:fldCharType="end"/>
            </w:r>
          </w:hyperlink>
        </w:p>
        <w:p w14:paraId="71BD6817" w14:textId="0DB36393" w:rsidR="000D292E" w:rsidRDefault="00000000">
          <w:pPr>
            <w:pStyle w:val="TOC2"/>
            <w:tabs>
              <w:tab w:val="right" w:leader="dot" w:pos="9016"/>
            </w:tabs>
            <w:rPr>
              <w:rFonts w:eastAsiaTheme="minorEastAsia"/>
              <w:noProof/>
              <w:lang w:eastAsia="en-GB"/>
            </w:rPr>
          </w:pPr>
          <w:hyperlink w:anchor="_Toc133487835" w:history="1">
            <w:r w:rsidR="000D292E" w:rsidRPr="00602635">
              <w:rPr>
                <w:rStyle w:val="Hyperlink"/>
                <w:noProof/>
              </w:rPr>
              <w:t>Table 6</w:t>
            </w:r>
            <w:r w:rsidR="000D292E">
              <w:rPr>
                <w:noProof/>
                <w:webHidden/>
              </w:rPr>
              <w:tab/>
            </w:r>
            <w:r w:rsidR="000D292E">
              <w:rPr>
                <w:noProof/>
                <w:webHidden/>
              </w:rPr>
              <w:fldChar w:fldCharType="begin"/>
            </w:r>
            <w:r w:rsidR="000D292E">
              <w:rPr>
                <w:noProof/>
                <w:webHidden/>
              </w:rPr>
              <w:instrText xml:space="preserve"> PAGEREF _Toc133487835 \h </w:instrText>
            </w:r>
            <w:r w:rsidR="000D292E">
              <w:rPr>
                <w:noProof/>
                <w:webHidden/>
              </w:rPr>
            </w:r>
            <w:r w:rsidR="000D292E">
              <w:rPr>
                <w:noProof/>
                <w:webHidden/>
              </w:rPr>
              <w:fldChar w:fldCharType="separate"/>
            </w:r>
            <w:r w:rsidR="001B08DD">
              <w:rPr>
                <w:noProof/>
                <w:webHidden/>
              </w:rPr>
              <w:t>64</w:t>
            </w:r>
            <w:r w:rsidR="000D292E">
              <w:rPr>
                <w:noProof/>
                <w:webHidden/>
              </w:rPr>
              <w:fldChar w:fldCharType="end"/>
            </w:r>
          </w:hyperlink>
        </w:p>
        <w:p w14:paraId="0A4F3DDC" w14:textId="2B8ECAF9" w:rsidR="000D292E" w:rsidRDefault="00000000">
          <w:pPr>
            <w:pStyle w:val="TOC2"/>
            <w:tabs>
              <w:tab w:val="right" w:leader="dot" w:pos="9016"/>
            </w:tabs>
            <w:rPr>
              <w:rFonts w:eastAsiaTheme="minorEastAsia"/>
              <w:noProof/>
              <w:lang w:eastAsia="en-GB"/>
            </w:rPr>
          </w:pPr>
          <w:hyperlink w:anchor="_Toc133487836" w:history="1">
            <w:r w:rsidR="000D292E" w:rsidRPr="00602635">
              <w:rPr>
                <w:rStyle w:val="Hyperlink"/>
                <w:noProof/>
              </w:rPr>
              <w:t>Table 7</w:t>
            </w:r>
            <w:r w:rsidR="000D292E">
              <w:rPr>
                <w:noProof/>
                <w:webHidden/>
              </w:rPr>
              <w:tab/>
            </w:r>
            <w:r w:rsidR="000D292E">
              <w:rPr>
                <w:noProof/>
                <w:webHidden/>
              </w:rPr>
              <w:fldChar w:fldCharType="begin"/>
            </w:r>
            <w:r w:rsidR="000D292E">
              <w:rPr>
                <w:noProof/>
                <w:webHidden/>
              </w:rPr>
              <w:instrText xml:space="preserve"> PAGEREF _Toc133487836 \h </w:instrText>
            </w:r>
            <w:r w:rsidR="000D292E">
              <w:rPr>
                <w:noProof/>
                <w:webHidden/>
              </w:rPr>
            </w:r>
            <w:r w:rsidR="000D292E">
              <w:rPr>
                <w:noProof/>
                <w:webHidden/>
              </w:rPr>
              <w:fldChar w:fldCharType="separate"/>
            </w:r>
            <w:r w:rsidR="001B08DD">
              <w:rPr>
                <w:noProof/>
                <w:webHidden/>
              </w:rPr>
              <w:t>65</w:t>
            </w:r>
            <w:r w:rsidR="000D292E">
              <w:rPr>
                <w:noProof/>
                <w:webHidden/>
              </w:rPr>
              <w:fldChar w:fldCharType="end"/>
            </w:r>
          </w:hyperlink>
        </w:p>
        <w:p w14:paraId="1D04CC02" w14:textId="4330ACC1" w:rsidR="000D292E" w:rsidRDefault="00000000">
          <w:pPr>
            <w:pStyle w:val="TOC2"/>
            <w:tabs>
              <w:tab w:val="right" w:leader="dot" w:pos="9016"/>
            </w:tabs>
            <w:rPr>
              <w:rFonts w:eastAsiaTheme="minorEastAsia"/>
              <w:noProof/>
              <w:lang w:eastAsia="en-GB"/>
            </w:rPr>
          </w:pPr>
          <w:hyperlink w:anchor="_Toc133487837" w:history="1">
            <w:r w:rsidR="000D292E" w:rsidRPr="00602635">
              <w:rPr>
                <w:rStyle w:val="Hyperlink"/>
                <w:noProof/>
              </w:rPr>
              <w:t>Multiple regression: Predicting seizure frequency</w:t>
            </w:r>
            <w:r w:rsidR="000D292E">
              <w:rPr>
                <w:noProof/>
                <w:webHidden/>
              </w:rPr>
              <w:tab/>
            </w:r>
            <w:r w:rsidR="000D292E">
              <w:rPr>
                <w:noProof/>
                <w:webHidden/>
              </w:rPr>
              <w:fldChar w:fldCharType="begin"/>
            </w:r>
            <w:r w:rsidR="000D292E">
              <w:rPr>
                <w:noProof/>
                <w:webHidden/>
              </w:rPr>
              <w:instrText xml:space="preserve"> PAGEREF _Toc133487837 \h </w:instrText>
            </w:r>
            <w:r w:rsidR="000D292E">
              <w:rPr>
                <w:noProof/>
                <w:webHidden/>
              </w:rPr>
            </w:r>
            <w:r w:rsidR="000D292E">
              <w:rPr>
                <w:noProof/>
                <w:webHidden/>
              </w:rPr>
              <w:fldChar w:fldCharType="separate"/>
            </w:r>
            <w:r w:rsidR="001B08DD">
              <w:rPr>
                <w:noProof/>
                <w:webHidden/>
              </w:rPr>
              <w:t>65</w:t>
            </w:r>
            <w:r w:rsidR="000D292E">
              <w:rPr>
                <w:noProof/>
                <w:webHidden/>
              </w:rPr>
              <w:fldChar w:fldCharType="end"/>
            </w:r>
          </w:hyperlink>
        </w:p>
        <w:p w14:paraId="5C132D36" w14:textId="321F502F" w:rsidR="000D292E" w:rsidRDefault="00000000">
          <w:pPr>
            <w:pStyle w:val="TOC2"/>
            <w:tabs>
              <w:tab w:val="right" w:leader="dot" w:pos="9016"/>
            </w:tabs>
            <w:rPr>
              <w:rFonts w:eastAsiaTheme="minorEastAsia"/>
              <w:noProof/>
              <w:lang w:eastAsia="en-GB"/>
            </w:rPr>
          </w:pPr>
          <w:hyperlink w:anchor="_Toc133487838" w:history="1">
            <w:r w:rsidR="000D292E" w:rsidRPr="00602635">
              <w:rPr>
                <w:rStyle w:val="Hyperlink"/>
                <w:noProof/>
              </w:rPr>
              <w:t>Table 8</w:t>
            </w:r>
            <w:r w:rsidR="000D292E">
              <w:rPr>
                <w:noProof/>
                <w:webHidden/>
              </w:rPr>
              <w:tab/>
            </w:r>
            <w:r w:rsidR="000D292E">
              <w:rPr>
                <w:noProof/>
                <w:webHidden/>
              </w:rPr>
              <w:fldChar w:fldCharType="begin"/>
            </w:r>
            <w:r w:rsidR="000D292E">
              <w:rPr>
                <w:noProof/>
                <w:webHidden/>
              </w:rPr>
              <w:instrText xml:space="preserve"> PAGEREF _Toc133487838 \h </w:instrText>
            </w:r>
            <w:r w:rsidR="000D292E">
              <w:rPr>
                <w:noProof/>
                <w:webHidden/>
              </w:rPr>
            </w:r>
            <w:r w:rsidR="000D292E">
              <w:rPr>
                <w:noProof/>
                <w:webHidden/>
              </w:rPr>
              <w:fldChar w:fldCharType="separate"/>
            </w:r>
            <w:r w:rsidR="001B08DD">
              <w:rPr>
                <w:noProof/>
                <w:webHidden/>
              </w:rPr>
              <w:t>66</w:t>
            </w:r>
            <w:r w:rsidR="000D292E">
              <w:rPr>
                <w:noProof/>
                <w:webHidden/>
              </w:rPr>
              <w:fldChar w:fldCharType="end"/>
            </w:r>
          </w:hyperlink>
        </w:p>
        <w:p w14:paraId="66BA4B34" w14:textId="0A91CD18" w:rsidR="000D292E" w:rsidRDefault="00000000">
          <w:pPr>
            <w:pStyle w:val="TOC1"/>
            <w:rPr>
              <w:rFonts w:eastAsiaTheme="minorEastAsia"/>
              <w:color w:val="auto"/>
              <w:lang w:eastAsia="en-GB"/>
            </w:rPr>
          </w:pPr>
          <w:hyperlink w:anchor="_Toc133487839" w:history="1">
            <w:r w:rsidR="000D292E" w:rsidRPr="00602635">
              <w:rPr>
                <w:rStyle w:val="Hyperlink"/>
              </w:rPr>
              <w:t>Discussion</w:t>
            </w:r>
            <w:r w:rsidR="000D292E">
              <w:rPr>
                <w:webHidden/>
              </w:rPr>
              <w:tab/>
            </w:r>
            <w:r w:rsidR="000D292E">
              <w:rPr>
                <w:webHidden/>
              </w:rPr>
              <w:fldChar w:fldCharType="begin"/>
            </w:r>
            <w:r w:rsidR="000D292E">
              <w:rPr>
                <w:webHidden/>
              </w:rPr>
              <w:instrText xml:space="preserve"> PAGEREF _Toc133487839 \h </w:instrText>
            </w:r>
            <w:r w:rsidR="000D292E">
              <w:rPr>
                <w:webHidden/>
              </w:rPr>
            </w:r>
            <w:r w:rsidR="000D292E">
              <w:rPr>
                <w:webHidden/>
              </w:rPr>
              <w:fldChar w:fldCharType="separate"/>
            </w:r>
            <w:r w:rsidR="001B08DD">
              <w:rPr>
                <w:webHidden/>
              </w:rPr>
              <w:t>67</w:t>
            </w:r>
            <w:r w:rsidR="000D292E">
              <w:rPr>
                <w:webHidden/>
              </w:rPr>
              <w:fldChar w:fldCharType="end"/>
            </w:r>
          </w:hyperlink>
        </w:p>
        <w:p w14:paraId="13E3FAE3" w14:textId="3E7FA7D2" w:rsidR="000D292E" w:rsidRDefault="00000000">
          <w:pPr>
            <w:pStyle w:val="TOC2"/>
            <w:tabs>
              <w:tab w:val="right" w:leader="dot" w:pos="9016"/>
            </w:tabs>
            <w:rPr>
              <w:rFonts w:eastAsiaTheme="minorEastAsia"/>
              <w:noProof/>
              <w:lang w:eastAsia="en-GB"/>
            </w:rPr>
          </w:pPr>
          <w:hyperlink w:anchor="_Toc133487840" w:history="1">
            <w:r w:rsidR="000D292E" w:rsidRPr="00602635">
              <w:rPr>
                <w:rStyle w:val="Hyperlink"/>
                <w:noProof/>
              </w:rPr>
              <w:t>Limitations</w:t>
            </w:r>
            <w:r w:rsidR="000D292E">
              <w:rPr>
                <w:noProof/>
                <w:webHidden/>
              </w:rPr>
              <w:tab/>
            </w:r>
            <w:r w:rsidR="000D292E">
              <w:rPr>
                <w:noProof/>
                <w:webHidden/>
              </w:rPr>
              <w:fldChar w:fldCharType="begin"/>
            </w:r>
            <w:r w:rsidR="000D292E">
              <w:rPr>
                <w:noProof/>
                <w:webHidden/>
              </w:rPr>
              <w:instrText xml:space="preserve"> PAGEREF _Toc133487840 \h </w:instrText>
            </w:r>
            <w:r w:rsidR="000D292E">
              <w:rPr>
                <w:noProof/>
                <w:webHidden/>
              </w:rPr>
            </w:r>
            <w:r w:rsidR="000D292E">
              <w:rPr>
                <w:noProof/>
                <w:webHidden/>
              </w:rPr>
              <w:fldChar w:fldCharType="separate"/>
            </w:r>
            <w:r w:rsidR="001B08DD">
              <w:rPr>
                <w:noProof/>
                <w:webHidden/>
              </w:rPr>
              <w:t>69</w:t>
            </w:r>
            <w:r w:rsidR="000D292E">
              <w:rPr>
                <w:noProof/>
                <w:webHidden/>
              </w:rPr>
              <w:fldChar w:fldCharType="end"/>
            </w:r>
          </w:hyperlink>
        </w:p>
        <w:p w14:paraId="2C1C86A5" w14:textId="76A63AA0" w:rsidR="000D292E" w:rsidRDefault="00000000">
          <w:pPr>
            <w:pStyle w:val="TOC2"/>
            <w:tabs>
              <w:tab w:val="right" w:leader="dot" w:pos="9016"/>
            </w:tabs>
            <w:rPr>
              <w:rFonts w:eastAsiaTheme="minorEastAsia"/>
              <w:noProof/>
              <w:lang w:eastAsia="en-GB"/>
            </w:rPr>
          </w:pPr>
          <w:hyperlink w:anchor="_Toc133487841" w:history="1">
            <w:r w:rsidR="000D292E" w:rsidRPr="00602635">
              <w:rPr>
                <w:rStyle w:val="Hyperlink"/>
                <w:noProof/>
              </w:rPr>
              <w:t>Clinical Implications</w:t>
            </w:r>
            <w:r w:rsidR="000D292E">
              <w:rPr>
                <w:noProof/>
                <w:webHidden/>
              </w:rPr>
              <w:tab/>
            </w:r>
            <w:r w:rsidR="000D292E">
              <w:rPr>
                <w:noProof/>
                <w:webHidden/>
              </w:rPr>
              <w:fldChar w:fldCharType="begin"/>
            </w:r>
            <w:r w:rsidR="000D292E">
              <w:rPr>
                <w:noProof/>
                <w:webHidden/>
              </w:rPr>
              <w:instrText xml:space="preserve"> PAGEREF _Toc133487841 \h </w:instrText>
            </w:r>
            <w:r w:rsidR="000D292E">
              <w:rPr>
                <w:noProof/>
                <w:webHidden/>
              </w:rPr>
            </w:r>
            <w:r w:rsidR="000D292E">
              <w:rPr>
                <w:noProof/>
                <w:webHidden/>
              </w:rPr>
              <w:fldChar w:fldCharType="separate"/>
            </w:r>
            <w:r w:rsidR="001B08DD">
              <w:rPr>
                <w:noProof/>
                <w:webHidden/>
              </w:rPr>
              <w:t>70</w:t>
            </w:r>
            <w:r w:rsidR="000D292E">
              <w:rPr>
                <w:noProof/>
                <w:webHidden/>
              </w:rPr>
              <w:fldChar w:fldCharType="end"/>
            </w:r>
          </w:hyperlink>
        </w:p>
        <w:p w14:paraId="5D6639E9" w14:textId="199E1F6C" w:rsidR="000D292E" w:rsidRDefault="00000000">
          <w:pPr>
            <w:pStyle w:val="TOC2"/>
            <w:tabs>
              <w:tab w:val="right" w:leader="dot" w:pos="9016"/>
            </w:tabs>
            <w:rPr>
              <w:rFonts w:eastAsiaTheme="minorEastAsia"/>
              <w:noProof/>
              <w:lang w:eastAsia="en-GB"/>
            </w:rPr>
          </w:pPr>
          <w:hyperlink w:anchor="_Toc133487842" w:history="1">
            <w:r w:rsidR="000D292E" w:rsidRPr="00602635">
              <w:rPr>
                <w:rStyle w:val="Hyperlink"/>
                <w:noProof/>
              </w:rPr>
              <w:t>Future Research</w:t>
            </w:r>
            <w:r w:rsidR="000D292E">
              <w:rPr>
                <w:noProof/>
                <w:webHidden/>
              </w:rPr>
              <w:tab/>
            </w:r>
            <w:r w:rsidR="000D292E">
              <w:rPr>
                <w:noProof/>
                <w:webHidden/>
              </w:rPr>
              <w:fldChar w:fldCharType="begin"/>
            </w:r>
            <w:r w:rsidR="000D292E">
              <w:rPr>
                <w:noProof/>
                <w:webHidden/>
              </w:rPr>
              <w:instrText xml:space="preserve"> PAGEREF _Toc133487842 \h </w:instrText>
            </w:r>
            <w:r w:rsidR="000D292E">
              <w:rPr>
                <w:noProof/>
                <w:webHidden/>
              </w:rPr>
            </w:r>
            <w:r w:rsidR="000D292E">
              <w:rPr>
                <w:noProof/>
                <w:webHidden/>
              </w:rPr>
              <w:fldChar w:fldCharType="separate"/>
            </w:r>
            <w:r w:rsidR="001B08DD">
              <w:rPr>
                <w:noProof/>
                <w:webHidden/>
              </w:rPr>
              <w:t>71</w:t>
            </w:r>
            <w:r w:rsidR="000D292E">
              <w:rPr>
                <w:noProof/>
                <w:webHidden/>
              </w:rPr>
              <w:fldChar w:fldCharType="end"/>
            </w:r>
          </w:hyperlink>
        </w:p>
        <w:p w14:paraId="35C894E9" w14:textId="3D6BB88D" w:rsidR="000D292E" w:rsidRDefault="00000000">
          <w:pPr>
            <w:pStyle w:val="TOC2"/>
            <w:tabs>
              <w:tab w:val="right" w:leader="dot" w:pos="9016"/>
            </w:tabs>
            <w:rPr>
              <w:rFonts w:eastAsiaTheme="minorEastAsia"/>
              <w:noProof/>
              <w:lang w:eastAsia="en-GB"/>
            </w:rPr>
          </w:pPr>
          <w:hyperlink w:anchor="_Toc133487843" w:history="1">
            <w:r w:rsidR="000D292E" w:rsidRPr="00602635">
              <w:rPr>
                <w:rStyle w:val="Hyperlink"/>
                <w:noProof/>
              </w:rPr>
              <w:t>Conclusion</w:t>
            </w:r>
            <w:r w:rsidR="000D292E">
              <w:rPr>
                <w:noProof/>
                <w:webHidden/>
              </w:rPr>
              <w:tab/>
            </w:r>
            <w:r w:rsidR="000D292E">
              <w:rPr>
                <w:noProof/>
                <w:webHidden/>
              </w:rPr>
              <w:fldChar w:fldCharType="begin"/>
            </w:r>
            <w:r w:rsidR="000D292E">
              <w:rPr>
                <w:noProof/>
                <w:webHidden/>
              </w:rPr>
              <w:instrText xml:space="preserve"> PAGEREF _Toc133487843 \h </w:instrText>
            </w:r>
            <w:r w:rsidR="000D292E">
              <w:rPr>
                <w:noProof/>
                <w:webHidden/>
              </w:rPr>
            </w:r>
            <w:r w:rsidR="000D292E">
              <w:rPr>
                <w:noProof/>
                <w:webHidden/>
              </w:rPr>
              <w:fldChar w:fldCharType="separate"/>
            </w:r>
            <w:r w:rsidR="001B08DD">
              <w:rPr>
                <w:noProof/>
                <w:webHidden/>
              </w:rPr>
              <w:t>72</w:t>
            </w:r>
            <w:r w:rsidR="000D292E">
              <w:rPr>
                <w:noProof/>
                <w:webHidden/>
              </w:rPr>
              <w:fldChar w:fldCharType="end"/>
            </w:r>
          </w:hyperlink>
        </w:p>
        <w:p w14:paraId="6B056C62" w14:textId="099F03CA" w:rsidR="000D292E" w:rsidRDefault="00000000">
          <w:pPr>
            <w:pStyle w:val="TOC1"/>
            <w:rPr>
              <w:rFonts w:eastAsiaTheme="minorEastAsia"/>
              <w:color w:val="auto"/>
              <w:lang w:eastAsia="en-GB"/>
            </w:rPr>
          </w:pPr>
          <w:hyperlink w:anchor="_Toc133487844" w:history="1">
            <w:r w:rsidR="000D292E" w:rsidRPr="00602635">
              <w:rPr>
                <w:rStyle w:val="Hyperlink"/>
              </w:rPr>
              <w:t>References</w:t>
            </w:r>
            <w:r w:rsidR="000D292E">
              <w:rPr>
                <w:webHidden/>
              </w:rPr>
              <w:tab/>
            </w:r>
            <w:r w:rsidR="000D292E">
              <w:rPr>
                <w:webHidden/>
              </w:rPr>
              <w:fldChar w:fldCharType="begin"/>
            </w:r>
            <w:r w:rsidR="000D292E">
              <w:rPr>
                <w:webHidden/>
              </w:rPr>
              <w:instrText xml:space="preserve"> PAGEREF _Toc133487844 \h </w:instrText>
            </w:r>
            <w:r w:rsidR="000D292E">
              <w:rPr>
                <w:webHidden/>
              </w:rPr>
            </w:r>
            <w:r w:rsidR="000D292E">
              <w:rPr>
                <w:webHidden/>
              </w:rPr>
              <w:fldChar w:fldCharType="separate"/>
            </w:r>
            <w:r w:rsidR="001B08DD">
              <w:rPr>
                <w:webHidden/>
              </w:rPr>
              <w:t>73</w:t>
            </w:r>
            <w:r w:rsidR="000D292E">
              <w:rPr>
                <w:webHidden/>
              </w:rPr>
              <w:fldChar w:fldCharType="end"/>
            </w:r>
          </w:hyperlink>
        </w:p>
        <w:p w14:paraId="4A1BDF37" w14:textId="0CEC029A" w:rsidR="000D292E" w:rsidRDefault="00000000">
          <w:pPr>
            <w:pStyle w:val="TOC1"/>
            <w:rPr>
              <w:rFonts w:eastAsiaTheme="minorEastAsia"/>
              <w:color w:val="auto"/>
              <w:lang w:eastAsia="en-GB"/>
            </w:rPr>
          </w:pPr>
          <w:hyperlink w:anchor="_Toc133487845" w:history="1">
            <w:r w:rsidR="000D292E" w:rsidRPr="00602635">
              <w:rPr>
                <w:rStyle w:val="Hyperlink"/>
              </w:rPr>
              <w:t>Appendix A</w:t>
            </w:r>
            <w:r w:rsidR="000D292E">
              <w:rPr>
                <w:webHidden/>
              </w:rPr>
              <w:tab/>
            </w:r>
            <w:r w:rsidR="000D292E">
              <w:rPr>
                <w:webHidden/>
              </w:rPr>
              <w:fldChar w:fldCharType="begin"/>
            </w:r>
            <w:r w:rsidR="000D292E">
              <w:rPr>
                <w:webHidden/>
              </w:rPr>
              <w:instrText xml:space="preserve"> PAGEREF _Toc133487845 \h </w:instrText>
            </w:r>
            <w:r w:rsidR="000D292E">
              <w:rPr>
                <w:webHidden/>
              </w:rPr>
            </w:r>
            <w:r w:rsidR="000D292E">
              <w:rPr>
                <w:webHidden/>
              </w:rPr>
              <w:fldChar w:fldCharType="separate"/>
            </w:r>
            <w:r w:rsidR="001B08DD">
              <w:rPr>
                <w:webHidden/>
              </w:rPr>
              <w:t>85</w:t>
            </w:r>
            <w:r w:rsidR="000D292E">
              <w:rPr>
                <w:webHidden/>
              </w:rPr>
              <w:fldChar w:fldCharType="end"/>
            </w:r>
          </w:hyperlink>
        </w:p>
        <w:p w14:paraId="2A4F2550" w14:textId="29B563A8" w:rsidR="000D292E" w:rsidRDefault="00000000">
          <w:pPr>
            <w:pStyle w:val="TOC1"/>
            <w:rPr>
              <w:rFonts w:eastAsiaTheme="minorEastAsia"/>
              <w:color w:val="auto"/>
              <w:lang w:eastAsia="en-GB"/>
            </w:rPr>
          </w:pPr>
          <w:hyperlink w:anchor="_Toc133487846" w:history="1">
            <w:r w:rsidR="000D292E" w:rsidRPr="00602635">
              <w:rPr>
                <w:rStyle w:val="Hyperlink"/>
              </w:rPr>
              <w:t>Appendix B</w:t>
            </w:r>
            <w:r w:rsidR="000D292E">
              <w:rPr>
                <w:webHidden/>
              </w:rPr>
              <w:tab/>
            </w:r>
            <w:r w:rsidR="000D292E">
              <w:rPr>
                <w:webHidden/>
              </w:rPr>
              <w:fldChar w:fldCharType="begin"/>
            </w:r>
            <w:r w:rsidR="000D292E">
              <w:rPr>
                <w:webHidden/>
              </w:rPr>
              <w:instrText xml:space="preserve"> PAGEREF _Toc133487846 \h </w:instrText>
            </w:r>
            <w:r w:rsidR="000D292E">
              <w:rPr>
                <w:webHidden/>
              </w:rPr>
            </w:r>
            <w:r w:rsidR="000D292E">
              <w:rPr>
                <w:webHidden/>
              </w:rPr>
              <w:fldChar w:fldCharType="separate"/>
            </w:r>
            <w:r w:rsidR="001B08DD">
              <w:rPr>
                <w:webHidden/>
              </w:rPr>
              <w:t>86</w:t>
            </w:r>
            <w:r w:rsidR="000D292E">
              <w:rPr>
                <w:webHidden/>
              </w:rPr>
              <w:fldChar w:fldCharType="end"/>
            </w:r>
          </w:hyperlink>
        </w:p>
        <w:p w14:paraId="395729DB" w14:textId="1EAFBBE0" w:rsidR="000D292E" w:rsidRDefault="00000000">
          <w:pPr>
            <w:pStyle w:val="TOC1"/>
            <w:rPr>
              <w:rFonts w:eastAsiaTheme="minorEastAsia"/>
              <w:color w:val="auto"/>
              <w:lang w:eastAsia="en-GB"/>
            </w:rPr>
          </w:pPr>
          <w:hyperlink w:anchor="_Toc133487847" w:history="1">
            <w:r w:rsidR="000D292E" w:rsidRPr="00602635">
              <w:rPr>
                <w:rStyle w:val="Hyperlink"/>
              </w:rPr>
              <w:t>Appendix C</w:t>
            </w:r>
            <w:r w:rsidR="000D292E">
              <w:rPr>
                <w:webHidden/>
              </w:rPr>
              <w:tab/>
            </w:r>
            <w:r w:rsidR="000D292E">
              <w:rPr>
                <w:webHidden/>
              </w:rPr>
              <w:fldChar w:fldCharType="begin"/>
            </w:r>
            <w:r w:rsidR="000D292E">
              <w:rPr>
                <w:webHidden/>
              </w:rPr>
              <w:instrText xml:space="preserve"> PAGEREF _Toc133487847 \h </w:instrText>
            </w:r>
            <w:r w:rsidR="000D292E">
              <w:rPr>
                <w:webHidden/>
              </w:rPr>
            </w:r>
            <w:r w:rsidR="000D292E">
              <w:rPr>
                <w:webHidden/>
              </w:rPr>
              <w:fldChar w:fldCharType="separate"/>
            </w:r>
            <w:r w:rsidR="001B08DD">
              <w:rPr>
                <w:webHidden/>
              </w:rPr>
              <w:t>87</w:t>
            </w:r>
            <w:r w:rsidR="000D292E">
              <w:rPr>
                <w:webHidden/>
              </w:rPr>
              <w:fldChar w:fldCharType="end"/>
            </w:r>
          </w:hyperlink>
        </w:p>
        <w:p w14:paraId="5FED8E73" w14:textId="331A23FF" w:rsidR="000D292E" w:rsidRDefault="00000000">
          <w:pPr>
            <w:pStyle w:val="TOC1"/>
            <w:rPr>
              <w:rFonts w:eastAsiaTheme="minorEastAsia"/>
              <w:color w:val="auto"/>
              <w:lang w:eastAsia="en-GB"/>
            </w:rPr>
          </w:pPr>
          <w:hyperlink w:anchor="_Toc133487848" w:history="1">
            <w:r w:rsidR="000D292E" w:rsidRPr="00602635">
              <w:rPr>
                <w:rStyle w:val="Hyperlink"/>
              </w:rPr>
              <w:t>Appendix D</w:t>
            </w:r>
            <w:r w:rsidR="000D292E">
              <w:rPr>
                <w:webHidden/>
              </w:rPr>
              <w:tab/>
            </w:r>
            <w:r w:rsidR="000D292E">
              <w:rPr>
                <w:webHidden/>
              </w:rPr>
              <w:fldChar w:fldCharType="begin"/>
            </w:r>
            <w:r w:rsidR="000D292E">
              <w:rPr>
                <w:webHidden/>
              </w:rPr>
              <w:instrText xml:space="preserve"> PAGEREF _Toc133487848 \h </w:instrText>
            </w:r>
            <w:r w:rsidR="000D292E">
              <w:rPr>
                <w:webHidden/>
              </w:rPr>
            </w:r>
            <w:r w:rsidR="000D292E">
              <w:rPr>
                <w:webHidden/>
              </w:rPr>
              <w:fldChar w:fldCharType="separate"/>
            </w:r>
            <w:r w:rsidR="001B08DD">
              <w:rPr>
                <w:webHidden/>
              </w:rPr>
              <w:t>91</w:t>
            </w:r>
            <w:r w:rsidR="000D292E">
              <w:rPr>
                <w:webHidden/>
              </w:rPr>
              <w:fldChar w:fldCharType="end"/>
            </w:r>
          </w:hyperlink>
        </w:p>
        <w:p w14:paraId="377EAE17" w14:textId="19F53EA8" w:rsidR="000D292E" w:rsidRDefault="00000000">
          <w:pPr>
            <w:pStyle w:val="TOC1"/>
            <w:rPr>
              <w:rFonts w:eastAsiaTheme="minorEastAsia"/>
              <w:color w:val="auto"/>
              <w:lang w:eastAsia="en-GB"/>
            </w:rPr>
          </w:pPr>
          <w:hyperlink w:anchor="_Toc133487849" w:history="1">
            <w:r w:rsidR="000D292E" w:rsidRPr="00602635">
              <w:rPr>
                <w:rStyle w:val="Hyperlink"/>
              </w:rPr>
              <w:t>Appendix E</w:t>
            </w:r>
            <w:r w:rsidR="000D292E">
              <w:rPr>
                <w:webHidden/>
              </w:rPr>
              <w:tab/>
            </w:r>
            <w:r w:rsidR="000D292E">
              <w:rPr>
                <w:webHidden/>
              </w:rPr>
              <w:fldChar w:fldCharType="begin"/>
            </w:r>
            <w:r w:rsidR="000D292E">
              <w:rPr>
                <w:webHidden/>
              </w:rPr>
              <w:instrText xml:space="preserve"> PAGEREF _Toc133487849 \h </w:instrText>
            </w:r>
            <w:r w:rsidR="000D292E">
              <w:rPr>
                <w:webHidden/>
              </w:rPr>
            </w:r>
            <w:r w:rsidR="000D292E">
              <w:rPr>
                <w:webHidden/>
              </w:rPr>
              <w:fldChar w:fldCharType="separate"/>
            </w:r>
            <w:r w:rsidR="001B08DD">
              <w:rPr>
                <w:webHidden/>
              </w:rPr>
              <w:t>92</w:t>
            </w:r>
            <w:r w:rsidR="000D292E">
              <w:rPr>
                <w:webHidden/>
              </w:rPr>
              <w:fldChar w:fldCharType="end"/>
            </w:r>
          </w:hyperlink>
        </w:p>
        <w:p w14:paraId="11E979CE" w14:textId="4DA0CAEB" w:rsidR="000D292E" w:rsidRDefault="00000000">
          <w:pPr>
            <w:pStyle w:val="TOC1"/>
            <w:rPr>
              <w:rFonts w:eastAsiaTheme="minorEastAsia"/>
              <w:color w:val="auto"/>
              <w:lang w:eastAsia="en-GB"/>
            </w:rPr>
          </w:pPr>
          <w:hyperlink w:anchor="_Toc133487850" w:history="1">
            <w:r w:rsidR="000D292E" w:rsidRPr="00602635">
              <w:rPr>
                <w:rStyle w:val="Hyperlink"/>
              </w:rPr>
              <w:t>Appendix F</w:t>
            </w:r>
            <w:r w:rsidR="000D292E">
              <w:rPr>
                <w:webHidden/>
              </w:rPr>
              <w:tab/>
            </w:r>
            <w:r w:rsidR="000D292E">
              <w:rPr>
                <w:webHidden/>
              </w:rPr>
              <w:fldChar w:fldCharType="begin"/>
            </w:r>
            <w:r w:rsidR="000D292E">
              <w:rPr>
                <w:webHidden/>
              </w:rPr>
              <w:instrText xml:space="preserve"> PAGEREF _Toc133487850 \h </w:instrText>
            </w:r>
            <w:r w:rsidR="000D292E">
              <w:rPr>
                <w:webHidden/>
              </w:rPr>
            </w:r>
            <w:r w:rsidR="000D292E">
              <w:rPr>
                <w:webHidden/>
              </w:rPr>
              <w:fldChar w:fldCharType="separate"/>
            </w:r>
            <w:r w:rsidR="001B08DD">
              <w:rPr>
                <w:webHidden/>
              </w:rPr>
              <w:t>97</w:t>
            </w:r>
            <w:r w:rsidR="000D292E">
              <w:rPr>
                <w:webHidden/>
              </w:rPr>
              <w:fldChar w:fldCharType="end"/>
            </w:r>
          </w:hyperlink>
        </w:p>
        <w:p w14:paraId="44F29852" w14:textId="7D3AE73C" w:rsidR="000D292E" w:rsidRDefault="00000000">
          <w:pPr>
            <w:pStyle w:val="TOC1"/>
            <w:rPr>
              <w:rFonts w:eastAsiaTheme="minorEastAsia"/>
              <w:color w:val="auto"/>
              <w:lang w:eastAsia="en-GB"/>
            </w:rPr>
          </w:pPr>
          <w:hyperlink w:anchor="_Toc133487851" w:history="1">
            <w:r w:rsidR="000D292E" w:rsidRPr="00602635">
              <w:rPr>
                <w:rStyle w:val="Hyperlink"/>
              </w:rPr>
              <w:t>Appendix G</w:t>
            </w:r>
            <w:r w:rsidR="000D292E">
              <w:rPr>
                <w:webHidden/>
              </w:rPr>
              <w:tab/>
            </w:r>
            <w:r w:rsidR="000D292E">
              <w:rPr>
                <w:webHidden/>
              </w:rPr>
              <w:fldChar w:fldCharType="begin"/>
            </w:r>
            <w:r w:rsidR="000D292E">
              <w:rPr>
                <w:webHidden/>
              </w:rPr>
              <w:instrText xml:space="preserve"> PAGEREF _Toc133487851 \h </w:instrText>
            </w:r>
            <w:r w:rsidR="000D292E">
              <w:rPr>
                <w:webHidden/>
              </w:rPr>
            </w:r>
            <w:r w:rsidR="000D292E">
              <w:rPr>
                <w:webHidden/>
              </w:rPr>
              <w:fldChar w:fldCharType="separate"/>
            </w:r>
            <w:r w:rsidR="001B08DD">
              <w:rPr>
                <w:webHidden/>
              </w:rPr>
              <w:t>98</w:t>
            </w:r>
            <w:r w:rsidR="000D292E">
              <w:rPr>
                <w:webHidden/>
              </w:rPr>
              <w:fldChar w:fldCharType="end"/>
            </w:r>
          </w:hyperlink>
        </w:p>
        <w:p w14:paraId="29CA5C61" w14:textId="5B7A99EC" w:rsidR="000D292E" w:rsidRDefault="00000000">
          <w:pPr>
            <w:pStyle w:val="TOC1"/>
            <w:rPr>
              <w:rFonts w:eastAsiaTheme="minorEastAsia"/>
              <w:color w:val="auto"/>
              <w:lang w:eastAsia="en-GB"/>
            </w:rPr>
          </w:pPr>
          <w:hyperlink w:anchor="_Toc133487852" w:history="1">
            <w:r w:rsidR="000D292E" w:rsidRPr="00602635">
              <w:rPr>
                <w:rStyle w:val="Hyperlink"/>
              </w:rPr>
              <w:t>Appendix H</w:t>
            </w:r>
            <w:r w:rsidR="000D292E">
              <w:rPr>
                <w:webHidden/>
              </w:rPr>
              <w:tab/>
            </w:r>
            <w:r w:rsidR="000D292E">
              <w:rPr>
                <w:webHidden/>
              </w:rPr>
              <w:fldChar w:fldCharType="begin"/>
            </w:r>
            <w:r w:rsidR="000D292E">
              <w:rPr>
                <w:webHidden/>
              </w:rPr>
              <w:instrText xml:space="preserve"> PAGEREF _Toc133487852 \h </w:instrText>
            </w:r>
            <w:r w:rsidR="000D292E">
              <w:rPr>
                <w:webHidden/>
              </w:rPr>
            </w:r>
            <w:r w:rsidR="000D292E">
              <w:rPr>
                <w:webHidden/>
              </w:rPr>
              <w:fldChar w:fldCharType="separate"/>
            </w:r>
            <w:r w:rsidR="001B08DD">
              <w:rPr>
                <w:webHidden/>
              </w:rPr>
              <w:t>99</w:t>
            </w:r>
            <w:r w:rsidR="000D292E">
              <w:rPr>
                <w:webHidden/>
              </w:rPr>
              <w:fldChar w:fldCharType="end"/>
            </w:r>
          </w:hyperlink>
        </w:p>
        <w:p w14:paraId="5346BFDE" w14:textId="2343FB57" w:rsidR="000D292E" w:rsidRDefault="00000000">
          <w:pPr>
            <w:pStyle w:val="TOC1"/>
            <w:rPr>
              <w:rFonts w:eastAsiaTheme="minorEastAsia"/>
              <w:color w:val="auto"/>
              <w:lang w:eastAsia="en-GB"/>
            </w:rPr>
          </w:pPr>
          <w:hyperlink w:anchor="_Toc133487853" w:history="1">
            <w:r w:rsidR="000D292E" w:rsidRPr="00602635">
              <w:rPr>
                <w:rStyle w:val="Hyperlink"/>
              </w:rPr>
              <w:t>Appendix I</w:t>
            </w:r>
            <w:r w:rsidR="000D292E">
              <w:rPr>
                <w:webHidden/>
              </w:rPr>
              <w:tab/>
            </w:r>
            <w:r w:rsidR="000D292E">
              <w:rPr>
                <w:webHidden/>
              </w:rPr>
              <w:fldChar w:fldCharType="begin"/>
            </w:r>
            <w:r w:rsidR="000D292E">
              <w:rPr>
                <w:webHidden/>
              </w:rPr>
              <w:instrText xml:space="preserve"> PAGEREF _Toc133487853 \h </w:instrText>
            </w:r>
            <w:r w:rsidR="000D292E">
              <w:rPr>
                <w:webHidden/>
              </w:rPr>
            </w:r>
            <w:r w:rsidR="000D292E">
              <w:rPr>
                <w:webHidden/>
              </w:rPr>
              <w:fldChar w:fldCharType="separate"/>
            </w:r>
            <w:r w:rsidR="001B08DD">
              <w:rPr>
                <w:webHidden/>
              </w:rPr>
              <w:t>101</w:t>
            </w:r>
            <w:r w:rsidR="000D292E">
              <w:rPr>
                <w:webHidden/>
              </w:rPr>
              <w:fldChar w:fldCharType="end"/>
            </w:r>
          </w:hyperlink>
        </w:p>
        <w:p w14:paraId="5C3B7E30" w14:textId="6EAA6AD2" w:rsidR="000D292E" w:rsidRDefault="00000000">
          <w:pPr>
            <w:pStyle w:val="TOC1"/>
            <w:rPr>
              <w:rFonts w:eastAsiaTheme="minorEastAsia"/>
              <w:color w:val="auto"/>
              <w:lang w:eastAsia="en-GB"/>
            </w:rPr>
          </w:pPr>
          <w:hyperlink w:anchor="_Toc133487854" w:history="1">
            <w:r w:rsidR="000D292E" w:rsidRPr="00602635">
              <w:rPr>
                <w:rStyle w:val="Hyperlink"/>
              </w:rPr>
              <w:t>Appendix J</w:t>
            </w:r>
            <w:r w:rsidR="000D292E">
              <w:rPr>
                <w:webHidden/>
              </w:rPr>
              <w:tab/>
            </w:r>
            <w:r w:rsidR="000D292E">
              <w:rPr>
                <w:webHidden/>
              </w:rPr>
              <w:fldChar w:fldCharType="begin"/>
            </w:r>
            <w:r w:rsidR="000D292E">
              <w:rPr>
                <w:webHidden/>
              </w:rPr>
              <w:instrText xml:space="preserve"> PAGEREF _Toc133487854 \h </w:instrText>
            </w:r>
            <w:r w:rsidR="000D292E">
              <w:rPr>
                <w:webHidden/>
              </w:rPr>
            </w:r>
            <w:r w:rsidR="000D292E">
              <w:rPr>
                <w:webHidden/>
              </w:rPr>
              <w:fldChar w:fldCharType="separate"/>
            </w:r>
            <w:r w:rsidR="001B08DD">
              <w:rPr>
                <w:webHidden/>
              </w:rPr>
              <w:t>103</w:t>
            </w:r>
            <w:r w:rsidR="000D292E">
              <w:rPr>
                <w:webHidden/>
              </w:rPr>
              <w:fldChar w:fldCharType="end"/>
            </w:r>
          </w:hyperlink>
        </w:p>
        <w:p w14:paraId="7164EFC5" w14:textId="5A80668E" w:rsidR="000D292E" w:rsidRDefault="00000000">
          <w:pPr>
            <w:pStyle w:val="TOC1"/>
            <w:rPr>
              <w:rFonts w:eastAsiaTheme="minorEastAsia"/>
              <w:color w:val="auto"/>
              <w:lang w:eastAsia="en-GB"/>
            </w:rPr>
          </w:pPr>
          <w:hyperlink w:anchor="_Toc133487855" w:history="1">
            <w:r w:rsidR="000D292E" w:rsidRPr="00602635">
              <w:rPr>
                <w:rStyle w:val="Hyperlink"/>
                <w:lang w:eastAsia="en-GB"/>
              </w:rPr>
              <w:t>Appendix K</w:t>
            </w:r>
            <w:r w:rsidR="000D292E">
              <w:rPr>
                <w:webHidden/>
              </w:rPr>
              <w:tab/>
            </w:r>
            <w:r w:rsidR="000D292E">
              <w:rPr>
                <w:webHidden/>
              </w:rPr>
              <w:fldChar w:fldCharType="begin"/>
            </w:r>
            <w:r w:rsidR="000D292E">
              <w:rPr>
                <w:webHidden/>
              </w:rPr>
              <w:instrText xml:space="preserve"> PAGEREF _Toc133487855 \h </w:instrText>
            </w:r>
            <w:r w:rsidR="000D292E">
              <w:rPr>
                <w:webHidden/>
              </w:rPr>
            </w:r>
            <w:r w:rsidR="000D292E">
              <w:rPr>
                <w:webHidden/>
              </w:rPr>
              <w:fldChar w:fldCharType="separate"/>
            </w:r>
            <w:r w:rsidR="001B08DD">
              <w:rPr>
                <w:webHidden/>
              </w:rPr>
              <w:t>106</w:t>
            </w:r>
            <w:r w:rsidR="000D292E">
              <w:rPr>
                <w:webHidden/>
              </w:rPr>
              <w:fldChar w:fldCharType="end"/>
            </w:r>
          </w:hyperlink>
        </w:p>
        <w:p w14:paraId="484F4DD4" w14:textId="7AA4247C" w:rsidR="000D292E" w:rsidRDefault="00000000">
          <w:pPr>
            <w:pStyle w:val="TOC1"/>
            <w:rPr>
              <w:rFonts w:eastAsiaTheme="minorEastAsia"/>
              <w:color w:val="auto"/>
              <w:lang w:eastAsia="en-GB"/>
            </w:rPr>
          </w:pPr>
          <w:hyperlink w:anchor="_Toc133487856" w:history="1">
            <w:r w:rsidR="000D292E" w:rsidRPr="00602635">
              <w:rPr>
                <w:rStyle w:val="Hyperlink"/>
              </w:rPr>
              <w:t>Appendix L</w:t>
            </w:r>
            <w:r w:rsidR="000D292E">
              <w:rPr>
                <w:webHidden/>
              </w:rPr>
              <w:tab/>
            </w:r>
            <w:r w:rsidR="000D292E">
              <w:rPr>
                <w:webHidden/>
              </w:rPr>
              <w:fldChar w:fldCharType="begin"/>
            </w:r>
            <w:r w:rsidR="000D292E">
              <w:rPr>
                <w:webHidden/>
              </w:rPr>
              <w:instrText xml:space="preserve"> PAGEREF _Toc133487856 \h </w:instrText>
            </w:r>
            <w:r w:rsidR="000D292E">
              <w:rPr>
                <w:webHidden/>
              </w:rPr>
            </w:r>
            <w:r w:rsidR="000D292E">
              <w:rPr>
                <w:webHidden/>
              </w:rPr>
              <w:fldChar w:fldCharType="separate"/>
            </w:r>
            <w:r w:rsidR="001B08DD">
              <w:rPr>
                <w:webHidden/>
              </w:rPr>
              <w:t>107</w:t>
            </w:r>
            <w:r w:rsidR="000D292E">
              <w:rPr>
                <w:webHidden/>
              </w:rPr>
              <w:fldChar w:fldCharType="end"/>
            </w:r>
          </w:hyperlink>
        </w:p>
        <w:p w14:paraId="2569A232" w14:textId="781C90DB" w:rsidR="000D292E" w:rsidRDefault="00000000">
          <w:pPr>
            <w:pStyle w:val="TOC1"/>
            <w:rPr>
              <w:rFonts w:eastAsiaTheme="minorEastAsia"/>
              <w:color w:val="auto"/>
              <w:lang w:eastAsia="en-GB"/>
            </w:rPr>
          </w:pPr>
          <w:hyperlink w:anchor="_Toc133487857" w:history="1">
            <w:r w:rsidR="000D292E" w:rsidRPr="00602635">
              <w:rPr>
                <w:rStyle w:val="Hyperlink"/>
              </w:rPr>
              <w:t>Appendix M</w:t>
            </w:r>
            <w:r w:rsidR="000D292E">
              <w:rPr>
                <w:webHidden/>
              </w:rPr>
              <w:tab/>
            </w:r>
            <w:r w:rsidR="000D292E">
              <w:rPr>
                <w:webHidden/>
              </w:rPr>
              <w:fldChar w:fldCharType="begin"/>
            </w:r>
            <w:r w:rsidR="000D292E">
              <w:rPr>
                <w:webHidden/>
              </w:rPr>
              <w:instrText xml:space="preserve"> PAGEREF _Toc133487857 \h </w:instrText>
            </w:r>
            <w:r w:rsidR="000D292E">
              <w:rPr>
                <w:webHidden/>
              </w:rPr>
            </w:r>
            <w:r w:rsidR="000D292E">
              <w:rPr>
                <w:webHidden/>
              </w:rPr>
              <w:fldChar w:fldCharType="separate"/>
            </w:r>
            <w:r w:rsidR="001B08DD">
              <w:rPr>
                <w:webHidden/>
              </w:rPr>
              <w:t>110</w:t>
            </w:r>
            <w:r w:rsidR="000D292E">
              <w:rPr>
                <w:webHidden/>
              </w:rPr>
              <w:fldChar w:fldCharType="end"/>
            </w:r>
          </w:hyperlink>
        </w:p>
        <w:p w14:paraId="60802C62" w14:textId="1DFF173D" w:rsidR="000D292E" w:rsidRDefault="00000000">
          <w:pPr>
            <w:pStyle w:val="TOC1"/>
            <w:rPr>
              <w:rFonts w:eastAsiaTheme="minorEastAsia"/>
              <w:color w:val="auto"/>
              <w:lang w:eastAsia="en-GB"/>
            </w:rPr>
          </w:pPr>
          <w:hyperlink w:anchor="_Toc133487858" w:history="1">
            <w:r w:rsidR="000D292E" w:rsidRPr="00602635">
              <w:rPr>
                <w:rStyle w:val="Hyperlink"/>
              </w:rPr>
              <w:t>Appendix N</w:t>
            </w:r>
            <w:r w:rsidR="000D292E">
              <w:rPr>
                <w:webHidden/>
              </w:rPr>
              <w:tab/>
            </w:r>
            <w:r w:rsidR="000D292E">
              <w:rPr>
                <w:webHidden/>
              </w:rPr>
              <w:fldChar w:fldCharType="begin"/>
            </w:r>
            <w:r w:rsidR="000D292E">
              <w:rPr>
                <w:webHidden/>
              </w:rPr>
              <w:instrText xml:space="preserve"> PAGEREF _Toc133487858 \h </w:instrText>
            </w:r>
            <w:r w:rsidR="000D292E">
              <w:rPr>
                <w:webHidden/>
              </w:rPr>
            </w:r>
            <w:r w:rsidR="000D292E">
              <w:rPr>
                <w:webHidden/>
              </w:rPr>
              <w:fldChar w:fldCharType="separate"/>
            </w:r>
            <w:r w:rsidR="001B08DD">
              <w:rPr>
                <w:webHidden/>
              </w:rPr>
              <w:t>116</w:t>
            </w:r>
            <w:r w:rsidR="000D292E">
              <w:rPr>
                <w:webHidden/>
              </w:rPr>
              <w:fldChar w:fldCharType="end"/>
            </w:r>
          </w:hyperlink>
        </w:p>
        <w:p w14:paraId="76FC9738" w14:textId="77777777" w:rsidR="001B08DD" w:rsidRDefault="001B08DD">
          <w:pPr>
            <w:pStyle w:val="TOC1"/>
            <w:rPr>
              <w:rStyle w:val="Hyperlink"/>
            </w:rPr>
          </w:pPr>
        </w:p>
        <w:p w14:paraId="30338BBC" w14:textId="551A8F69" w:rsidR="000D292E" w:rsidRDefault="00000000">
          <w:pPr>
            <w:pStyle w:val="TOC1"/>
            <w:rPr>
              <w:rFonts w:eastAsiaTheme="minorEastAsia"/>
              <w:color w:val="auto"/>
              <w:lang w:eastAsia="en-GB"/>
            </w:rPr>
          </w:pPr>
          <w:hyperlink w:anchor="_Toc133487859" w:history="1">
            <w:r w:rsidR="000D292E" w:rsidRPr="00602635">
              <w:rPr>
                <w:rStyle w:val="Hyperlink"/>
              </w:rPr>
              <w:t>Paper 3: Executive Summary</w:t>
            </w:r>
            <w:r w:rsidR="000D292E">
              <w:rPr>
                <w:webHidden/>
              </w:rPr>
              <w:tab/>
            </w:r>
            <w:r w:rsidR="000D292E">
              <w:rPr>
                <w:webHidden/>
              </w:rPr>
              <w:fldChar w:fldCharType="begin"/>
            </w:r>
            <w:r w:rsidR="000D292E">
              <w:rPr>
                <w:webHidden/>
              </w:rPr>
              <w:instrText xml:space="preserve"> PAGEREF _Toc133487859 \h </w:instrText>
            </w:r>
            <w:r w:rsidR="000D292E">
              <w:rPr>
                <w:webHidden/>
              </w:rPr>
            </w:r>
            <w:r w:rsidR="000D292E">
              <w:rPr>
                <w:webHidden/>
              </w:rPr>
              <w:fldChar w:fldCharType="separate"/>
            </w:r>
            <w:r w:rsidR="001B08DD">
              <w:rPr>
                <w:webHidden/>
              </w:rPr>
              <w:t>121</w:t>
            </w:r>
            <w:r w:rsidR="000D292E">
              <w:rPr>
                <w:webHidden/>
              </w:rPr>
              <w:fldChar w:fldCharType="end"/>
            </w:r>
          </w:hyperlink>
        </w:p>
        <w:p w14:paraId="448486DC" w14:textId="7D6F9A96" w:rsidR="000D292E" w:rsidRDefault="00000000">
          <w:pPr>
            <w:pStyle w:val="TOC1"/>
            <w:rPr>
              <w:rFonts w:eastAsiaTheme="minorEastAsia"/>
              <w:color w:val="auto"/>
              <w:lang w:eastAsia="en-GB"/>
            </w:rPr>
          </w:pPr>
          <w:hyperlink w:anchor="_Toc133487860" w:history="1">
            <w:r w:rsidR="000D292E" w:rsidRPr="00602635">
              <w:rPr>
                <w:rStyle w:val="Hyperlink"/>
              </w:rPr>
              <w:t>Introduction</w:t>
            </w:r>
            <w:r w:rsidR="000D292E">
              <w:rPr>
                <w:webHidden/>
              </w:rPr>
              <w:tab/>
            </w:r>
            <w:r w:rsidR="000D292E">
              <w:rPr>
                <w:webHidden/>
              </w:rPr>
              <w:fldChar w:fldCharType="begin"/>
            </w:r>
            <w:r w:rsidR="000D292E">
              <w:rPr>
                <w:webHidden/>
              </w:rPr>
              <w:instrText xml:space="preserve"> PAGEREF _Toc133487860 \h </w:instrText>
            </w:r>
            <w:r w:rsidR="000D292E">
              <w:rPr>
                <w:webHidden/>
              </w:rPr>
            </w:r>
            <w:r w:rsidR="000D292E">
              <w:rPr>
                <w:webHidden/>
              </w:rPr>
              <w:fldChar w:fldCharType="separate"/>
            </w:r>
            <w:r w:rsidR="001B08DD">
              <w:rPr>
                <w:webHidden/>
              </w:rPr>
              <w:t>122</w:t>
            </w:r>
            <w:r w:rsidR="000D292E">
              <w:rPr>
                <w:webHidden/>
              </w:rPr>
              <w:fldChar w:fldCharType="end"/>
            </w:r>
          </w:hyperlink>
        </w:p>
        <w:p w14:paraId="2B367E6A" w14:textId="03BAABEE" w:rsidR="000D292E" w:rsidRDefault="00000000">
          <w:pPr>
            <w:pStyle w:val="TOC2"/>
            <w:tabs>
              <w:tab w:val="right" w:leader="dot" w:pos="9016"/>
            </w:tabs>
            <w:rPr>
              <w:rFonts w:eastAsiaTheme="minorEastAsia"/>
              <w:noProof/>
              <w:lang w:eastAsia="en-GB"/>
            </w:rPr>
          </w:pPr>
          <w:hyperlink w:anchor="_Toc133487861" w:history="1">
            <w:r w:rsidR="000D292E" w:rsidRPr="00602635">
              <w:rPr>
                <w:rStyle w:val="Hyperlink"/>
                <w:noProof/>
              </w:rPr>
              <w:t>What is the background for this study?</w:t>
            </w:r>
            <w:r w:rsidR="000D292E">
              <w:rPr>
                <w:noProof/>
                <w:webHidden/>
              </w:rPr>
              <w:tab/>
            </w:r>
            <w:r w:rsidR="000D292E">
              <w:rPr>
                <w:noProof/>
                <w:webHidden/>
              </w:rPr>
              <w:fldChar w:fldCharType="begin"/>
            </w:r>
            <w:r w:rsidR="000D292E">
              <w:rPr>
                <w:noProof/>
                <w:webHidden/>
              </w:rPr>
              <w:instrText xml:space="preserve"> PAGEREF _Toc133487861 \h </w:instrText>
            </w:r>
            <w:r w:rsidR="000D292E">
              <w:rPr>
                <w:noProof/>
                <w:webHidden/>
              </w:rPr>
            </w:r>
            <w:r w:rsidR="000D292E">
              <w:rPr>
                <w:noProof/>
                <w:webHidden/>
              </w:rPr>
              <w:fldChar w:fldCharType="separate"/>
            </w:r>
            <w:r w:rsidR="001B08DD">
              <w:rPr>
                <w:noProof/>
                <w:webHidden/>
              </w:rPr>
              <w:t>122</w:t>
            </w:r>
            <w:r w:rsidR="000D292E">
              <w:rPr>
                <w:noProof/>
                <w:webHidden/>
              </w:rPr>
              <w:fldChar w:fldCharType="end"/>
            </w:r>
          </w:hyperlink>
        </w:p>
        <w:p w14:paraId="649C6FD6" w14:textId="7D2BEBAC" w:rsidR="000D292E" w:rsidRDefault="00000000">
          <w:pPr>
            <w:pStyle w:val="TOC2"/>
            <w:tabs>
              <w:tab w:val="right" w:leader="dot" w:pos="9016"/>
            </w:tabs>
            <w:rPr>
              <w:rFonts w:eastAsiaTheme="minorEastAsia"/>
              <w:noProof/>
              <w:lang w:eastAsia="en-GB"/>
            </w:rPr>
          </w:pPr>
          <w:hyperlink w:anchor="_Toc133487862" w:history="1">
            <w:r w:rsidR="000D292E" w:rsidRPr="00602635">
              <w:rPr>
                <w:rStyle w:val="Hyperlink"/>
                <w:noProof/>
              </w:rPr>
              <w:t>Key Terms</w:t>
            </w:r>
            <w:r w:rsidR="000D292E">
              <w:rPr>
                <w:noProof/>
                <w:webHidden/>
              </w:rPr>
              <w:tab/>
            </w:r>
            <w:r w:rsidR="000D292E">
              <w:rPr>
                <w:noProof/>
                <w:webHidden/>
              </w:rPr>
              <w:fldChar w:fldCharType="begin"/>
            </w:r>
            <w:r w:rsidR="000D292E">
              <w:rPr>
                <w:noProof/>
                <w:webHidden/>
              </w:rPr>
              <w:instrText xml:space="preserve"> PAGEREF _Toc133487862 \h </w:instrText>
            </w:r>
            <w:r w:rsidR="000D292E">
              <w:rPr>
                <w:noProof/>
                <w:webHidden/>
              </w:rPr>
            </w:r>
            <w:r w:rsidR="000D292E">
              <w:rPr>
                <w:noProof/>
                <w:webHidden/>
              </w:rPr>
              <w:fldChar w:fldCharType="separate"/>
            </w:r>
            <w:r w:rsidR="001B08DD">
              <w:rPr>
                <w:noProof/>
                <w:webHidden/>
              </w:rPr>
              <w:t>123</w:t>
            </w:r>
            <w:r w:rsidR="000D292E">
              <w:rPr>
                <w:noProof/>
                <w:webHidden/>
              </w:rPr>
              <w:fldChar w:fldCharType="end"/>
            </w:r>
          </w:hyperlink>
        </w:p>
        <w:p w14:paraId="607B61F2" w14:textId="44AF6AAF" w:rsidR="000D292E" w:rsidRDefault="00000000">
          <w:pPr>
            <w:pStyle w:val="TOC2"/>
            <w:tabs>
              <w:tab w:val="right" w:leader="dot" w:pos="9016"/>
            </w:tabs>
            <w:rPr>
              <w:rFonts w:eastAsiaTheme="minorEastAsia"/>
              <w:noProof/>
              <w:lang w:eastAsia="en-GB"/>
            </w:rPr>
          </w:pPr>
          <w:hyperlink w:anchor="_Toc133487863" w:history="1">
            <w:r w:rsidR="000D292E" w:rsidRPr="00602635">
              <w:rPr>
                <w:rStyle w:val="Hyperlink"/>
                <w:noProof/>
              </w:rPr>
              <w:t>Why are these factors important for people with seizure conditions?</w:t>
            </w:r>
            <w:r w:rsidR="000D292E">
              <w:rPr>
                <w:noProof/>
                <w:webHidden/>
              </w:rPr>
              <w:tab/>
            </w:r>
            <w:r w:rsidR="000D292E">
              <w:rPr>
                <w:noProof/>
                <w:webHidden/>
              </w:rPr>
              <w:fldChar w:fldCharType="begin"/>
            </w:r>
            <w:r w:rsidR="000D292E">
              <w:rPr>
                <w:noProof/>
                <w:webHidden/>
              </w:rPr>
              <w:instrText xml:space="preserve"> PAGEREF _Toc133487863 \h </w:instrText>
            </w:r>
            <w:r w:rsidR="000D292E">
              <w:rPr>
                <w:noProof/>
                <w:webHidden/>
              </w:rPr>
            </w:r>
            <w:r w:rsidR="000D292E">
              <w:rPr>
                <w:noProof/>
                <w:webHidden/>
              </w:rPr>
              <w:fldChar w:fldCharType="separate"/>
            </w:r>
            <w:r w:rsidR="001B08DD">
              <w:rPr>
                <w:noProof/>
                <w:webHidden/>
              </w:rPr>
              <w:t>124</w:t>
            </w:r>
            <w:r w:rsidR="000D292E">
              <w:rPr>
                <w:noProof/>
                <w:webHidden/>
              </w:rPr>
              <w:fldChar w:fldCharType="end"/>
            </w:r>
          </w:hyperlink>
        </w:p>
        <w:p w14:paraId="78696EC1" w14:textId="4AC66D8D" w:rsidR="000D292E" w:rsidRDefault="00000000">
          <w:pPr>
            <w:pStyle w:val="TOC2"/>
            <w:tabs>
              <w:tab w:val="right" w:leader="dot" w:pos="9016"/>
            </w:tabs>
            <w:rPr>
              <w:rFonts w:eastAsiaTheme="minorEastAsia"/>
              <w:noProof/>
              <w:lang w:eastAsia="en-GB"/>
            </w:rPr>
          </w:pPr>
          <w:hyperlink w:anchor="_Toc133487864" w:history="1">
            <w:r w:rsidR="000D292E" w:rsidRPr="00602635">
              <w:rPr>
                <w:rStyle w:val="Hyperlink"/>
                <w:noProof/>
              </w:rPr>
              <w:t>Aims</w:t>
            </w:r>
            <w:r w:rsidR="000D292E">
              <w:rPr>
                <w:noProof/>
                <w:webHidden/>
              </w:rPr>
              <w:tab/>
            </w:r>
            <w:r w:rsidR="000D292E">
              <w:rPr>
                <w:noProof/>
                <w:webHidden/>
              </w:rPr>
              <w:fldChar w:fldCharType="begin"/>
            </w:r>
            <w:r w:rsidR="000D292E">
              <w:rPr>
                <w:noProof/>
                <w:webHidden/>
              </w:rPr>
              <w:instrText xml:space="preserve"> PAGEREF _Toc133487864 \h </w:instrText>
            </w:r>
            <w:r w:rsidR="000D292E">
              <w:rPr>
                <w:noProof/>
                <w:webHidden/>
              </w:rPr>
            </w:r>
            <w:r w:rsidR="000D292E">
              <w:rPr>
                <w:noProof/>
                <w:webHidden/>
              </w:rPr>
              <w:fldChar w:fldCharType="separate"/>
            </w:r>
            <w:r w:rsidR="001B08DD">
              <w:rPr>
                <w:noProof/>
                <w:webHidden/>
              </w:rPr>
              <w:t>125</w:t>
            </w:r>
            <w:r w:rsidR="000D292E">
              <w:rPr>
                <w:noProof/>
                <w:webHidden/>
              </w:rPr>
              <w:fldChar w:fldCharType="end"/>
            </w:r>
          </w:hyperlink>
        </w:p>
        <w:p w14:paraId="7FCAED40" w14:textId="06EB72A3" w:rsidR="000D292E" w:rsidRDefault="00000000">
          <w:pPr>
            <w:pStyle w:val="TOC1"/>
            <w:rPr>
              <w:rFonts w:eastAsiaTheme="minorEastAsia"/>
              <w:color w:val="auto"/>
              <w:lang w:eastAsia="en-GB"/>
            </w:rPr>
          </w:pPr>
          <w:hyperlink w:anchor="_Toc133487865" w:history="1">
            <w:r w:rsidR="000D292E" w:rsidRPr="00602635">
              <w:rPr>
                <w:rStyle w:val="Hyperlink"/>
              </w:rPr>
              <w:t>Method</w:t>
            </w:r>
            <w:r w:rsidR="000D292E">
              <w:rPr>
                <w:webHidden/>
              </w:rPr>
              <w:tab/>
            </w:r>
            <w:r w:rsidR="000D292E">
              <w:rPr>
                <w:webHidden/>
              </w:rPr>
              <w:fldChar w:fldCharType="begin"/>
            </w:r>
            <w:r w:rsidR="000D292E">
              <w:rPr>
                <w:webHidden/>
              </w:rPr>
              <w:instrText xml:space="preserve"> PAGEREF _Toc133487865 \h </w:instrText>
            </w:r>
            <w:r w:rsidR="000D292E">
              <w:rPr>
                <w:webHidden/>
              </w:rPr>
            </w:r>
            <w:r w:rsidR="000D292E">
              <w:rPr>
                <w:webHidden/>
              </w:rPr>
              <w:fldChar w:fldCharType="separate"/>
            </w:r>
            <w:r w:rsidR="001B08DD">
              <w:rPr>
                <w:webHidden/>
              </w:rPr>
              <w:t>126</w:t>
            </w:r>
            <w:r w:rsidR="000D292E">
              <w:rPr>
                <w:webHidden/>
              </w:rPr>
              <w:fldChar w:fldCharType="end"/>
            </w:r>
          </w:hyperlink>
        </w:p>
        <w:p w14:paraId="26FCBC4B" w14:textId="4BA98B9E" w:rsidR="000D292E" w:rsidRDefault="00000000">
          <w:pPr>
            <w:pStyle w:val="TOC2"/>
            <w:tabs>
              <w:tab w:val="right" w:leader="dot" w:pos="9016"/>
            </w:tabs>
            <w:rPr>
              <w:rFonts w:eastAsiaTheme="minorEastAsia"/>
              <w:noProof/>
              <w:lang w:eastAsia="en-GB"/>
            </w:rPr>
          </w:pPr>
          <w:hyperlink w:anchor="_Toc133487866" w:history="1">
            <w:r w:rsidR="000D292E" w:rsidRPr="00602635">
              <w:rPr>
                <w:rStyle w:val="Hyperlink"/>
                <w:noProof/>
              </w:rPr>
              <w:t>What did participation involve?</w:t>
            </w:r>
            <w:r w:rsidR="000D292E">
              <w:rPr>
                <w:noProof/>
                <w:webHidden/>
              </w:rPr>
              <w:tab/>
            </w:r>
            <w:r w:rsidR="000D292E">
              <w:rPr>
                <w:noProof/>
                <w:webHidden/>
              </w:rPr>
              <w:fldChar w:fldCharType="begin"/>
            </w:r>
            <w:r w:rsidR="000D292E">
              <w:rPr>
                <w:noProof/>
                <w:webHidden/>
              </w:rPr>
              <w:instrText xml:space="preserve"> PAGEREF _Toc133487866 \h </w:instrText>
            </w:r>
            <w:r w:rsidR="000D292E">
              <w:rPr>
                <w:noProof/>
                <w:webHidden/>
              </w:rPr>
            </w:r>
            <w:r w:rsidR="000D292E">
              <w:rPr>
                <w:noProof/>
                <w:webHidden/>
              </w:rPr>
              <w:fldChar w:fldCharType="separate"/>
            </w:r>
            <w:r w:rsidR="001B08DD">
              <w:rPr>
                <w:noProof/>
                <w:webHidden/>
              </w:rPr>
              <w:t>126</w:t>
            </w:r>
            <w:r w:rsidR="000D292E">
              <w:rPr>
                <w:noProof/>
                <w:webHidden/>
              </w:rPr>
              <w:fldChar w:fldCharType="end"/>
            </w:r>
          </w:hyperlink>
        </w:p>
        <w:p w14:paraId="48D04F74" w14:textId="2C80FF91" w:rsidR="000D292E" w:rsidRDefault="00000000">
          <w:pPr>
            <w:pStyle w:val="TOC2"/>
            <w:tabs>
              <w:tab w:val="right" w:leader="dot" w:pos="9016"/>
            </w:tabs>
            <w:rPr>
              <w:rFonts w:eastAsiaTheme="minorEastAsia"/>
              <w:noProof/>
              <w:lang w:eastAsia="en-GB"/>
            </w:rPr>
          </w:pPr>
          <w:hyperlink w:anchor="_Toc133487867" w:history="1">
            <w:r w:rsidR="000D292E" w:rsidRPr="00602635">
              <w:rPr>
                <w:rStyle w:val="Hyperlink"/>
                <w:noProof/>
              </w:rPr>
              <w:t>Who participated?</w:t>
            </w:r>
            <w:r w:rsidR="000D292E">
              <w:rPr>
                <w:noProof/>
                <w:webHidden/>
              </w:rPr>
              <w:tab/>
            </w:r>
            <w:r w:rsidR="000D292E">
              <w:rPr>
                <w:noProof/>
                <w:webHidden/>
              </w:rPr>
              <w:fldChar w:fldCharType="begin"/>
            </w:r>
            <w:r w:rsidR="000D292E">
              <w:rPr>
                <w:noProof/>
                <w:webHidden/>
              </w:rPr>
              <w:instrText xml:space="preserve"> PAGEREF _Toc133487867 \h </w:instrText>
            </w:r>
            <w:r w:rsidR="000D292E">
              <w:rPr>
                <w:noProof/>
                <w:webHidden/>
              </w:rPr>
            </w:r>
            <w:r w:rsidR="000D292E">
              <w:rPr>
                <w:noProof/>
                <w:webHidden/>
              </w:rPr>
              <w:fldChar w:fldCharType="separate"/>
            </w:r>
            <w:r w:rsidR="001B08DD">
              <w:rPr>
                <w:noProof/>
                <w:webHidden/>
              </w:rPr>
              <w:t>127</w:t>
            </w:r>
            <w:r w:rsidR="000D292E">
              <w:rPr>
                <w:noProof/>
                <w:webHidden/>
              </w:rPr>
              <w:fldChar w:fldCharType="end"/>
            </w:r>
          </w:hyperlink>
        </w:p>
        <w:p w14:paraId="7A84F68B" w14:textId="0400597D" w:rsidR="000D292E" w:rsidRDefault="00000000">
          <w:pPr>
            <w:pStyle w:val="TOC2"/>
            <w:tabs>
              <w:tab w:val="right" w:leader="dot" w:pos="9016"/>
            </w:tabs>
            <w:rPr>
              <w:rFonts w:eastAsiaTheme="minorEastAsia"/>
              <w:noProof/>
              <w:lang w:eastAsia="en-GB"/>
            </w:rPr>
          </w:pPr>
          <w:hyperlink w:anchor="_Toc133487868" w:history="1">
            <w:r w:rsidR="000D292E" w:rsidRPr="00602635">
              <w:rPr>
                <w:rStyle w:val="Hyperlink"/>
                <w:noProof/>
              </w:rPr>
              <w:t>Methods of analysis</w:t>
            </w:r>
            <w:r w:rsidR="000D292E">
              <w:rPr>
                <w:noProof/>
                <w:webHidden/>
              </w:rPr>
              <w:tab/>
            </w:r>
            <w:r w:rsidR="000D292E">
              <w:rPr>
                <w:noProof/>
                <w:webHidden/>
              </w:rPr>
              <w:fldChar w:fldCharType="begin"/>
            </w:r>
            <w:r w:rsidR="000D292E">
              <w:rPr>
                <w:noProof/>
                <w:webHidden/>
              </w:rPr>
              <w:instrText xml:space="preserve"> PAGEREF _Toc133487868 \h </w:instrText>
            </w:r>
            <w:r w:rsidR="000D292E">
              <w:rPr>
                <w:noProof/>
                <w:webHidden/>
              </w:rPr>
            </w:r>
            <w:r w:rsidR="000D292E">
              <w:rPr>
                <w:noProof/>
                <w:webHidden/>
              </w:rPr>
              <w:fldChar w:fldCharType="separate"/>
            </w:r>
            <w:r w:rsidR="001B08DD">
              <w:rPr>
                <w:noProof/>
                <w:webHidden/>
              </w:rPr>
              <w:t>127</w:t>
            </w:r>
            <w:r w:rsidR="000D292E">
              <w:rPr>
                <w:noProof/>
                <w:webHidden/>
              </w:rPr>
              <w:fldChar w:fldCharType="end"/>
            </w:r>
          </w:hyperlink>
        </w:p>
        <w:p w14:paraId="59F337CB" w14:textId="6AA40742" w:rsidR="000D292E" w:rsidRDefault="00000000">
          <w:pPr>
            <w:pStyle w:val="TOC1"/>
            <w:rPr>
              <w:rFonts w:eastAsiaTheme="minorEastAsia"/>
              <w:color w:val="auto"/>
              <w:lang w:eastAsia="en-GB"/>
            </w:rPr>
          </w:pPr>
          <w:hyperlink w:anchor="_Toc133487869" w:history="1">
            <w:r w:rsidR="000D292E" w:rsidRPr="00602635">
              <w:rPr>
                <w:rStyle w:val="Hyperlink"/>
              </w:rPr>
              <w:t>Key findings</w:t>
            </w:r>
            <w:r w:rsidR="000D292E">
              <w:rPr>
                <w:webHidden/>
              </w:rPr>
              <w:tab/>
            </w:r>
            <w:r w:rsidR="000D292E">
              <w:rPr>
                <w:webHidden/>
              </w:rPr>
              <w:fldChar w:fldCharType="begin"/>
            </w:r>
            <w:r w:rsidR="000D292E">
              <w:rPr>
                <w:webHidden/>
              </w:rPr>
              <w:instrText xml:space="preserve"> PAGEREF _Toc133487869 \h </w:instrText>
            </w:r>
            <w:r w:rsidR="000D292E">
              <w:rPr>
                <w:webHidden/>
              </w:rPr>
            </w:r>
            <w:r w:rsidR="000D292E">
              <w:rPr>
                <w:webHidden/>
              </w:rPr>
              <w:fldChar w:fldCharType="separate"/>
            </w:r>
            <w:r w:rsidR="001B08DD">
              <w:rPr>
                <w:webHidden/>
              </w:rPr>
              <w:t>128</w:t>
            </w:r>
            <w:r w:rsidR="000D292E">
              <w:rPr>
                <w:webHidden/>
              </w:rPr>
              <w:fldChar w:fldCharType="end"/>
            </w:r>
          </w:hyperlink>
        </w:p>
        <w:p w14:paraId="62B045FA" w14:textId="63651E13" w:rsidR="000D292E" w:rsidRDefault="00000000">
          <w:pPr>
            <w:pStyle w:val="TOC2"/>
            <w:tabs>
              <w:tab w:val="right" w:leader="dot" w:pos="9016"/>
            </w:tabs>
            <w:rPr>
              <w:rFonts w:eastAsiaTheme="minorEastAsia"/>
              <w:noProof/>
              <w:lang w:eastAsia="en-GB"/>
            </w:rPr>
          </w:pPr>
          <w:hyperlink w:anchor="_Toc133487870" w:history="1">
            <w:r w:rsidR="000D292E" w:rsidRPr="00602635">
              <w:rPr>
                <w:rStyle w:val="Hyperlink"/>
                <w:noProof/>
              </w:rPr>
              <w:t>What are the clinical implications of this research?</w:t>
            </w:r>
            <w:r w:rsidR="000D292E">
              <w:rPr>
                <w:noProof/>
                <w:webHidden/>
              </w:rPr>
              <w:tab/>
            </w:r>
            <w:r w:rsidR="000D292E">
              <w:rPr>
                <w:noProof/>
                <w:webHidden/>
              </w:rPr>
              <w:fldChar w:fldCharType="begin"/>
            </w:r>
            <w:r w:rsidR="000D292E">
              <w:rPr>
                <w:noProof/>
                <w:webHidden/>
              </w:rPr>
              <w:instrText xml:space="preserve"> PAGEREF _Toc133487870 \h </w:instrText>
            </w:r>
            <w:r w:rsidR="000D292E">
              <w:rPr>
                <w:noProof/>
                <w:webHidden/>
              </w:rPr>
            </w:r>
            <w:r w:rsidR="000D292E">
              <w:rPr>
                <w:noProof/>
                <w:webHidden/>
              </w:rPr>
              <w:fldChar w:fldCharType="separate"/>
            </w:r>
            <w:r w:rsidR="001B08DD">
              <w:rPr>
                <w:noProof/>
                <w:webHidden/>
              </w:rPr>
              <w:t>129</w:t>
            </w:r>
            <w:r w:rsidR="000D292E">
              <w:rPr>
                <w:noProof/>
                <w:webHidden/>
              </w:rPr>
              <w:fldChar w:fldCharType="end"/>
            </w:r>
          </w:hyperlink>
        </w:p>
        <w:p w14:paraId="1F7982DB" w14:textId="58D6370E" w:rsidR="000D292E" w:rsidRDefault="00000000">
          <w:pPr>
            <w:pStyle w:val="TOC2"/>
            <w:tabs>
              <w:tab w:val="right" w:leader="dot" w:pos="9016"/>
            </w:tabs>
            <w:rPr>
              <w:rFonts w:eastAsiaTheme="minorEastAsia"/>
              <w:noProof/>
              <w:lang w:eastAsia="en-GB"/>
            </w:rPr>
          </w:pPr>
          <w:hyperlink w:anchor="_Toc133487871" w:history="1">
            <w:r w:rsidR="000D292E" w:rsidRPr="00602635">
              <w:rPr>
                <w:rStyle w:val="Hyperlink"/>
                <w:noProof/>
              </w:rPr>
              <w:t>Limitations</w:t>
            </w:r>
            <w:r w:rsidR="000D292E">
              <w:rPr>
                <w:noProof/>
                <w:webHidden/>
              </w:rPr>
              <w:tab/>
            </w:r>
            <w:r w:rsidR="000D292E">
              <w:rPr>
                <w:noProof/>
                <w:webHidden/>
              </w:rPr>
              <w:fldChar w:fldCharType="begin"/>
            </w:r>
            <w:r w:rsidR="000D292E">
              <w:rPr>
                <w:noProof/>
                <w:webHidden/>
              </w:rPr>
              <w:instrText xml:space="preserve"> PAGEREF _Toc133487871 \h </w:instrText>
            </w:r>
            <w:r w:rsidR="000D292E">
              <w:rPr>
                <w:noProof/>
                <w:webHidden/>
              </w:rPr>
            </w:r>
            <w:r w:rsidR="000D292E">
              <w:rPr>
                <w:noProof/>
                <w:webHidden/>
              </w:rPr>
              <w:fldChar w:fldCharType="separate"/>
            </w:r>
            <w:r w:rsidR="001B08DD">
              <w:rPr>
                <w:noProof/>
                <w:webHidden/>
              </w:rPr>
              <w:t>129</w:t>
            </w:r>
            <w:r w:rsidR="000D292E">
              <w:rPr>
                <w:noProof/>
                <w:webHidden/>
              </w:rPr>
              <w:fldChar w:fldCharType="end"/>
            </w:r>
          </w:hyperlink>
        </w:p>
        <w:p w14:paraId="139DC8C7" w14:textId="192DD990" w:rsidR="000D292E" w:rsidRDefault="00000000">
          <w:pPr>
            <w:pStyle w:val="TOC1"/>
            <w:rPr>
              <w:rFonts w:eastAsiaTheme="minorEastAsia"/>
              <w:color w:val="auto"/>
              <w:lang w:eastAsia="en-GB"/>
            </w:rPr>
          </w:pPr>
          <w:hyperlink w:anchor="_Toc133487872" w:history="1">
            <w:r w:rsidR="000D292E" w:rsidRPr="00602635">
              <w:rPr>
                <w:rStyle w:val="Hyperlink"/>
              </w:rPr>
              <w:t>Future research</w:t>
            </w:r>
            <w:r w:rsidR="000D292E">
              <w:rPr>
                <w:webHidden/>
              </w:rPr>
              <w:tab/>
            </w:r>
            <w:r w:rsidR="000D292E">
              <w:rPr>
                <w:webHidden/>
              </w:rPr>
              <w:fldChar w:fldCharType="begin"/>
            </w:r>
            <w:r w:rsidR="000D292E">
              <w:rPr>
                <w:webHidden/>
              </w:rPr>
              <w:instrText xml:space="preserve"> PAGEREF _Toc133487872 \h </w:instrText>
            </w:r>
            <w:r w:rsidR="000D292E">
              <w:rPr>
                <w:webHidden/>
              </w:rPr>
            </w:r>
            <w:r w:rsidR="000D292E">
              <w:rPr>
                <w:webHidden/>
              </w:rPr>
              <w:fldChar w:fldCharType="separate"/>
            </w:r>
            <w:r w:rsidR="001B08DD">
              <w:rPr>
                <w:webHidden/>
              </w:rPr>
              <w:t>130</w:t>
            </w:r>
            <w:r w:rsidR="000D292E">
              <w:rPr>
                <w:webHidden/>
              </w:rPr>
              <w:fldChar w:fldCharType="end"/>
            </w:r>
          </w:hyperlink>
        </w:p>
        <w:p w14:paraId="272C3D21" w14:textId="147F6A7C" w:rsidR="000D292E" w:rsidRDefault="00000000">
          <w:pPr>
            <w:pStyle w:val="TOC1"/>
            <w:rPr>
              <w:rFonts w:eastAsiaTheme="minorEastAsia"/>
              <w:color w:val="auto"/>
              <w:lang w:eastAsia="en-GB"/>
            </w:rPr>
          </w:pPr>
          <w:hyperlink w:anchor="_Toc133487873" w:history="1">
            <w:r w:rsidR="000D292E" w:rsidRPr="00602635">
              <w:rPr>
                <w:rStyle w:val="Hyperlink"/>
              </w:rPr>
              <w:t>What will happen to the results of this study?</w:t>
            </w:r>
            <w:r w:rsidR="000D292E">
              <w:rPr>
                <w:webHidden/>
              </w:rPr>
              <w:tab/>
            </w:r>
            <w:r w:rsidR="000D292E">
              <w:rPr>
                <w:webHidden/>
              </w:rPr>
              <w:fldChar w:fldCharType="begin"/>
            </w:r>
            <w:r w:rsidR="000D292E">
              <w:rPr>
                <w:webHidden/>
              </w:rPr>
              <w:instrText xml:space="preserve"> PAGEREF _Toc133487873 \h </w:instrText>
            </w:r>
            <w:r w:rsidR="000D292E">
              <w:rPr>
                <w:webHidden/>
              </w:rPr>
            </w:r>
            <w:r w:rsidR="000D292E">
              <w:rPr>
                <w:webHidden/>
              </w:rPr>
              <w:fldChar w:fldCharType="separate"/>
            </w:r>
            <w:r w:rsidR="001B08DD">
              <w:rPr>
                <w:webHidden/>
              </w:rPr>
              <w:t>130</w:t>
            </w:r>
            <w:r w:rsidR="000D292E">
              <w:rPr>
                <w:webHidden/>
              </w:rPr>
              <w:fldChar w:fldCharType="end"/>
            </w:r>
          </w:hyperlink>
        </w:p>
        <w:p w14:paraId="6731F5B9" w14:textId="5CCD2212" w:rsidR="000D292E" w:rsidRDefault="00000000">
          <w:pPr>
            <w:pStyle w:val="TOC1"/>
            <w:rPr>
              <w:rFonts w:eastAsiaTheme="minorEastAsia"/>
              <w:color w:val="auto"/>
              <w:lang w:eastAsia="en-GB"/>
            </w:rPr>
          </w:pPr>
          <w:hyperlink w:anchor="_Toc133487874" w:history="1">
            <w:r w:rsidR="000D292E" w:rsidRPr="00602635">
              <w:rPr>
                <w:rStyle w:val="Hyperlink"/>
              </w:rPr>
              <w:t>References</w:t>
            </w:r>
            <w:r w:rsidR="000D292E">
              <w:rPr>
                <w:webHidden/>
              </w:rPr>
              <w:tab/>
            </w:r>
            <w:r w:rsidR="000D292E">
              <w:rPr>
                <w:webHidden/>
              </w:rPr>
              <w:fldChar w:fldCharType="begin"/>
            </w:r>
            <w:r w:rsidR="000D292E">
              <w:rPr>
                <w:webHidden/>
              </w:rPr>
              <w:instrText xml:space="preserve"> PAGEREF _Toc133487874 \h </w:instrText>
            </w:r>
            <w:r w:rsidR="000D292E">
              <w:rPr>
                <w:webHidden/>
              </w:rPr>
            </w:r>
            <w:r w:rsidR="000D292E">
              <w:rPr>
                <w:webHidden/>
              </w:rPr>
              <w:fldChar w:fldCharType="separate"/>
            </w:r>
            <w:r w:rsidR="001B08DD">
              <w:rPr>
                <w:webHidden/>
              </w:rPr>
              <w:t>131</w:t>
            </w:r>
            <w:r w:rsidR="000D292E">
              <w:rPr>
                <w:webHidden/>
              </w:rPr>
              <w:fldChar w:fldCharType="end"/>
            </w:r>
          </w:hyperlink>
        </w:p>
        <w:p w14:paraId="1A35921A" w14:textId="6299C1EC" w:rsidR="006767FE" w:rsidRPr="00A62F2F" w:rsidRDefault="006767FE">
          <w:pPr>
            <w:rPr>
              <w:rFonts w:ascii="Arial" w:hAnsi="Arial" w:cs="Arial"/>
              <w:sz w:val="24"/>
              <w:szCs w:val="24"/>
            </w:rPr>
          </w:pPr>
          <w:r w:rsidRPr="00A62F2F">
            <w:rPr>
              <w:rFonts w:ascii="Arial" w:hAnsi="Arial" w:cs="Arial"/>
              <w:b/>
              <w:bCs/>
              <w:noProof/>
              <w:sz w:val="24"/>
              <w:szCs w:val="24"/>
            </w:rPr>
            <w:fldChar w:fldCharType="end"/>
          </w:r>
        </w:p>
      </w:sdtContent>
    </w:sdt>
    <w:p w14:paraId="1432B8BA" w14:textId="77777777" w:rsidR="006767FE" w:rsidRPr="00A62F2F" w:rsidRDefault="006767FE">
      <w:pPr>
        <w:rPr>
          <w:rFonts w:ascii="Arial" w:hAnsi="Arial" w:cs="Arial"/>
          <w:sz w:val="24"/>
          <w:szCs w:val="24"/>
        </w:rPr>
      </w:pPr>
    </w:p>
    <w:p w14:paraId="78E583C5" w14:textId="77777777" w:rsidR="00766E6D" w:rsidRPr="00A62F2F" w:rsidRDefault="00766E6D">
      <w:pPr>
        <w:rPr>
          <w:rFonts w:ascii="Arial" w:hAnsi="Arial" w:cs="Arial"/>
          <w:sz w:val="24"/>
          <w:szCs w:val="24"/>
        </w:rPr>
      </w:pPr>
    </w:p>
    <w:p w14:paraId="17FD125B" w14:textId="77777777" w:rsidR="00766E6D" w:rsidRPr="00A62F2F" w:rsidRDefault="00766E6D">
      <w:pPr>
        <w:rPr>
          <w:rFonts w:ascii="Arial" w:hAnsi="Arial" w:cs="Arial"/>
          <w:sz w:val="24"/>
          <w:szCs w:val="24"/>
        </w:rPr>
      </w:pPr>
    </w:p>
    <w:p w14:paraId="62B5F536" w14:textId="77777777" w:rsidR="00766E6D" w:rsidRPr="00A62F2F" w:rsidRDefault="00766E6D">
      <w:pPr>
        <w:rPr>
          <w:rFonts w:ascii="Arial" w:hAnsi="Arial" w:cs="Arial"/>
          <w:sz w:val="24"/>
          <w:szCs w:val="24"/>
        </w:rPr>
      </w:pPr>
    </w:p>
    <w:p w14:paraId="798D15BF" w14:textId="77777777" w:rsidR="00766E6D" w:rsidRPr="00A62F2F" w:rsidRDefault="00766E6D">
      <w:pPr>
        <w:rPr>
          <w:rFonts w:ascii="Arial" w:hAnsi="Arial" w:cs="Arial"/>
          <w:sz w:val="24"/>
          <w:szCs w:val="24"/>
        </w:rPr>
      </w:pPr>
    </w:p>
    <w:p w14:paraId="34882744" w14:textId="77777777" w:rsidR="00766E6D" w:rsidRPr="00A62F2F" w:rsidRDefault="00766E6D">
      <w:pPr>
        <w:rPr>
          <w:rFonts w:ascii="Arial" w:hAnsi="Arial" w:cs="Arial"/>
          <w:sz w:val="24"/>
          <w:szCs w:val="24"/>
        </w:rPr>
      </w:pPr>
    </w:p>
    <w:p w14:paraId="66571E50" w14:textId="77777777" w:rsidR="00766E6D" w:rsidRPr="00A62F2F" w:rsidRDefault="00766E6D">
      <w:pPr>
        <w:rPr>
          <w:rFonts w:ascii="Arial" w:hAnsi="Arial" w:cs="Arial"/>
          <w:sz w:val="24"/>
          <w:szCs w:val="24"/>
        </w:rPr>
      </w:pPr>
    </w:p>
    <w:p w14:paraId="3732CF43" w14:textId="77777777" w:rsidR="00766E6D" w:rsidRPr="00A62F2F" w:rsidRDefault="00766E6D">
      <w:pPr>
        <w:rPr>
          <w:rFonts w:ascii="Arial" w:hAnsi="Arial" w:cs="Arial"/>
          <w:sz w:val="24"/>
          <w:szCs w:val="24"/>
        </w:rPr>
      </w:pPr>
    </w:p>
    <w:p w14:paraId="3345FBE8" w14:textId="77777777" w:rsidR="00766E6D" w:rsidRPr="00A62F2F" w:rsidRDefault="00766E6D">
      <w:pPr>
        <w:rPr>
          <w:rFonts w:ascii="Arial" w:hAnsi="Arial" w:cs="Arial"/>
          <w:sz w:val="24"/>
          <w:szCs w:val="24"/>
        </w:rPr>
      </w:pPr>
    </w:p>
    <w:p w14:paraId="1EDDC076" w14:textId="77777777" w:rsidR="00766E6D" w:rsidRPr="00A62F2F" w:rsidRDefault="00766E6D">
      <w:pPr>
        <w:rPr>
          <w:rFonts w:ascii="Arial" w:hAnsi="Arial" w:cs="Arial"/>
          <w:sz w:val="24"/>
          <w:szCs w:val="24"/>
        </w:rPr>
      </w:pPr>
    </w:p>
    <w:p w14:paraId="3C2D25CA" w14:textId="77777777" w:rsidR="00766E6D" w:rsidRDefault="00766E6D">
      <w:pPr>
        <w:rPr>
          <w:rFonts w:ascii="Arial" w:hAnsi="Arial" w:cs="Arial"/>
          <w:sz w:val="24"/>
          <w:szCs w:val="24"/>
        </w:rPr>
      </w:pPr>
    </w:p>
    <w:p w14:paraId="2B0F95B1" w14:textId="77777777" w:rsidR="00226A16" w:rsidRDefault="00226A16">
      <w:pPr>
        <w:rPr>
          <w:rFonts w:ascii="Arial" w:hAnsi="Arial" w:cs="Arial"/>
          <w:sz w:val="24"/>
          <w:szCs w:val="24"/>
        </w:rPr>
      </w:pPr>
    </w:p>
    <w:p w14:paraId="0FEE82F1" w14:textId="77777777" w:rsidR="00226A16" w:rsidRDefault="00226A16">
      <w:pPr>
        <w:rPr>
          <w:rFonts w:ascii="Arial" w:hAnsi="Arial" w:cs="Arial"/>
          <w:sz w:val="24"/>
          <w:szCs w:val="24"/>
        </w:rPr>
      </w:pPr>
    </w:p>
    <w:p w14:paraId="4C2210A5" w14:textId="77777777" w:rsidR="00226A16" w:rsidRDefault="00226A16">
      <w:pPr>
        <w:rPr>
          <w:rFonts w:ascii="Arial" w:hAnsi="Arial" w:cs="Arial"/>
          <w:sz w:val="24"/>
          <w:szCs w:val="24"/>
        </w:rPr>
      </w:pPr>
    </w:p>
    <w:p w14:paraId="51E57384" w14:textId="77777777" w:rsidR="00BC1C17" w:rsidRDefault="00BC1C17">
      <w:pPr>
        <w:rPr>
          <w:rFonts w:ascii="Arial" w:hAnsi="Arial" w:cs="Arial"/>
          <w:sz w:val="24"/>
          <w:szCs w:val="24"/>
        </w:rPr>
      </w:pPr>
    </w:p>
    <w:p w14:paraId="6A8D662B" w14:textId="77777777" w:rsidR="00436994" w:rsidRPr="00A62F2F" w:rsidRDefault="00436994">
      <w:pPr>
        <w:rPr>
          <w:rFonts w:ascii="Arial" w:hAnsi="Arial" w:cs="Arial"/>
          <w:sz w:val="24"/>
          <w:szCs w:val="24"/>
        </w:rPr>
      </w:pPr>
    </w:p>
    <w:p w14:paraId="4D9569F2" w14:textId="77777777" w:rsidR="006767FE" w:rsidRPr="00A62F2F" w:rsidRDefault="006767FE" w:rsidP="006767FE">
      <w:pPr>
        <w:rPr>
          <w:rFonts w:ascii="Arial" w:eastAsiaTheme="majorEastAsia" w:hAnsi="Arial" w:cs="Arial"/>
          <w:color w:val="2E74B5" w:themeColor="accent1" w:themeShade="BF"/>
          <w:sz w:val="24"/>
          <w:szCs w:val="24"/>
        </w:rPr>
      </w:pPr>
    </w:p>
    <w:p w14:paraId="596511FB" w14:textId="77777777" w:rsidR="00027769" w:rsidRDefault="00027769">
      <w:pPr>
        <w:rPr>
          <w:rFonts w:eastAsiaTheme="majorEastAsia" w:cstheme="minorHAnsi"/>
          <w:b/>
        </w:rPr>
      </w:pPr>
      <w:r>
        <w:br w:type="page"/>
      </w:r>
    </w:p>
    <w:p w14:paraId="780E3916" w14:textId="551673CB" w:rsidR="00766E6D" w:rsidRPr="00A62F2F" w:rsidRDefault="00766E6D" w:rsidP="00027769">
      <w:pPr>
        <w:pStyle w:val="Heading1"/>
      </w:pPr>
      <w:bookmarkStart w:id="4" w:name="_Toc133487763"/>
      <w:r w:rsidRPr="00A62F2F">
        <w:lastRenderedPageBreak/>
        <w:t>Thesis Abstract</w:t>
      </w:r>
      <w:bookmarkEnd w:id="4"/>
    </w:p>
    <w:p w14:paraId="5E4CA4D5" w14:textId="1B2D6BAF" w:rsidR="004B29D7" w:rsidRDefault="00A62F2F" w:rsidP="00027769">
      <w:pPr>
        <w:spacing w:line="360" w:lineRule="auto"/>
        <w:ind w:firstLine="720"/>
        <w:jc w:val="both"/>
        <w:rPr>
          <w:rFonts w:cs="Arial"/>
        </w:rPr>
      </w:pPr>
      <w:r w:rsidRPr="00E2226A">
        <w:rPr>
          <w:rFonts w:cs="Arial"/>
        </w:rPr>
        <w:t>Paper 1 is a literature review of</w:t>
      </w:r>
      <w:r w:rsidR="00967ECF">
        <w:rPr>
          <w:rFonts w:cs="Arial"/>
        </w:rPr>
        <w:t xml:space="preserve"> 7 databases, exploring</w:t>
      </w:r>
      <w:r w:rsidR="00EF1D2E">
        <w:rPr>
          <w:rFonts w:cs="Arial"/>
        </w:rPr>
        <w:t xml:space="preserve"> 17 studies investigating </w:t>
      </w:r>
      <w:r w:rsidR="00967ECF">
        <w:rPr>
          <w:rFonts w:cs="Arial"/>
        </w:rPr>
        <w:t xml:space="preserve">intolerance of uncertainty (IU) as a potential predictor of post-traumatic stress symptoms </w:t>
      </w:r>
      <w:r w:rsidR="00EF1D2E">
        <w:rPr>
          <w:rFonts w:cs="Arial"/>
        </w:rPr>
        <w:t xml:space="preserve">in community populations </w:t>
      </w:r>
      <w:r w:rsidR="00967ECF">
        <w:rPr>
          <w:rFonts w:cs="Arial"/>
        </w:rPr>
        <w:t>(PTSS)</w:t>
      </w:r>
      <w:r w:rsidRPr="00E2226A">
        <w:rPr>
          <w:rFonts w:cs="Arial"/>
        </w:rPr>
        <w:t xml:space="preserve">. </w:t>
      </w:r>
      <w:r w:rsidR="00EF1D2E">
        <w:rPr>
          <w:rFonts w:cs="Arial"/>
        </w:rPr>
        <w:t>A modified AXIS critical appraisal tool was used, followed by narrative synthesis. I</w:t>
      </w:r>
      <w:r w:rsidR="00EF1D2E" w:rsidRPr="00E2226A">
        <w:rPr>
          <w:rFonts w:cs="Arial"/>
        </w:rPr>
        <w:t xml:space="preserve">ncluded papers </w:t>
      </w:r>
      <w:r w:rsidR="00EF1D2E">
        <w:rPr>
          <w:rFonts w:cs="Arial"/>
        </w:rPr>
        <w:t>were</w:t>
      </w:r>
      <w:r w:rsidR="00EF1D2E" w:rsidRPr="00E2226A">
        <w:rPr>
          <w:rFonts w:cs="Arial"/>
        </w:rPr>
        <w:t xml:space="preserve"> of good quality</w:t>
      </w:r>
      <w:r w:rsidR="00EF1D2E">
        <w:rPr>
          <w:rFonts w:cs="Arial"/>
        </w:rPr>
        <w:t xml:space="preserve">. </w:t>
      </w:r>
      <w:r w:rsidRPr="00E2226A">
        <w:rPr>
          <w:rFonts w:cs="Arial"/>
        </w:rPr>
        <w:t xml:space="preserve">Results suggested that IU was consistently correlated with PTSS, significantly predicting higher PTSS scores in nine out of 12 cross-sectional survey studies and two out of </w:t>
      </w:r>
      <w:r w:rsidR="00EF1D2E">
        <w:rPr>
          <w:rFonts w:cs="Arial"/>
        </w:rPr>
        <w:t>five prospective survey studies</w:t>
      </w:r>
      <w:r w:rsidR="00834545" w:rsidRPr="00E2226A">
        <w:rPr>
          <w:rFonts w:cs="Arial"/>
        </w:rPr>
        <w:t xml:space="preserve">. </w:t>
      </w:r>
      <w:r w:rsidRPr="00E2226A">
        <w:rPr>
          <w:rFonts w:cs="Arial"/>
        </w:rPr>
        <w:t>Findings suggested that more research, particularly with longitudinal designs, across different populations would be beneficial</w:t>
      </w:r>
      <w:r w:rsidR="00EF1D2E">
        <w:rPr>
          <w:rFonts w:cs="Arial"/>
        </w:rPr>
        <w:t>, whilst tentatively suggesting that therapeutic interventions targeting IU may be of benefit for people with PTSS</w:t>
      </w:r>
      <w:r w:rsidRPr="00E2226A">
        <w:rPr>
          <w:rFonts w:cs="Arial"/>
        </w:rPr>
        <w:t>.</w:t>
      </w:r>
    </w:p>
    <w:p w14:paraId="1DDB7169" w14:textId="77777777" w:rsidR="00957B1C" w:rsidRDefault="00E2226A" w:rsidP="00027769">
      <w:pPr>
        <w:spacing w:line="360" w:lineRule="auto"/>
        <w:ind w:firstLine="720"/>
        <w:jc w:val="both"/>
        <w:rPr>
          <w:rFonts w:cs="Arial"/>
        </w:rPr>
      </w:pPr>
      <w:r>
        <w:rPr>
          <w:rFonts w:cs="Arial"/>
        </w:rPr>
        <w:t xml:space="preserve"> </w:t>
      </w:r>
      <w:r w:rsidR="00A62F2F" w:rsidRPr="00E2226A">
        <w:rPr>
          <w:rFonts w:cs="Arial"/>
        </w:rPr>
        <w:t xml:space="preserve">Paper 2 is a </w:t>
      </w:r>
      <w:r w:rsidR="00834545" w:rsidRPr="00E2226A">
        <w:rPr>
          <w:rFonts w:cs="Arial"/>
        </w:rPr>
        <w:t>cross-sectional, observational</w:t>
      </w:r>
      <w:r w:rsidR="00EF1D2E">
        <w:rPr>
          <w:rFonts w:cs="Arial"/>
        </w:rPr>
        <w:t>,</w:t>
      </w:r>
      <w:r w:rsidR="00834545" w:rsidRPr="00E2226A">
        <w:rPr>
          <w:rFonts w:cs="Arial"/>
        </w:rPr>
        <w:t xml:space="preserve"> study investigating psychological factors in </w:t>
      </w:r>
      <w:r w:rsidR="00EF1D2E">
        <w:rPr>
          <w:rFonts w:cs="Arial"/>
        </w:rPr>
        <w:t xml:space="preserve">90 </w:t>
      </w:r>
      <w:r w:rsidR="00834545" w:rsidRPr="00E2226A">
        <w:rPr>
          <w:rFonts w:cs="Arial"/>
        </w:rPr>
        <w:t xml:space="preserve">participants with a diagnosis of epilepsy </w:t>
      </w:r>
      <w:r w:rsidR="00EF1D2E">
        <w:rPr>
          <w:rFonts w:cs="Arial"/>
        </w:rPr>
        <w:t xml:space="preserve">(n=44) </w:t>
      </w:r>
      <w:r w:rsidR="00834545" w:rsidRPr="00E2226A">
        <w:rPr>
          <w:rFonts w:cs="Arial"/>
        </w:rPr>
        <w:t>or dissociative seizures</w:t>
      </w:r>
      <w:r w:rsidR="00EF1D2E">
        <w:rPr>
          <w:rFonts w:cs="Arial"/>
        </w:rPr>
        <w:t xml:space="preserve"> (n=46)</w:t>
      </w:r>
      <w:r w:rsidR="00834545" w:rsidRPr="00E2226A">
        <w:rPr>
          <w:rFonts w:cs="Arial"/>
        </w:rPr>
        <w:t>. The study involved completing</w:t>
      </w:r>
      <w:r w:rsidR="00EF1D2E">
        <w:rPr>
          <w:rFonts w:cs="Arial"/>
        </w:rPr>
        <w:t xml:space="preserve"> online</w:t>
      </w:r>
      <w:r w:rsidR="00834545" w:rsidRPr="00E2226A">
        <w:rPr>
          <w:rFonts w:cs="Arial"/>
        </w:rPr>
        <w:t xml:space="preserve"> measures of </w:t>
      </w:r>
      <w:r w:rsidR="00EF1D2E">
        <w:rPr>
          <w:rFonts w:cs="Arial"/>
        </w:rPr>
        <w:t>IU</w:t>
      </w:r>
      <w:r w:rsidR="00834545" w:rsidRPr="00E2226A">
        <w:rPr>
          <w:rFonts w:cs="Arial"/>
        </w:rPr>
        <w:t>, anxiety sensitivity</w:t>
      </w:r>
      <w:r w:rsidR="00EF1D2E">
        <w:rPr>
          <w:rFonts w:cs="Arial"/>
        </w:rPr>
        <w:t xml:space="preserve"> (AS)</w:t>
      </w:r>
      <w:r w:rsidR="00834545" w:rsidRPr="00E2226A">
        <w:rPr>
          <w:rFonts w:cs="Arial"/>
        </w:rPr>
        <w:t>, anxiety, depression, and somatisation.</w:t>
      </w:r>
      <w:r w:rsidR="00957B1C">
        <w:rPr>
          <w:rFonts w:cs="Arial"/>
        </w:rPr>
        <w:t xml:space="preserve"> Participants also completed a</w:t>
      </w:r>
      <w:r w:rsidR="00834545" w:rsidRPr="00E2226A">
        <w:rPr>
          <w:rFonts w:cs="Arial"/>
        </w:rPr>
        <w:t xml:space="preserve"> questionnaire about demographic information and seizure condition factors, such as seizure frequency. </w:t>
      </w:r>
      <w:r w:rsidR="00EF1D2E">
        <w:rPr>
          <w:rFonts w:cs="Arial"/>
        </w:rPr>
        <w:t>S</w:t>
      </w:r>
      <w:r w:rsidR="00834545" w:rsidRPr="00E2226A">
        <w:rPr>
          <w:rFonts w:cs="Arial"/>
        </w:rPr>
        <w:t xml:space="preserve">cores on all measures were higher for people with dissociative seizures </w:t>
      </w:r>
      <w:r w:rsidR="00EF1D2E">
        <w:rPr>
          <w:rFonts w:cs="Arial"/>
        </w:rPr>
        <w:t xml:space="preserve">but not </w:t>
      </w:r>
      <w:r w:rsidR="00834545" w:rsidRPr="00E2226A">
        <w:rPr>
          <w:rFonts w:cs="Arial"/>
        </w:rPr>
        <w:t xml:space="preserve">to a statistically significant extent. </w:t>
      </w:r>
      <w:r w:rsidR="004B5AC7">
        <w:rPr>
          <w:rFonts w:cs="Arial"/>
        </w:rPr>
        <w:t xml:space="preserve">Multiple regression </w:t>
      </w:r>
      <w:r w:rsidR="004149BA" w:rsidRPr="00E2226A">
        <w:rPr>
          <w:rFonts w:cs="Arial"/>
        </w:rPr>
        <w:t xml:space="preserve">analysis </w:t>
      </w:r>
      <w:r w:rsidR="0079012D">
        <w:rPr>
          <w:rFonts w:cs="Arial"/>
        </w:rPr>
        <w:t>investigated</w:t>
      </w:r>
      <w:r w:rsidR="004149BA" w:rsidRPr="00E2226A">
        <w:rPr>
          <w:rFonts w:cs="Arial"/>
        </w:rPr>
        <w:t xml:space="preserve"> whether </w:t>
      </w:r>
      <w:r w:rsidR="00EF1D2E">
        <w:rPr>
          <w:rFonts w:cs="Arial"/>
        </w:rPr>
        <w:t>IU</w:t>
      </w:r>
      <w:r w:rsidR="004149BA" w:rsidRPr="00E2226A">
        <w:rPr>
          <w:rFonts w:cs="Arial"/>
        </w:rPr>
        <w:t xml:space="preserve">, </w:t>
      </w:r>
      <w:r w:rsidR="00EF1D2E">
        <w:rPr>
          <w:rFonts w:cs="Arial"/>
        </w:rPr>
        <w:t>AS</w:t>
      </w:r>
      <w:r w:rsidR="004149BA" w:rsidRPr="00E2226A">
        <w:rPr>
          <w:rFonts w:cs="Arial"/>
        </w:rPr>
        <w:t xml:space="preserve">, anxiety, depression, or diagnosis of seizure condition predicted somatisation or seizure frequency. </w:t>
      </w:r>
      <w:r w:rsidR="004B5AC7">
        <w:rPr>
          <w:rFonts w:cs="Arial"/>
        </w:rPr>
        <w:t>O</w:t>
      </w:r>
      <w:r w:rsidR="004149BA" w:rsidRPr="00E2226A">
        <w:rPr>
          <w:rFonts w:cs="Arial"/>
        </w:rPr>
        <w:t xml:space="preserve">nly depression </w:t>
      </w:r>
      <w:r w:rsidR="004B5AC7">
        <w:rPr>
          <w:rFonts w:cs="Arial"/>
        </w:rPr>
        <w:t xml:space="preserve">predicted somatisation and </w:t>
      </w:r>
      <w:r w:rsidR="004149BA" w:rsidRPr="00E2226A">
        <w:rPr>
          <w:rFonts w:cs="Arial"/>
        </w:rPr>
        <w:t>no variables predicted seizure frequency. The study found high mean</w:t>
      </w:r>
      <w:r w:rsidR="0079012D">
        <w:rPr>
          <w:rFonts w:cs="Arial"/>
        </w:rPr>
        <w:t>s for</w:t>
      </w:r>
      <w:r w:rsidR="004149BA" w:rsidRPr="00E2226A">
        <w:rPr>
          <w:rFonts w:cs="Arial"/>
        </w:rPr>
        <w:t xml:space="preserve"> intolerance of uncertainty and anxiety sensitivity, and moderate levels of anxiety, depression, and somatisation in</w:t>
      </w:r>
      <w:r>
        <w:rPr>
          <w:rFonts w:cs="Arial"/>
        </w:rPr>
        <w:t xml:space="preserve"> </w:t>
      </w:r>
      <w:r w:rsidR="004149BA" w:rsidRPr="00E2226A">
        <w:rPr>
          <w:rFonts w:cs="Arial"/>
        </w:rPr>
        <w:t>participants</w:t>
      </w:r>
      <w:r>
        <w:rPr>
          <w:rFonts w:cs="Arial"/>
        </w:rPr>
        <w:t xml:space="preserve"> with </w:t>
      </w:r>
      <w:r w:rsidR="004149BA" w:rsidRPr="00E2226A">
        <w:rPr>
          <w:rFonts w:cs="Arial"/>
        </w:rPr>
        <w:t>epilepsy and dissociative seizures. Findings suggest that for people with seizure conditions experiencing somatisation, intervention</w:t>
      </w:r>
      <w:r w:rsidR="0079012D">
        <w:rPr>
          <w:rFonts w:cs="Arial"/>
        </w:rPr>
        <w:t>s targeting</w:t>
      </w:r>
      <w:r w:rsidR="004149BA" w:rsidRPr="00E2226A">
        <w:rPr>
          <w:rFonts w:cs="Arial"/>
        </w:rPr>
        <w:t xml:space="preserve"> depression could be most impactful</w:t>
      </w:r>
      <w:r w:rsidR="0079012D">
        <w:rPr>
          <w:rFonts w:cs="Arial"/>
        </w:rPr>
        <w:t>,</w:t>
      </w:r>
      <w:r w:rsidR="004149BA" w:rsidRPr="00E2226A">
        <w:rPr>
          <w:rFonts w:cs="Arial"/>
        </w:rPr>
        <w:t xml:space="preserve"> relative to other variables in this study. A key limitation was the collection and analysis of seizure frequency data, reflective of broader issues in the literature.</w:t>
      </w:r>
    </w:p>
    <w:p w14:paraId="21D31797" w14:textId="67C8CFDE" w:rsidR="005B760F" w:rsidRDefault="0079012D" w:rsidP="00027769">
      <w:pPr>
        <w:spacing w:line="360" w:lineRule="auto"/>
        <w:ind w:firstLine="720"/>
        <w:jc w:val="both"/>
        <w:rPr>
          <w:rFonts w:cs="Arial"/>
        </w:rPr>
      </w:pPr>
      <w:r>
        <w:rPr>
          <w:rFonts w:cs="Arial"/>
        </w:rPr>
        <w:t xml:space="preserve"> </w:t>
      </w:r>
      <w:r w:rsidR="00A62F2F" w:rsidRPr="00E2226A">
        <w:rPr>
          <w:rFonts w:cs="Arial"/>
        </w:rPr>
        <w:t>Paper 3 is an executive summary</w:t>
      </w:r>
      <w:r w:rsidR="004149BA" w:rsidRPr="00E2226A">
        <w:rPr>
          <w:rFonts w:cs="Arial"/>
        </w:rPr>
        <w:t xml:space="preserve"> of paper two, designed for service users and the people supporting them.</w:t>
      </w:r>
    </w:p>
    <w:p w14:paraId="48AE588E" w14:textId="0CF8B112" w:rsidR="00436994" w:rsidRDefault="00436994" w:rsidP="00027769">
      <w:pPr>
        <w:spacing w:line="360" w:lineRule="auto"/>
        <w:jc w:val="both"/>
        <w:rPr>
          <w:rFonts w:cs="Arial"/>
        </w:rPr>
      </w:pPr>
    </w:p>
    <w:p w14:paraId="638816F3" w14:textId="311B973B" w:rsidR="00436994" w:rsidRDefault="00436994" w:rsidP="00747028">
      <w:pPr>
        <w:spacing w:line="360" w:lineRule="auto"/>
        <w:ind w:firstLine="720"/>
        <w:rPr>
          <w:rFonts w:cs="Arial"/>
        </w:rPr>
      </w:pPr>
    </w:p>
    <w:p w14:paraId="0A856E15" w14:textId="77777777" w:rsidR="00241C9E" w:rsidRPr="00226A16" w:rsidRDefault="00241C9E" w:rsidP="00747028">
      <w:pPr>
        <w:spacing w:line="360" w:lineRule="auto"/>
        <w:ind w:firstLine="720"/>
        <w:rPr>
          <w:rFonts w:cs="Arial"/>
        </w:rPr>
      </w:pPr>
    </w:p>
    <w:p w14:paraId="065F958B" w14:textId="77777777" w:rsidR="00241C9E" w:rsidRDefault="00241C9E" w:rsidP="00027769">
      <w:pPr>
        <w:pStyle w:val="Heading1"/>
      </w:pPr>
    </w:p>
    <w:p w14:paraId="3E71E944" w14:textId="77777777" w:rsidR="00241C9E" w:rsidRDefault="00241C9E" w:rsidP="00027769">
      <w:pPr>
        <w:pStyle w:val="Heading1"/>
      </w:pPr>
    </w:p>
    <w:p w14:paraId="5798BCC3" w14:textId="77777777" w:rsidR="00241C9E" w:rsidRDefault="00241C9E" w:rsidP="00027769">
      <w:pPr>
        <w:pStyle w:val="Heading1"/>
      </w:pPr>
    </w:p>
    <w:p w14:paraId="05D1A906" w14:textId="77777777" w:rsidR="00027769" w:rsidRDefault="00027769" w:rsidP="00027769">
      <w:pPr>
        <w:pStyle w:val="Heading1"/>
      </w:pPr>
    </w:p>
    <w:p w14:paraId="1F7DCC33" w14:textId="3005230C" w:rsidR="00027769" w:rsidRDefault="00027769" w:rsidP="00027769">
      <w:pPr>
        <w:pStyle w:val="Heading1"/>
      </w:pPr>
    </w:p>
    <w:p w14:paraId="61C29228" w14:textId="77777777" w:rsidR="009A588D" w:rsidRDefault="009A588D" w:rsidP="009A588D">
      <w:pPr>
        <w:pStyle w:val="Heading1"/>
      </w:pPr>
      <w:bookmarkStart w:id="5" w:name="_Toc133487764"/>
      <w:r>
        <w:t>Paper 1: Review</w:t>
      </w:r>
      <w:bookmarkEnd w:id="5"/>
    </w:p>
    <w:p w14:paraId="76E56089" w14:textId="372A0304" w:rsidR="005B760F" w:rsidRPr="00AC59B9" w:rsidRDefault="005B760F" w:rsidP="009A588D">
      <w:pPr>
        <w:pStyle w:val="Heading1"/>
      </w:pPr>
      <w:r>
        <w:t xml:space="preserve"> </w:t>
      </w:r>
      <w:bookmarkStart w:id="6" w:name="_Toc133487765"/>
      <w:r>
        <w:t>What is the Relationship between Intolerance of Uncertainty and Post-Traumatic Stress Symptom Severity in Community Populations?</w:t>
      </w:r>
      <w:bookmarkEnd w:id="6"/>
    </w:p>
    <w:p w14:paraId="58B55610" w14:textId="77777777" w:rsidR="005B760F" w:rsidRDefault="005B760F" w:rsidP="00A53770">
      <w:pPr>
        <w:pStyle w:val="Heading2"/>
      </w:pPr>
    </w:p>
    <w:p w14:paraId="501234AF" w14:textId="0585FF37" w:rsidR="00226A16" w:rsidRDefault="00226A16" w:rsidP="004F5221">
      <w:pPr>
        <w:jc w:val="center"/>
      </w:pPr>
    </w:p>
    <w:p w14:paraId="009C8DF1" w14:textId="77777777" w:rsidR="00027769" w:rsidRDefault="00027769" w:rsidP="004F5221">
      <w:pPr>
        <w:jc w:val="center"/>
      </w:pPr>
    </w:p>
    <w:p w14:paraId="657C013A" w14:textId="53B05003" w:rsidR="00226A16" w:rsidRDefault="00226A16" w:rsidP="00027769">
      <w:pPr>
        <w:spacing w:line="360" w:lineRule="auto"/>
        <w:jc w:val="center"/>
      </w:pPr>
      <w:r>
        <w:t>Word Count:</w:t>
      </w:r>
      <w:r w:rsidR="009427A4">
        <w:t xml:space="preserve"> 7896</w:t>
      </w:r>
      <w:r w:rsidR="007617A5">
        <w:t xml:space="preserve"> (excluding title page, references, and appendices)</w:t>
      </w:r>
    </w:p>
    <w:p w14:paraId="0AE9C725" w14:textId="6D2DBB1E" w:rsidR="004F5221" w:rsidRDefault="004F5221" w:rsidP="004F5221">
      <w:pPr>
        <w:spacing w:line="360" w:lineRule="auto"/>
        <w:jc w:val="center"/>
      </w:pPr>
    </w:p>
    <w:p w14:paraId="0E705800" w14:textId="77777777" w:rsidR="00027769" w:rsidRDefault="00027769" w:rsidP="004F5221">
      <w:pPr>
        <w:spacing w:line="360" w:lineRule="auto"/>
        <w:jc w:val="center"/>
      </w:pPr>
    </w:p>
    <w:p w14:paraId="6147FE3C" w14:textId="71105DC9" w:rsidR="00226A16" w:rsidRDefault="00226A16" w:rsidP="004F5221">
      <w:pPr>
        <w:spacing w:line="360" w:lineRule="auto"/>
        <w:jc w:val="center"/>
      </w:pPr>
      <w:r>
        <w:t xml:space="preserve">This article has been written up for potential publication </w:t>
      </w:r>
      <w:r w:rsidR="00967ECF">
        <w:t>in</w:t>
      </w:r>
      <w:r>
        <w:t xml:space="preserve"> the Journal of T</w:t>
      </w:r>
      <w:r w:rsidR="007617A5">
        <w:t>r</w:t>
      </w:r>
      <w:r>
        <w:t>aumatic Stress</w:t>
      </w:r>
      <w:r w:rsidR="007617A5">
        <w:t xml:space="preserve"> (Appendix A)</w:t>
      </w:r>
      <w:r>
        <w:t>. Due to this review being initially submitted as part of a dissertation, needing to meet university marking criteria</w:t>
      </w:r>
      <w:r w:rsidR="007617A5">
        <w:t>, changes will be made to formatting and word count following university submission.</w:t>
      </w:r>
    </w:p>
    <w:p w14:paraId="21F140C8" w14:textId="77777777" w:rsidR="00F67A85" w:rsidRDefault="00F67A85" w:rsidP="00F67A85">
      <w:pPr>
        <w:spacing w:line="480" w:lineRule="auto"/>
        <w:ind w:firstLine="720"/>
      </w:pPr>
    </w:p>
    <w:p w14:paraId="3F4EEB3C" w14:textId="77777777" w:rsidR="00F67A85" w:rsidRDefault="00F67A85" w:rsidP="00F67A85">
      <w:pPr>
        <w:spacing w:line="480" w:lineRule="auto"/>
        <w:ind w:firstLine="720"/>
      </w:pPr>
    </w:p>
    <w:p w14:paraId="51A32793" w14:textId="0D1114CB" w:rsidR="00747028" w:rsidRDefault="00747028" w:rsidP="00F67A85">
      <w:pPr>
        <w:spacing w:line="480" w:lineRule="auto"/>
        <w:ind w:firstLine="720"/>
      </w:pPr>
    </w:p>
    <w:p w14:paraId="63575C1A" w14:textId="1F69D2F0" w:rsidR="00241C9E" w:rsidRDefault="00241C9E" w:rsidP="00F67A85">
      <w:pPr>
        <w:spacing w:line="480" w:lineRule="auto"/>
        <w:ind w:firstLine="720"/>
      </w:pPr>
    </w:p>
    <w:p w14:paraId="39CDF7F6" w14:textId="43A5ADD8" w:rsidR="00241C9E" w:rsidRDefault="00241C9E" w:rsidP="00F67A85">
      <w:pPr>
        <w:spacing w:line="480" w:lineRule="auto"/>
        <w:ind w:firstLine="720"/>
      </w:pPr>
    </w:p>
    <w:p w14:paraId="1D647524" w14:textId="77777777" w:rsidR="00027769" w:rsidRDefault="00027769">
      <w:pPr>
        <w:rPr>
          <w:rFonts w:eastAsiaTheme="majorEastAsia" w:cstheme="minorHAnsi"/>
          <w:b/>
        </w:rPr>
      </w:pPr>
      <w:r>
        <w:br w:type="page"/>
      </w:r>
    </w:p>
    <w:p w14:paraId="7B3216E1" w14:textId="12DF58F5" w:rsidR="005B760F" w:rsidRPr="000C248D" w:rsidRDefault="005B760F" w:rsidP="00027769">
      <w:pPr>
        <w:pStyle w:val="Heading1"/>
      </w:pPr>
      <w:bookmarkStart w:id="7" w:name="_Toc133487766"/>
      <w:r w:rsidRPr="000C248D">
        <w:lastRenderedPageBreak/>
        <w:t>Abstract</w:t>
      </w:r>
      <w:bookmarkEnd w:id="7"/>
    </w:p>
    <w:p w14:paraId="4BA4A5D5" w14:textId="3AFA1FAB" w:rsidR="005B760F" w:rsidRDefault="005B760F" w:rsidP="00A53770">
      <w:pPr>
        <w:pStyle w:val="Heading2"/>
      </w:pPr>
      <w:bookmarkStart w:id="8" w:name="_Toc133141495"/>
      <w:bookmarkStart w:id="9" w:name="_Toc133144153"/>
      <w:bookmarkStart w:id="10" w:name="_Toc133487767"/>
      <w:r>
        <w:t>Background</w:t>
      </w:r>
      <w:bookmarkEnd w:id="8"/>
      <w:bookmarkEnd w:id="9"/>
      <w:bookmarkEnd w:id="10"/>
    </w:p>
    <w:p w14:paraId="067AAC08" w14:textId="700D85DE" w:rsidR="005B760F" w:rsidRDefault="005B760F" w:rsidP="004F5221">
      <w:pPr>
        <w:spacing w:line="360" w:lineRule="auto"/>
        <w:ind w:firstLine="720"/>
        <w:jc w:val="both"/>
      </w:pPr>
      <w:r>
        <w:t xml:space="preserve">Intolerance of uncertainty (IU) is a transdiagnostic factor across a range of mental health </w:t>
      </w:r>
      <w:r w:rsidR="004B5AC7">
        <w:t>difficulties</w:t>
      </w:r>
      <w:r>
        <w:t>. Post-traumatic stress disorder (PTSD) is measured through assessment of post-traumatic stress symptoms (PTSS). This review was designed to synthesise and evaluate evidence of the relationship between IU and PTSS and its potential role as a predictor of PTSD severity in community populations.</w:t>
      </w:r>
    </w:p>
    <w:p w14:paraId="2B26659B" w14:textId="77777777" w:rsidR="005B760F" w:rsidRDefault="005B760F" w:rsidP="00A53770">
      <w:pPr>
        <w:pStyle w:val="Heading2"/>
      </w:pPr>
      <w:bookmarkStart w:id="11" w:name="_Toc133141496"/>
      <w:bookmarkStart w:id="12" w:name="_Toc133144154"/>
      <w:bookmarkStart w:id="13" w:name="_Toc133487768"/>
      <w:r>
        <w:t>Method</w:t>
      </w:r>
      <w:bookmarkEnd w:id="11"/>
      <w:bookmarkEnd w:id="12"/>
      <w:bookmarkEnd w:id="13"/>
    </w:p>
    <w:p w14:paraId="7B14B5B6" w14:textId="5C23EC39" w:rsidR="005B760F" w:rsidRDefault="005B760F" w:rsidP="004F5221">
      <w:pPr>
        <w:spacing w:line="360" w:lineRule="auto"/>
        <w:ind w:firstLine="720"/>
        <w:jc w:val="both"/>
      </w:pPr>
      <w:r>
        <w:t>A search of 7 databases was conducted.</w:t>
      </w:r>
      <w:r w:rsidRPr="00B85A20">
        <w:t xml:space="preserve"> </w:t>
      </w:r>
      <w:r>
        <w:t>Data was extracted and selected papers appraised using a modified version of the AXIS critical appraisal tool</w:t>
      </w:r>
      <w:r w:rsidR="004B5AC7">
        <w:t>, leading to a narrative synthesis</w:t>
      </w:r>
      <w:r>
        <w:t>.</w:t>
      </w:r>
    </w:p>
    <w:p w14:paraId="648BEF1E" w14:textId="77777777" w:rsidR="005B760F" w:rsidRDefault="005B760F" w:rsidP="00A53770">
      <w:pPr>
        <w:pStyle w:val="Heading2"/>
      </w:pPr>
      <w:bookmarkStart w:id="14" w:name="_Toc133141497"/>
      <w:bookmarkStart w:id="15" w:name="_Toc133144155"/>
      <w:bookmarkStart w:id="16" w:name="_Toc133487769"/>
      <w:r>
        <w:t>Results</w:t>
      </w:r>
      <w:bookmarkEnd w:id="14"/>
      <w:bookmarkEnd w:id="15"/>
      <w:bookmarkEnd w:id="16"/>
    </w:p>
    <w:p w14:paraId="6761303B" w14:textId="77777777" w:rsidR="005B760F" w:rsidRDefault="005B760F" w:rsidP="004F5221">
      <w:pPr>
        <w:spacing w:line="360" w:lineRule="auto"/>
        <w:ind w:firstLine="720"/>
        <w:jc w:val="both"/>
      </w:pPr>
      <w:r>
        <w:t>17 studies met eligibility criteria. IU was consistently correlated with PTSS. Nine out of 12 cross-sectional studies found IU to be a significant factor in models predicting PTSS severity. Three out of five prospective survey studies did not find that IU significantly predicted PTSS. Overall, inhibitory IU appears more closely related to PTSS than prospective IU.</w:t>
      </w:r>
    </w:p>
    <w:p w14:paraId="16843B93" w14:textId="77777777" w:rsidR="005B760F" w:rsidRDefault="005B760F" w:rsidP="00A53770">
      <w:pPr>
        <w:pStyle w:val="Heading2"/>
      </w:pPr>
      <w:bookmarkStart w:id="17" w:name="_Toc133141498"/>
      <w:bookmarkStart w:id="18" w:name="_Toc133144156"/>
      <w:bookmarkStart w:id="19" w:name="_Toc133487770"/>
      <w:r>
        <w:t>Conclusions</w:t>
      </w:r>
      <w:bookmarkEnd w:id="17"/>
      <w:bookmarkEnd w:id="18"/>
      <w:bookmarkEnd w:id="19"/>
    </w:p>
    <w:p w14:paraId="69EE3EB5" w14:textId="77777777" w:rsidR="005B760F" w:rsidRDefault="005B760F" w:rsidP="004F5221">
      <w:pPr>
        <w:spacing w:line="360" w:lineRule="auto"/>
        <w:ind w:firstLine="720"/>
        <w:jc w:val="both"/>
      </w:pPr>
      <w:r>
        <w:t>This review suggests that IU relates to PTSS in a complex, potentially predictive way. Study quality was good. More research is needed to identify the nature of this relationship and how it differs across populations. This could guide developments in interventions for PTSD and PTSS.</w:t>
      </w:r>
    </w:p>
    <w:p w14:paraId="73E88A74" w14:textId="37A683D8" w:rsidR="004F5221" w:rsidRDefault="005B760F" w:rsidP="004F5221">
      <w:pPr>
        <w:spacing w:line="360" w:lineRule="auto"/>
        <w:ind w:firstLine="720"/>
        <w:jc w:val="both"/>
      </w:pPr>
      <w:r>
        <w:t>Keywords: Intolerance of uncertainty, Post-traumatic stress disorder, Post-traumatic stress symptoms, anxiety, review</w:t>
      </w:r>
    </w:p>
    <w:p w14:paraId="0A1CB7EF" w14:textId="77777777" w:rsidR="004F5221" w:rsidRDefault="004F5221">
      <w:r>
        <w:br w:type="page"/>
      </w:r>
    </w:p>
    <w:p w14:paraId="62718274" w14:textId="77777777" w:rsidR="005B760F" w:rsidRDefault="005B760F" w:rsidP="004F5221">
      <w:pPr>
        <w:spacing w:line="360" w:lineRule="auto"/>
        <w:ind w:firstLine="720"/>
      </w:pPr>
    </w:p>
    <w:p w14:paraId="3B148924" w14:textId="77777777" w:rsidR="005B760F" w:rsidRDefault="005B760F" w:rsidP="00027769">
      <w:pPr>
        <w:pStyle w:val="Heading1"/>
      </w:pPr>
      <w:bookmarkStart w:id="20" w:name="_Toc133487771"/>
      <w:r>
        <w:t>Introduction</w:t>
      </w:r>
      <w:bookmarkEnd w:id="20"/>
    </w:p>
    <w:p w14:paraId="1DDDED71" w14:textId="77777777" w:rsidR="005B760F" w:rsidRDefault="005B760F" w:rsidP="004F5221">
      <w:pPr>
        <w:spacing w:line="360" w:lineRule="auto"/>
        <w:ind w:firstLine="720"/>
        <w:jc w:val="both"/>
        <w:rPr>
          <w:rFonts w:cstheme="minorHAnsi"/>
          <w:szCs w:val="24"/>
        </w:rPr>
      </w:pPr>
      <w:r>
        <w:t xml:space="preserve">Intolerance of uncertainty (IU) is a trait resulting in negative interpretations of and responses to uncertainty </w:t>
      </w:r>
      <w:r>
        <w:rPr>
          <w:rFonts w:cstheme="minorHAnsi"/>
          <w:szCs w:val="24"/>
        </w:rPr>
        <w:t xml:space="preserve">(Buhr &amp; Dugas, 2002).  Initially, IU research focused on its relationship with worry and Generalised Anxiety Disorder </w:t>
      </w:r>
      <w:r w:rsidRPr="0014249B">
        <w:rPr>
          <w:rFonts w:cstheme="minorHAnsi"/>
          <w:szCs w:val="24"/>
        </w:rPr>
        <w:t>(</w:t>
      </w:r>
      <w:r>
        <w:rPr>
          <w:rFonts w:cstheme="minorHAnsi"/>
          <w:szCs w:val="24"/>
        </w:rPr>
        <w:t xml:space="preserve">GAD; </w:t>
      </w:r>
      <w:r w:rsidRPr="0014249B">
        <w:rPr>
          <w:rFonts w:cstheme="minorHAnsi"/>
          <w:szCs w:val="24"/>
        </w:rPr>
        <w:t>Carleton, 2012)</w:t>
      </w:r>
      <w:r>
        <w:rPr>
          <w:rFonts w:cstheme="minorHAnsi"/>
          <w:szCs w:val="24"/>
        </w:rPr>
        <w:t xml:space="preserve">. Subsequently, there has been increased interest in IU’s role as a transdiagnostic factor across a range of conditions including obsessive-compulsive disorder </w:t>
      </w:r>
      <w:r w:rsidRPr="000F4964">
        <w:rPr>
          <w:rFonts w:cstheme="minorHAnsi"/>
          <w:szCs w:val="24"/>
        </w:rPr>
        <w:t>(</w:t>
      </w:r>
      <w:r>
        <w:rPr>
          <w:rFonts w:cstheme="minorHAnsi"/>
          <w:szCs w:val="24"/>
        </w:rPr>
        <w:t xml:space="preserve">OCD; </w:t>
      </w:r>
      <w:r w:rsidRPr="000F4964">
        <w:rPr>
          <w:rFonts w:cstheme="minorHAnsi"/>
          <w:szCs w:val="24"/>
        </w:rPr>
        <w:t>Holaway et al., 2006)</w:t>
      </w:r>
      <w:r>
        <w:rPr>
          <w:rFonts w:cstheme="minorHAnsi"/>
          <w:szCs w:val="24"/>
        </w:rPr>
        <w:t xml:space="preserve">, panic disorder </w:t>
      </w:r>
      <w:r w:rsidRPr="000F4964">
        <w:rPr>
          <w:rFonts w:cstheme="minorHAnsi"/>
          <w:szCs w:val="24"/>
        </w:rPr>
        <w:t>(McEvoy &amp; Mahoney, 2012)</w:t>
      </w:r>
      <w:r>
        <w:rPr>
          <w:rFonts w:cstheme="minorHAnsi"/>
          <w:szCs w:val="24"/>
        </w:rPr>
        <w:t>, social anxiety</w:t>
      </w:r>
      <w:r w:rsidRPr="000F4964">
        <w:t xml:space="preserve"> </w:t>
      </w:r>
      <w:r w:rsidRPr="000F4964">
        <w:rPr>
          <w:rFonts w:cstheme="minorHAnsi"/>
          <w:szCs w:val="24"/>
        </w:rPr>
        <w:t>(</w:t>
      </w:r>
      <w:r>
        <w:rPr>
          <w:rFonts w:cstheme="minorHAnsi"/>
          <w:szCs w:val="24"/>
        </w:rPr>
        <w:t xml:space="preserve">SA; </w:t>
      </w:r>
      <w:r w:rsidRPr="000F4964">
        <w:rPr>
          <w:rFonts w:cstheme="minorHAnsi"/>
          <w:szCs w:val="24"/>
        </w:rPr>
        <w:t>Carleton et al., 2010)</w:t>
      </w:r>
      <w:r>
        <w:rPr>
          <w:rFonts w:cstheme="minorHAnsi"/>
          <w:szCs w:val="24"/>
        </w:rPr>
        <w:t xml:space="preserve">, and depression </w:t>
      </w:r>
      <w:r w:rsidRPr="000F4964">
        <w:rPr>
          <w:rFonts w:cstheme="minorHAnsi"/>
          <w:szCs w:val="24"/>
        </w:rPr>
        <w:t>(Gentes &amp; Ruscio, 2011)</w:t>
      </w:r>
      <w:r>
        <w:rPr>
          <w:rFonts w:cstheme="minorHAnsi"/>
          <w:szCs w:val="24"/>
        </w:rPr>
        <w:t>. A growing number of papers have begun to examine IU’s potential association with Post-traumatic stress disorder (PTSD). The purpose of this review is to evaluate the evidence base for this relationship and elucidate whether this might lead to advances in understanding the development and maintenance of PTSD. Doing so could point towards improvements in psychological treatment for the condition.</w:t>
      </w:r>
    </w:p>
    <w:p w14:paraId="65EAC6D7" w14:textId="77777777" w:rsidR="005B760F" w:rsidRPr="00AB4737" w:rsidRDefault="005B760F" w:rsidP="004F5221">
      <w:pPr>
        <w:spacing w:line="360" w:lineRule="auto"/>
        <w:ind w:firstLine="720"/>
        <w:jc w:val="both"/>
        <w:rPr>
          <w:rFonts w:cstheme="minorHAnsi"/>
          <w:szCs w:val="24"/>
        </w:rPr>
      </w:pPr>
      <w:r>
        <w:rPr>
          <w:rFonts w:cstheme="minorHAnsi"/>
          <w:szCs w:val="24"/>
        </w:rPr>
        <w:t>IU is conceptualised as consisting of both prospective and inhibitory dimensions. Prospective relates to the cognitive aspects of expecting negative consequences from uncertain future situations. Inhibitory IU relates to behavioural impairment and avoidance when faced with uncertain outcomes. Studies have pointed to prospective and inhibitory IU having different associations with different conditions. For example, prospective IU has been associated specifically with worry in GAD (</w:t>
      </w:r>
      <w:r w:rsidRPr="008E7130">
        <w:rPr>
          <w:rFonts w:cstheme="minorHAnsi"/>
          <w:szCs w:val="24"/>
        </w:rPr>
        <w:t>Hong &amp; Lee, 2015</w:t>
      </w:r>
      <w:r>
        <w:rPr>
          <w:rFonts w:cstheme="minorHAnsi"/>
          <w:szCs w:val="24"/>
        </w:rPr>
        <w:t xml:space="preserve">). Inhibitory IU has been more closely associated with depression </w:t>
      </w:r>
      <w:r w:rsidRPr="003022B7">
        <w:rPr>
          <w:rFonts w:cstheme="minorHAnsi"/>
          <w:szCs w:val="24"/>
        </w:rPr>
        <w:t>(Boelen &amp; Lenferink, 2018</w:t>
      </w:r>
      <w:r>
        <w:rPr>
          <w:rFonts w:cstheme="minorHAnsi"/>
          <w:szCs w:val="24"/>
        </w:rPr>
        <w:t>, Saulnier et al., 2019</w:t>
      </w:r>
      <w:r w:rsidRPr="003022B7">
        <w:rPr>
          <w:rFonts w:cstheme="minorHAnsi"/>
          <w:szCs w:val="24"/>
        </w:rPr>
        <w:t>)</w:t>
      </w:r>
      <w:r>
        <w:rPr>
          <w:rFonts w:cstheme="minorHAnsi"/>
          <w:szCs w:val="24"/>
        </w:rPr>
        <w:t xml:space="preserve">, social anxiety </w:t>
      </w:r>
      <w:r w:rsidRPr="00312339">
        <w:rPr>
          <w:rFonts w:cstheme="minorHAnsi"/>
          <w:szCs w:val="24"/>
        </w:rPr>
        <w:t>(Whiting et al., 2013)</w:t>
      </w:r>
      <w:r>
        <w:rPr>
          <w:rFonts w:cstheme="minorHAnsi"/>
          <w:szCs w:val="24"/>
        </w:rPr>
        <w:t xml:space="preserve"> and OCD symptoms relating to unwanted thoughts (Jacoby et al., 2013). </w:t>
      </w:r>
      <w:r>
        <w:t xml:space="preserve">The potential transdiagnostic nature of IU in mental health conditions has led to the development of disorder specific IU scales for a variety of diagnoses, including PTSD, although these have not been widely used in the literature to date </w:t>
      </w:r>
      <w:r w:rsidRPr="00FF2987">
        <w:t>(Thibodeau et al., 2015)</w:t>
      </w:r>
      <w:r>
        <w:t>.</w:t>
      </w:r>
    </w:p>
    <w:p w14:paraId="7ADB082F" w14:textId="5B370810" w:rsidR="005B760F" w:rsidRPr="00540D03" w:rsidRDefault="005B760F" w:rsidP="004F5221">
      <w:pPr>
        <w:spacing w:line="360" w:lineRule="auto"/>
        <w:ind w:firstLine="720"/>
        <w:jc w:val="both"/>
        <w:rPr>
          <w:rFonts w:cstheme="minorHAnsi"/>
          <w:szCs w:val="24"/>
        </w:rPr>
      </w:pPr>
      <w:r>
        <w:rPr>
          <w:rFonts w:cstheme="minorHAnsi"/>
          <w:szCs w:val="24"/>
        </w:rPr>
        <w:t>Following traumatic events, around a third of people will go onto experience PTSD (</w:t>
      </w:r>
      <w:r w:rsidRPr="000A4160">
        <w:t>American</w:t>
      </w:r>
      <w:r>
        <w:t xml:space="preserve"> Psychological Association [APA]</w:t>
      </w:r>
      <w:r w:rsidRPr="000A4160">
        <w:t>, 2013)</w:t>
      </w:r>
      <w:r>
        <w:rPr>
          <w:rFonts w:cstheme="minorHAnsi"/>
          <w:szCs w:val="24"/>
        </w:rPr>
        <w:t>. The DSM-V cites eight criteria for an individual to be diagnosed with PTSD. These correspond to four diagnostic clusters:</w:t>
      </w:r>
      <w:r w:rsidRPr="0086737D">
        <w:rPr>
          <w:rFonts w:cstheme="minorHAnsi"/>
          <w:szCs w:val="24"/>
        </w:rPr>
        <w:t xml:space="preserve"> re-experiencing, avoidance, </w:t>
      </w:r>
      <w:r>
        <w:rPr>
          <w:rFonts w:cstheme="minorHAnsi"/>
          <w:szCs w:val="24"/>
        </w:rPr>
        <w:t xml:space="preserve">arousal and </w:t>
      </w:r>
      <w:r w:rsidRPr="0086737D">
        <w:rPr>
          <w:rFonts w:cstheme="minorHAnsi"/>
          <w:szCs w:val="24"/>
        </w:rPr>
        <w:t>negative</w:t>
      </w:r>
      <w:r>
        <w:rPr>
          <w:rFonts w:cstheme="minorHAnsi"/>
          <w:szCs w:val="24"/>
        </w:rPr>
        <w:t xml:space="preserve"> changes in cognition and mood</w:t>
      </w:r>
      <w:r w:rsidRPr="0086737D">
        <w:rPr>
          <w:rFonts w:cstheme="minorHAnsi"/>
          <w:szCs w:val="24"/>
        </w:rPr>
        <w:t xml:space="preserve">. The transition from DSM-IV to DSM-V PTSD criteria resulted in the addition of the </w:t>
      </w:r>
      <w:r>
        <w:rPr>
          <w:rFonts w:cstheme="minorHAnsi"/>
          <w:szCs w:val="24"/>
        </w:rPr>
        <w:t xml:space="preserve">latter cluster </w:t>
      </w:r>
      <w:r w:rsidRPr="0086737D">
        <w:rPr>
          <w:rFonts w:cstheme="minorHAnsi"/>
          <w:szCs w:val="24"/>
        </w:rPr>
        <w:t>(APA, 2013). A range</w:t>
      </w:r>
      <w:r w:rsidR="00957B1C">
        <w:rPr>
          <w:rFonts w:cstheme="minorHAnsi"/>
          <w:szCs w:val="24"/>
        </w:rPr>
        <w:t xml:space="preserve"> of</w:t>
      </w:r>
      <w:r w:rsidRPr="0086737D">
        <w:rPr>
          <w:rFonts w:cstheme="minorHAnsi"/>
          <w:szCs w:val="24"/>
        </w:rPr>
        <w:t xml:space="preserve"> psychotherapeutic (Watkins et al., 2018) and psychopharmacological (Albucher &amp; Liberzon, 2002) </w:t>
      </w:r>
      <w:r>
        <w:rPr>
          <w:rFonts w:cstheme="minorHAnsi"/>
          <w:szCs w:val="24"/>
        </w:rPr>
        <w:t>treatments exist for PTSD</w:t>
      </w:r>
      <w:r w:rsidRPr="0086737D">
        <w:rPr>
          <w:rFonts w:cstheme="minorHAnsi"/>
          <w:szCs w:val="24"/>
        </w:rPr>
        <w:t>.</w:t>
      </w:r>
      <w:r>
        <w:rPr>
          <w:rFonts w:cstheme="minorHAnsi"/>
          <w:szCs w:val="24"/>
        </w:rPr>
        <w:t xml:space="preserve"> Relatively high drop-out rates and the demands placed on those undergoing trauma-focused therapeutic work have strengthened arguments for more precision in person-centred PTSD treatment </w:t>
      </w:r>
      <w:r w:rsidRPr="00AE2612">
        <w:rPr>
          <w:rFonts w:cstheme="minorHAnsi"/>
          <w:szCs w:val="24"/>
        </w:rPr>
        <w:t>(</w:t>
      </w:r>
      <w:r w:rsidRPr="0086737D">
        <w:rPr>
          <w:rFonts w:cstheme="minorHAnsi"/>
          <w:szCs w:val="24"/>
        </w:rPr>
        <w:t>Qi et al., 2016</w:t>
      </w:r>
      <w:r>
        <w:rPr>
          <w:rFonts w:cstheme="minorHAnsi"/>
          <w:szCs w:val="24"/>
        </w:rPr>
        <w:t xml:space="preserve">, </w:t>
      </w:r>
      <w:r w:rsidRPr="00AE2612">
        <w:rPr>
          <w:rFonts w:cstheme="minorHAnsi"/>
          <w:szCs w:val="24"/>
        </w:rPr>
        <w:t>Watkins et al., 2018)</w:t>
      </w:r>
      <w:r>
        <w:rPr>
          <w:rFonts w:cstheme="minorHAnsi"/>
          <w:szCs w:val="24"/>
        </w:rPr>
        <w:t>. If IU were to play a role in PTSD development or maintenance then targeted therapeutic support could be developed</w:t>
      </w:r>
      <w:r w:rsidRPr="0086737D">
        <w:rPr>
          <w:rFonts w:cstheme="minorHAnsi"/>
          <w:szCs w:val="24"/>
        </w:rPr>
        <w:t>.</w:t>
      </w:r>
    </w:p>
    <w:p w14:paraId="3FD5EA5C" w14:textId="77777777" w:rsidR="005B760F" w:rsidRDefault="005B760F" w:rsidP="004F5221">
      <w:pPr>
        <w:spacing w:line="360" w:lineRule="auto"/>
        <w:ind w:firstLine="720"/>
        <w:jc w:val="both"/>
        <w:rPr>
          <w:rFonts w:cstheme="minorHAnsi"/>
          <w:szCs w:val="24"/>
        </w:rPr>
      </w:pPr>
      <w:r>
        <w:rPr>
          <w:rFonts w:cstheme="minorHAnsi"/>
          <w:szCs w:val="24"/>
        </w:rPr>
        <w:lastRenderedPageBreak/>
        <w:t>In assessing PTSD, standardised measures are employed such as the PTSD Checklist for DSM-5 (PCL-5; Weathers et al., 2013</w:t>
      </w:r>
      <w:r w:rsidRPr="00254477">
        <w:rPr>
          <w:rFonts w:cstheme="minorHAnsi"/>
          <w:szCs w:val="24"/>
        </w:rPr>
        <w:t>)</w:t>
      </w:r>
      <w:r>
        <w:rPr>
          <w:rFonts w:cstheme="minorHAnsi"/>
          <w:szCs w:val="24"/>
        </w:rPr>
        <w:t xml:space="preserve">. Typically, these scales include a clinical cut-off, scoring above this threshold indicating that the individual would meet the diagnostic criteria for PTSD. The measures also identify those beneath the threshold who nevertheless experience post-traumatic stress symptoms (PTSS). PTSS have themselves been demonstrated to impair quality of life, are linked to co-existing mental health difficulties and have been considered as a risk factor for developing PTSD </w:t>
      </w:r>
      <w:r w:rsidRPr="003E0C24">
        <w:rPr>
          <w:rFonts w:cstheme="minorHAnsi"/>
          <w:szCs w:val="24"/>
        </w:rPr>
        <w:t>(</w:t>
      </w:r>
      <w:r>
        <w:rPr>
          <w:rFonts w:cstheme="minorHAnsi"/>
          <w:szCs w:val="24"/>
        </w:rPr>
        <w:t>Marshall et al., 2001, U</w:t>
      </w:r>
      <w:r w:rsidRPr="003E0C24">
        <w:rPr>
          <w:rFonts w:cstheme="minorHAnsi"/>
          <w:szCs w:val="24"/>
        </w:rPr>
        <w:t>llman &amp; Filipas, 2001)</w:t>
      </w:r>
      <w:r>
        <w:rPr>
          <w:rFonts w:cstheme="minorHAnsi"/>
          <w:szCs w:val="24"/>
        </w:rPr>
        <w:t xml:space="preserve">. Negative life events that are not considered traumatic according to DSM criteria have been demonstrated to lead to PTSS </w:t>
      </w:r>
      <w:r w:rsidRPr="00103709">
        <w:rPr>
          <w:rFonts w:cstheme="minorHAnsi"/>
          <w:szCs w:val="24"/>
        </w:rPr>
        <w:t>(Mol et al., 2005)</w:t>
      </w:r>
      <w:r>
        <w:rPr>
          <w:rFonts w:cstheme="minorHAnsi"/>
          <w:szCs w:val="24"/>
        </w:rPr>
        <w:t>.</w:t>
      </w:r>
    </w:p>
    <w:p w14:paraId="0C8CABDC" w14:textId="77777777" w:rsidR="005B760F" w:rsidRDefault="005B760F" w:rsidP="004F5221">
      <w:pPr>
        <w:spacing w:line="360" w:lineRule="auto"/>
        <w:ind w:firstLine="720"/>
        <w:jc w:val="both"/>
        <w:rPr>
          <w:rFonts w:cstheme="minorHAnsi"/>
          <w:szCs w:val="24"/>
        </w:rPr>
      </w:pPr>
      <w:r>
        <w:rPr>
          <w:rFonts w:cstheme="minorHAnsi"/>
          <w:szCs w:val="24"/>
        </w:rPr>
        <w:t xml:space="preserve">Beyond difficult events, numerous factors have been demonstrated to contribute to the development of PTSS. These include, socio-demographic factors, personality, history, lack of social support, the nature of the trauma, and genetics </w:t>
      </w:r>
      <w:r w:rsidRPr="00222081">
        <w:rPr>
          <w:rFonts w:cstheme="minorHAnsi"/>
          <w:szCs w:val="24"/>
        </w:rPr>
        <w:t>(</w:t>
      </w:r>
      <w:r>
        <w:rPr>
          <w:rFonts w:cstheme="minorHAnsi"/>
          <w:szCs w:val="24"/>
        </w:rPr>
        <w:t xml:space="preserve">Ozer et al., 2003, Sareen, 2014, </w:t>
      </w:r>
      <w:r w:rsidRPr="00222081">
        <w:rPr>
          <w:rFonts w:cstheme="minorHAnsi"/>
          <w:szCs w:val="24"/>
        </w:rPr>
        <w:t>Tortella-Feliu et al., 2019)</w:t>
      </w:r>
      <w:r>
        <w:rPr>
          <w:rFonts w:cstheme="minorHAnsi"/>
          <w:szCs w:val="24"/>
        </w:rPr>
        <w:t>. Amongst these factors, cognitive behavioural dispositions such as Intolerance of Uncertainty (IU) have begun to be associated with PTSS in the clinical literature (White &amp; Gumley, 2009).</w:t>
      </w:r>
    </w:p>
    <w:p w14:paraId="0BA9C1A2" w14:textId="77777777" w:rsidR="005B760F" w:rsidRDefault="005B760F" w:rsidP="00A53770">
      <w:pPr>
        <w:pStyle w:val="Heading2"/>
      </w:pPr>
      <w:bookmarkStart w:id="21" w:name="_Toc133141500"/>
      <w:bookmarkStart w:id="22" w:name="_Toc133144158"/>
      <w:bookmarkStart w:id="23" w:name="_Toc133487772"/>
      <w:r w:rsidRPr="00A1655D">
        <w:t>Rationale</w:t>
      </w:r>
      <w:bookmarkEnd w:id="21"/>
      <w:bookmarkEnd w:id="22"/>
      <w:bookmarkEnd w:id="23"/>
    </w:p>
    <w:p w14:paraId="0A762BDC" w14:textId="77777777" w:rsidR="005B760F" w:rsidRDefault="005B760F" w:rsidP="004F5221">
      <w:pPr>
        <w:spacing w:line="360" w:lineRule="auto"/>
        <w:ind w:firstLine="720"/>
        <w:jc w:val="both"/>
      </w:pPr>
      <w:r>
        <w:t xml:space="preserve">Further research is needed to understand how IU could predispose people towards or contribute to maintaining PTSD symptoms. Cognitive models of PTSD emphasize predisposing beliefs and coping state, along with ongoing inhibition of trauma processing, and use of strategies to control threats/symptoms </w:t>
      </w:r>
      <w:r w:rsidRPr="0047766B">
        <w:t>(Ehlers &amp; Clark, 2000)</w:t>
      </w:r>
      <w:r>
        <w:t xml:space="preserve">. IU has been linked to individuals being more likely to feel threatened by and to pay more attention to potential sources of ambiguity, which could be relevant to both the development, and maintenance of PTSD symptoms </w:t>
      </w:r>
      <w:r w:rsidRPr="00A03D01">
        <w:t>(Dugas et al., 2005)</w:t>
      </w:r>
      <w:r>
        <w:t xml:space="preserve">. IU may contribute to maintaining hypervigilance, and/or inhibiting emotional processing of traumatic experience (White &amp; Gumley, 2009). IU is expressed through cognitive and behavioural avoidance, which have been demonstrated to contribute to the maintenance of PTSD </w:t>
      </w:r>
      <w:r w:rsidRPr="00A45704">
        <w:t>(</w:t>
      </w:r>
      <w:r>
        <w:t xml:space="preserve">Dugas et al., 2004, </w:t>
      </w:r>
      <w:r w:rsidRPr="00A45704">
        <w:t>Tolin et al., 2003)</w:t>
      </w:r>
      <w:r>
        <w:t>. Further knowledge about the potential role of IU in relation to PTSD could lead to better understanding of this condition. Furthermore, interventions that consider IU and aim to therapeutically resolve its mechanisms have been demonstrated to lead to clinically significant outcomes (</w:t>
      </w:r>
      <w:r w:rsidRPr="006039C8">
        <w:t xml:space="preserve">Boswell et al., </w:t>
      </w:r>
      <w:r>
        <w:t>2013; Hebert &amp; Dugas, 2018; Ladouceur et al., 2000; McEvoy &amp; Erceg-Hurn, 2016; Oglesby et al., 2017; van der Heiden et al., 2012). Expanding knowledge in this area could lead to improvements in trauma-informed treatment.</w:t>
      </w:r>
    </w:p>
    <w:p w14:paraId="727D5FC0" w14:textId="796FF6D4" w:rsidR="005B760F" w:rsidRDefault="00957B1C" w:rsidP="00A53770">
      <w:pPr>
        <w:pStyle w:val="Heading2"/>
      </w:pPr>
      <w:bookmarkStart w:id="24" w:name="_Toc133141501"/>
      <w:bookmarkStart w:id="25" w:name="_Toc133144159"/>
      <w:bookmarkStart w:id="26" w:name="_Toc133487773"/>
      <w:r>
        <w:t>Review</w:t>
      </w:r>
      <w:r w:rsidR="005B760F">
        <w:t xml:space="preserve"> Question</w:t>
      </w:r>
      <w:bookmarkEnd w:id="24"/>
      <w:bookmarkEnd w:id="25"/>
      <w:bookmarkEnd w:id="26"/>
    </w:p>
    <w:p w14:paraId="4ECF37DE" w14:textId="094185A5" w:rsidR="005B760F" w:rsidRPr="00C70FF9" w:rsidRDefault="005B760F" w:rsidP="004F5221">
      <w:pPr>
        <w:spacing w:line="360" w:lineRule="auto"/>
        <w:ind w:firstLine="720"/>
        <w:jc w:val="both"/>
      </w:pPr>
      <w:bookmarkStart w:id="27" w:name="_Toc133141502"/>
      <w:bookmarkStart w:id="28" w:name="_Toc133144160"/>
      <w:r>
        <w:t>A</w:t>
      </w:r>
      <w:r w:rsidRPr="00C70FF9">
        <w:t>re higher levels of IU associated with higher levels of PTS</w:t>
      </w:r>
      <w:r>
        <w:t>S?</w:t>
      </w:r>
      <w:r w:rsidRPr="00C70FF9">
        <w:t xml:space="preserve"> </w:t>
      </w:r>
      <w:r w:rsidRPr="00405E47">
        <w:t>Does Increased Intolerance of Uncertainty Predict P</w:t>
      </w:r>
      <w:r>
        <w:t xml:space="preserve">TSS </w:t>
      </w:r>
      <w:r w:rsidRPr="00405E47">
        <w:t>Severity?</w:t>
      </w:r>
      <w:bookmarkEnd w:id="27"/>
      <w:bookmarkEnd w:id="28"/>
    </w:p>
    <w:p w14:paraId="7E9F27DF" w14:textId="77777777" w:rsidR="005B760F" w:rsidRDefault="005B760F" w:rsidP="00027769">
      <w:pPr>
        <w:pStyle w:val="Heading1"/>
      </w:pPr>
      <w:bookmarkStart w:id="29" w:name="_Toc133487774"/>
      <w:r>
        <w:lastRenderedPageBreak/>
        <w:t>Methodology</w:t>
      </w:r>
      <w:bookmarkEnd w:id="29"/>
    </w:p>
    <w:p w14:paraId="3AC98941" w14:textId="044CF005" w:rsidR="005B760F" w:rsidRDefault="005B760F" w:rsidP="00A53770">
      <w:pPr>
        <w:pStyle w:val="Heading2"/>
      </w:pPr>
      <w:bookmarkStart w:id="30" w:name="_Toc133141504"/>
      <w:bookmarkStart w:id="31" w:name="_Toc133144162"/>
      <w:bookmarkStart w:id="32" w:name="_Toc133487775"/>
      <w:r w:rsidRPr="003E597C">
        <w:t>Scoping searches</w:t>
      </w:r>
      <w:bookmarkEnd w:id="30"/>
      <w:bookmarkEnd w:id="31"/>
      <w:bookmarkEnd w:id="32"/>
    </w:p>
    <w:p w14:paraId="60A3442D" w14:textId="61D9118C" w:rsidR="005B760F" w:rsidRDefault="005B760F" w:rsidP="004F5221">
      <w:pPr>
        <w:spacing w:line="360" w:lineRule="auto"/>
        <w:ind w:firstLine="720"/>
        <w:jc w:val="both"/>
      </w:pPr>
      <w:r>
        <w:t>Prior to conducting the current review, preliminary scoping searches of the Staffordshire University Library Collection</w:t>
      </w:r>
      <w:r w:rsidR="00957B1C">
        <w:t xml:space="preserve"> (including 166 databases)</w:t>
      </w:r>
      <w:r>
        <w:t xml:space="preserve"> and Google Scholar were carried out to determine the feasibility of the topic and the potential relevance of the review to existing literature. The International Prospective Register of Systematic Reviews (PROSPERO) and the Cochrane Library were consulted. No published or prospective reviews were found on the topic.</w:t>
      </w:r>
    </w:p>
    <w:p w14:paraId="727B49B6" w14:textId="77777777" w:rsidR="005B760F" w:rsidRDefault="005B760F" w:rsidP="00A53770">
      <w:pPr>
        <w:pStyle w:val="Heading2"/>
      </w:pPr>
      <w:bookmarkStart w:id="33" w:name="_Toc133141505"/>
      <w:bookmarkStart w:id="34" w:name="_Toc133144163"/>
      <w:bookmarkStart w:id="35" w:name="_Toc133487776"/>
      <w:r w:rsidRPr="003E597C">
        <w:t>Search Strategy</w:t>
      </w:r>
      <w:bookmarkEnd w:id="33"/>
      <w:bookmarkEnd w:id="34"/>
      <w:bookmarkEnd w:id="35"/>
    </w:p>
    <w:p w14:paraId="7EC7C360" w14:textId="77777777" w:rsidR="005B760F" w:rsidRDefault="005B760F" w:rsidP="004F5221">
      <w:pPr>
        <w:spacing w:line="360" w:lineRule="auto"/>
        <w:ind w:firstLine="720"/>
        <w:jc w:val="both"/>
      </w:pPr>
      <w:r>
        <w:t xml:space="preserve">Following scoping, systematic searches were carried out in May 2022. PRISMA guidelines were followed throughout the search process </w:t>
      </w:r>
      <w:r w:rsidRPr="0084140A">
        <w:t>(Page et al., 2021)</w:t>
      </w:r>
      <w:r>
        <w:t>. Search terms were developed based on results from scoping searches which narrowed the topic specifically to consider research with standardized measures of IU and PTSS: (“Intolerance of uncertainty”) AND (“Post-traumatic*” OR “PTSD” OR “Post-traumatic stress disorder” OR “PTSS” OR “Post Traumatic Stress Symptoms” OR “Trauma”).</w:t>
      </w:r>
    </w:p>
    <w:p w14:paraId="509F283E" w14:textId="77777777" w:rsidR="005B760F" w:rsidRDefault="005B760F" w:rsidP="004F5221">
      <w:pPr>
        <w:spacing w:line="360" w:lineRule="auto"/>
        <w:ind w:firstLine="720"/>
        <w:jc w:val="both"/>
      </w:pPr>
      <w:r>
        <w:t>Databases were searched individually and were as follows: CINAHL, MEDLINE, PsychARTICLES, PsychINFO, Science Direct, Scopus, and WebofScience.  No limiters were set.</w:t>
      </w:r>
    </w:p>
    <w:p w14:paraId="04D7C1CC" w14:textId="77777777" w:rsidR="005B760F" w:rsidRPr="00B70B78" w:rsidRDefault="005B760F" w:rsidP="00A53770">
      <w:pPr>
        <w:pStyle w:val="Heading2"/>
      </w:pPr>
      <w:bookmarkStart w:id="36" w:name="_Toc133141506"/>
      <w:bookmarkStart w:id="37" w:name="_Toc133144164"/>
      <w:bookmarkStart w:id="38" w:name="_Toc133487777"/>
      <w:r w:rsidRPr="00B70B78">
        <w:t>Eligibility criteria</w:t>
      </w:r>
      <w:bookmarkEnd w:id="36"/>
      <w:bookmarkEnd w:id="37"/>
      <w:bookmarkEnd w:id="38"/>
      <w:r w:rsidRPr="00B70B78">
        <w:t xml:space="preserve"> </w:t>
      </w:r>
    </w:p>
    <w:p w14:paraId="39E1320C" w14:textId="45B27E49" w:rsidR="004F5221" w:rsidRPr="004F5221" w:rsidRDefault="005B760F" w:rsidP="004F5221">
      <w:pPr>
        <w:spacing w:line="360" w:lineRule="auto"/>
        <w:ind w:firstLine="720"/>
        <w:jc w:val="both"/>
      </w:pPr>
      <w:r>
        <w:t xml:space="preserve">See Table 1 for an overview of eligibility criteria. Studies were included if they focused on adult, community populations. This excluded studies of children and those with occupational trauma and clinical populations which would be expected to differ from the general population in PTSD symptom development and maintenance </w:t>
      </w:r>
      <w:r w:rsidRPr="00907AC3">
        <w:t>(</w:t>
      </w:r>
      <w:r>
        <w:t xml:space="preserve">Goodson et al., 2011; Grubaugh et al., 2011; Haugen et al., 2012, </w:t>
      </w:r>
      <w:r w:rsidRPr="00907AC3">
        <w:t>Lee et al., 2020</w:t>
      </w:r>
      <w:r>
        <w:t xml:space="preserve">; </w:t>
      </w:r>
      <w:r w:rsidRPr="00907AC3">
        <w:t>Morina et al., 2016)</w:t>
      </w:r>
      <w:r>
        <w:t>. Similarly, studies that considered both key variables but did not examine the predictive potential of IU on PTSS were excluded as these were not relevant to the second research question.  All studies accepted were peer-reviewed and accessible in English. No restrictions were placed on time since publication. Google Scholar was also used to review citations from identified studies and to search Grey Literature but no f</w:t>
      </w:r>
      <w:r w:rsidR="00A53169">
        <w:t>urther articles were identified.</w:t>
      </w:r>
      <w:r w:rsidR="004F5221">
        <w:br w:type="page"/>
      </w:r>
    </w:p>
    <w:p w14:paraId="1A18FECC" w14:textId="1D46A2D3" w:rsidR="00747028" w:rsidRDefault="005B760F" w:rsidP="00A53770">
      <w:pPr>
        <w:pStyle w:val="Heading2"/>
      </w:pPr>
      <w:bookmarkStart w:id="39" w:name="_Toc133487778"/>
      <w:r w:rsidRPr="005B760F">
        <w:lastRenderedPageBreak/>
        <w:t>Table 1</w:t>
      </w:r>
      <w:bookmarkEnd w:id="39"/>
    </w:p>
    <w:p w14:paraId="4BF39D91" w14:textId="77777777" w:rsidR="005B760F" w:rsidRPr="00747028" w:rsidRDefault="005B760F" w:rsidP="004F5221">
      <w:pPr>
        <w:spacing w:line="360" w:lineRule="auto"/>
      </w:pPr>
      <w:r w:rsidRPr="0022615D">
        <w:rPr>
          <w:i/>
        </w:rPr>
        <w:t>Eligibility criteria</w:t>
      </w:r>
    </w:p>
    <w:tbl>
      <w:tblPr>
        <w:tblStyle w:val="TableGrid"/>
        <w:tblW w:w="9506" w:type="dxa"/>
        <w:tblLook w:val="04A0" w:firstRow="1" w:lastRow="0" w:firstColumn="1" w:lastColumn="0" w:noHBand="0" w:noVBand="1"/>
      </w:tblPr>
      <w:tblGrid>
        <w:gridCol w:w="2880"/>
        <w:gridCol w:w="2880"/>
        <w:gridCol w:w="3746"/>
      </w:tblGrid>
      <w:tr w:rsidR="00A379D0" w14:paraId="23DC86B8" w14:textId="77777777" w:rsidTr="004062A6">
        <w:trPr>
          <w:trHeight w:val="195"/>
        </w:trPr>
        <w:tc>
          <w:tcPr>
            <w:tcW w:w="2880" w:type="dxa"/>
            <w:tcBorders>
              <w:top w:val="single" w:sz="4" w:space="0" w:color="auto"/>
              <w:left w:val="nil"/>
              <w:bottom w:val="single" w:sz="4" w:space="0" w:color="auto"/>
              <w:right w:val="nil"/>
            </w:tcBorders>
          </w:tcPr>
          <w:p w14:paraId="5BF0AC20" w14:textId="77777777" w:rsidR="00A379D0" w:rsidRDefault="00A379D0" w:rsidP="00E10C82">
            <w:pPr>
              <w:rPr>
                <w:rFonts w:cstheme="minorHAnsi"/>
                <w:szCs w:val="24"/>
              </w:rPr>
            </w:pPr>
            <w:r>
              <w:rPr>
                <w:rFonts w:cstheme="minorHAnsi"/>
                <w:szCs w:val="24"/>
              </w:rPr>
              <w:t>Criteria</w:t>
            </w:r>
          </w:p>
        </w:tc>
        <w:tc>
          <w:tcPr>
            <w:tcW w:w="2880" w:type="dxa"/>
            <w:tcBorders>
              <w:top w:val="single" w:sz="4" w:space="0" w:color="auto"/>
              <w:left w:val="nil"/>
              <w:bottom w:val="single" w:sz="4" w:space="0" w:color="auto"/>
              <w:right w:val="nil"/>
            </w:tcBorders>
          </w:tcPr>
          <w:p w14:paraId="3B082968" w14:textId="77777777" w:rsidR="00A379D0" w:rsidRDefault="00A379D0" w:rsidP="00E10C82">
            <w:pPr>
              <w:rPr>
                <w:rFonts w:cstheme="minorHAnsi"/>
                <w:szCs w:val="24"/>
              </w:rPr>
            </w:pPr>
            <w:r>
              <w:rPr>
                <w:rFonts w:cstheme="minorHAnsi"/>
                <w:szCs w:val="24"/>
              </w:rPr>
              <w:t>Inclusion</w:t>
            </w:r>
          </w:p>
        </w:tc>
        <w:tc>
          <w:tcPr>
            <w:tcW w:w="3746" w:type="dxa"/>
            <w:tcBorders>
              <w:top w:val="single" w:sz="4" w:space="0" w:color="auto"/>
              <w:left w:val="nil"/>
              <w:bottom w:val="single" w:sz="4" w:space="0" w:color="auto"/>
              <w:right w:val="nil"/>
            </w:tcBorders>
          </w:tcPr>
          <w:p w14:paraId="43295632" w14:textId="77777777" w:rsidR="00A379D0" w:rsidRDefault="00A379D0" w:rsidP="00E10C82">
            <w:pPr>
              <w:rPr>
                <w:rFonts w:cstheme="minorHAnsi"/>
                <w:szCs w:val="24"/>
              </w:rPr>
            </w:pPr>
            <w:r>
              <w:rPr>
                <w:rFonts w:cstheme="minorHAnsi"/>
                <w:szCs w:val="24"/>
              </w:rPr>
              <w:t>Exclusion</w:t>
            </w:r>
          </w:p>
        </w:tc>
      </w:tr>
      <w:tr w:rsidR="00A379D0" w14:paraId="12EC3F18" w14:textId="77777777" w:rsidTr="004062A6">
        <w:trPr>
          <w:trHeight w:val="1582"/>
        </w:trPr>
        <w:tc>
          <w:tcPr>
            <w:tcW w:w="2880" w:type="dxa"/>
            <w:tcBorders>
              <w:top w:val="single" w:sz="4" w:space="0" w:color="auto"/>
              <w:left w:val="nil"/>
              <w:bottom w:val="nil"/>
              <w:right w:val="nil"/>
            </w:tcBorders>
          </w:tcPr>
          <w:p w14:paraId="5E29106B" w14:textId="77777777" w:rsidR="00A379D0" w:rsidRDefault="00A379D0" w:rsidP="004F5221">
            <w:pPr>
              <w:jc w:val="both"/>
              <w:rPr>
                <w:rFonts w:cstheme="minorHAnsi"/>
                <w:szCs w:val="24"/>
              </w:rPr>
            </w:pPr>
            <w:r>
              <w:rPr>
                <w:rFonts w:cstheme="minorHAnsi"/>
                <w:szCs w:val="24"/>
              </w:rPr>
              <w:t>Participants</w:t>
            </w:r>
          </w:p>
        </w:tc>
        <w:tc>
          <w:tcPr>
            <w:tcW w:w="2880" w:type="dxa"/>
            <w:tcBorders>
              <w:top w:val="single" w:sz="4" w:space="0" w:color="auto"/>
              <w:left w:val="nil"/>
              <w:bottom w:val="nil"/>
              <w:right w:val="nil"/>
            </w:tcBorders>
          </w:tcPr>
          <w:p w14:paraId="6867AEF6" w14:textId="77777777" w:rsidR="00A379D0" w:rsidRDefault="00A379D0" w:rsidP="004F5221">
            <w:pPr>
              <w:jc w:val="both"/>
              <w:rPr>
                <w:rFonts w:cstheme="minorHAnsi"/>
                <w:szCs w:val="24"/>
              </w:rPr>
            </w:pPr>
            <w:r>
              <w:t>Community adults aged 18+ and student-based studies (mean always 18+)</w:t>
            </w:r>
          </w:p>
          <w:p w14:paraId="6CB00841" w14:textId="77777777" w:rsidR="00A379D0" w:rsidRDefault="00A379D0" w:rsidP="004F5221">
            <w:pPr>
              <w:jc w:val="both"/>
              <w:rPr>
                <w:rFonts w:cstheme="minorHAnsi"/>
                <w:szCs w:val="24"/>
              </w:rPr>
            </w:pPr>
          </w:p>
        </w:tc>
        <w:tc>
          <w:tcPr>
            <w:tcW w:w="3746" w:type="dxa"/>
            <w:tcBorders>
              <w:top w:val="single" w:sz="4" w:space="0" w:color="auto"/>
              <w:left w:val="nil"/>
              <w:bottom w:val="nil"/>
              <w:right w:val="nil"/>
            </w:tcBorders>
          </w:tcPr>
          <w:p w14:paraId="1DCD746E" w14:textId="77777777" w:rsidR="00A379D0" w:rsidRDefault="00A379D0" w:rsidP="004F5221">
            <w:pPr>
              <w:jc w:val="both"/>
              <w:rPr>
                <w:rFonts w:cstheme="minorHAnsi"/>
                <w:szCs w:val="24"/>
              </w:rPr>
            </w:pPr>
            <w:r>
              <w:rPr>
                <w:rFonts w:cstheme="minorHAnsi"/>
                <w:szCs w:val="24"/>
              </w:rPr>
              <w:t>Primarily occupational trauma (e.g. veteran, police, first-responder) or clinical (e.g. inpatient, psychosis, or physical health condition) populations who may be expected to have more traumatic experience and to respond differently to trauma than the general population.</w:t>
            </w:r>
          </w:p>
          <w:p w14:paraId="38398D3D" w14:textId="61D404EA" w:rsidR="004062A6" w:rsidRDefault="004062A6" w:rsidP="004F5221">
            <w:pPr>
              <w:jc w:val="both"/>
              <w:rPr>
                <w:rFonts w:cstheme="minorHAnsi"/>
                <w:szCs w:val="24"/>
              </w:rPr>
            </w:pPr>
          </w:p>
        </w:tc>
      </w:tr>
      <w:tr w:rsidR="00A379D0" w14:paraId="4929118D" w14:textId="77777777" w:rsidTr="004062A6">
        <w:trPr>
          <w:trHeight w:val="790"/>
        </w:trPr>
        <w:tc>
          <w:tcPr>
            <w:tcW w:w="2880" w:type="dxa"/>
            <w:tcBorders>
              <w:top w:val="nil"/>
              <w:left w:val="nil"/>
              <w:bottom w:val="nil"/>
              <w:right w:val="nil"/>
            </w:tcBorders>
          </w:tcPr>
          <w:p w14:paraId="0C3D3EB5" w14:textId="77777777" w:rsidR="00A379D0" w:rsidRDefault="00A379D0" w:rsidP="004F5221">
            <w:pPr>
              <w:jc w:val="both"/>
              <w:rPr>
                <w:rFonts w:cstheme="minorHAnsi"/>
                <w:szCs w:val="24"/>
              </w:rPr>
            </w:pPr>
            <w:r>
              <w:rPr>
                <w:rFonts w:cstheme="minorHAnsi"/>
                <w:szCs w:val="24"/>
              </w:rPr>
              <w:t>Topic</w:t>
            </w:r>
          </w:p>
        </w:tc>
        <w:tc>
          <w:tcPr>
            <w:tcW w:w="2880" w:type="dxa"/>
            <w:tcBorders>
              <w:top w:val="nil"/>
              <w:left w:val="nil"/>
              <w:bottom w:val="nil"/>
              <w:right w:val="nil"/>
            </w:tcBorders>
          </w:tcPr>
          <w:p w14:paraId="4DBC60C9" w14:textId="77777777" w:rsidR="00A379D0" w:rsidRDefault="00A379D0" w:rsidP="004F5221">
            <w:pPr>
              <w:jc w:val="both"/>
              <w:rPr>
                <w:rFonts w:cstheme="minorHAnsi"/>
                <w:szCs w:val="24"/>
              </w:rPr>
            </w:pPr>
            <w:r>
              <w:rPr>
                <w:rFonts w:cstheme="minorHAnsi"/>
                <w:szCs w:val="24"/>
              </w:rPr>
              <w:t>Research considering the potential correlational or predictive role of IU in PTSS or PTSD severity</w:t>
            </w:r>
          </w:p>
          <w:p w14:paraId="249B6811" w14:textId="04EE86F7" w:rsidR="004062A6" w:rsidRDefault="004062A6" w:rsidP="004F5221">
            <w:pPr>
              <w:jc w:val="both"/>
              <w:rPr>
                <w:rFonts w:cstheme="minorHAnsi"/>
                <w:szCs w:val="24"/>
              </w:rPr>
            </w:pPr>
          </w:p>
        </w:tc>
        <w:tc>
          <w:tcPr>
            <w:tcW w:w="3746" w:type="dxa"/>
            <w:tcBorders>
              <w:top w:val="nil"/>
              <w:left w:val="nil"/>
              <w:bottom w:val="nil"/>
              <w:right w:val="nil"/>
            </w:tcBorders>
          </w:tcPr>
          <w:p w14:paraId="78F4247F" w14:textId="77777777" w:rsidR="00A379D0" w:rsidRDefault="00A379D0" w:rsidP="004F5221">
            <w:pPr>
              <w:jc w:val="both"/>
              <w:rPr>
                <w:rFonts w:cstheme="minorHAnsi"/>
                <w:szCs w:val="24"/>
              </w:rPr>
            </w:pPr>
            <w:r>
              <w:rPr>
                <w:rFonts w:cstheme="minorHAnsi"/>
                <w:szCs w:val="24"/>
              </w:rPr>
              <w:t>Studies which considered both IU and PTSS but not the associations between the two.</w:t>
            </w:r>
          </w:p>
        </w:tc>
      </w:tr>
      <w:tr w:rsidR="00A379D0" w14:paraId="4011134C" w14:textId="77777777" w:rsidTr="004062A6">
        <w:trPr>
          <w:trHeight w:val="790"/>
        </w:trPr>
        <w:tc>
          <w:tcPr>
            <w:tcW w:w="2880" w:type="dxa"/>
            <w:tcBorders>
              <w:top w:val="nil"/>
              <w:left w:val="nil"/>
              <w:bottom w:val="nil"/>
              <w:right w:val="nil"/>
            </w:tcBorders>
          </w:tcPr>
          <w:p w14:paraId="479319FA" w14:textId="77777777" w:rsidR="00A379D0" w:rsidRDefault="00A379D0" w:rsidP="004F5221">
            <w:pPr>
              <w:jc w:val="both"/>
              <w:rPr>
                <w:rFonts w:cstheme="minorHAnsi"/>
                <w:szCs w:val="24"/>
              </w:rPr>
            </w:pPr>
            <w:r>
              <w:rPr>
                <w:rFonts w:cstheme="minorHAnsi"/>
                <w:szCs w:val="24"/>
              </w:rPr>
              <w:t>Study Design</w:t>
            </w:r>
          </w:p>
        </w:tc>
        <w:tc>
          <w:tcPr>
            <w:tcW w:w="2880" w:type="dxa"/>
            <w:tcBorders>
              <w:top w:val="nil"/>
              <w:left w:val="nil"/>
              <w:bottom w:val="nil"/>
              <w:right w:val="nil"/>
            </w:tcBorders>
          </w:tcPr>
          <w:p w14:paraId="715857CB" w14:textId="77777777" w:rsidR="00A379D0" w:rsidRDefault="00A379D0" w:rsidP="004F5221">
            <w:pPr>
              <w:jc w:val="both"/>
              <w:rPr>
                <w:rFonts w:cstheme="minorHAnsi"/>
                <w:szCs w:val="24"/>
              </w:rPr>
            </w:pPr>
            <w:r>
              <w:rPr>
                <w:rFonts w:cstheme="minorHAnsi"/>
                <w:szCs w:val="24"/>
              </w:rPr>
              <w:t>Standardised measures of both IU and PTSD.</w:t>
            </w:r>
          </w:p>
          <w:p w14:paraId="652D0DFD" w14:textId="77777777" w:rsidR="00A379D0" w:rsidRDefault="00A379D0" w:rsidP="004F5221">
            <w:pPr>
              <w:jc w:val="both"/>
              <w:rPr>
                <w:rFonts w:cstheme="minorHAnsi"/>
                <w:szCs w:val="24"/>
              </w:rPr>
            </w:pPr>
            <w:r>
              <w:rPr>
                <w:rFonts w:cstheme="minorHAnsi"/>
                <w:szCs w:val="24"/>
              </w:rPr>
              <w:t>No exclusions based on differing trauma exposure.</w:t>
            </w:r>
          </w:p>
          <w:p w14:paraId="0C7E9DDF" w14:textId="77777777" w:rsidR="00A379D0" w:rsidRDefault="00A379D0" w:rsidP="004F5221">
            <w:pPr>
              <w:jc w:val="both"/>
              <w:rPr>
                <w:rFonts w:cstheme="minorHAnsi"/>
                <w:szCs w:val="24"/>
              </w:rPr>
            </w:pPr>
            <w:r>
              <w:rPr>
                <w:rFonts w:cstheme="minorHAnsi"/>
                <w:szCs w:val="24"/>
              </w:rPr>
              <w:t xml:space="preserve"> </w:t>
            </w:r>
          </w:p>
        </w:tc>
        <w:tc>
          <w:tcPr>
            <w:tcW w:w="3746" w:type="dxa"/>
            <w:tcBorders>
              <w:top w:val="nil"/>
              <w:left w:val="nil"/>
              <w:bottom w:val="nil"/>
              <w:right w:val="nil"/>
            </w:tcBorders>
          </w:tcPr>
          <w:p w14:paraId="707B2A42" w14:textId="77777777" w:rsidR="00A379D0" w:rsidRDefault="00A379D0" w:rsidP="004F5221">
            <w:pPr>
              <w:jc w:val="both"/>
              <w:rPr>
                <w:rFonts w:cstheme="minorHAnsi"/>
                <w:szCs w:val="24"/>
              </w:rPr>
            </w:pPr>
          </w:p>
        </w:tc>
      </w:tr>
      <w:tr w:rsidR="00A379D0" w14:paraId="2881108A" w14:textId="77777777" w:rsidTr="004062A6">
        <w:trPr>
          <w:trHeight w:val="391"/>
        </w:trPr>
        <w:tc>
          <w:tcPr>
            <w:tcW w:w="2880" w:type="dxa"/>
            <w:tcBorders>
              <w:top w:val="nil"/>
              <w:left w:val="nil"/>
              <w:bottom w:val="single" w:sz="4" w:space="0" w:color="auto"/>
              <w:right w:val="nil"/>
            </w:tcBorders>
          </w:tcPr>
          <w:p w14:paraId="6A1E250C" w14:textId="77777777" w:rsidR="00A379D0" w:rsidRDefault="00A379D0" w:rsidP="004F5221">
            <w:pPr>
              <w:jc w:val="both"/>
              <w:rPr>
                <w:rFonts w:cstheme="minorHAnsi"/>
                <w:szCs w:val="24"/>
              </w:rPr>
            </w:pPr>
            <w:r>
              <w:rPr>
                <w:rFonts w:cstheme="minorHAnsi"/>
                <w:szCs w:val="24"/>
              </w:rPr>
              <w:t>Language</w:t>
            </w:r>
          </w:p>
        </w:tc>
        <w:tc>
          <w:tcPr>
            <w:tcW w:w="2880" w:type="dxa"/>
            <w:tcBorders>
              <w:top w:val="nil"/>
              <w:left w:val="nil"/>
              <w:bottom w:val="single" w:sz="4" w:space="0" w:color="auto"/>
              <w:right w:val="nil"/>
            </w:tcBorders>
          </w:tcPr>
          <w:p w14:paraId="2180206B" w14:textId="77777777" w:rsidR="00A379D0" w:rsidRDefault="00A379D0" w:rsidP="004F5221">
            <w:pPr>
              <w:jc w:val="both"/>
              <w:rPr>
                <w:rFonts w:cstheme="minorHAnsi"/>
                <w:szCs w:val="24"/>
              </w:rPr>
            </w:pPr>
            <w:r>
              <w:rPr>
                <w:rFonts w:cstheme="minorHAnsi"/>
                <w:szCs w:val="24"/>
              </w:rPr>
              <w:t xml:space="preserve">Articles available in English. </w:t>
            </w:r>
          </w:p>
          <w:p w14:paraId="4B68614B" w14:textId="77777777" w:rsidR="00A379D0" w:rsidRDefault="00A379D0" w:rsidP="004F5221">
            <w:pPr>
              <w:jc w:val="both"/>
              <w:rPr>
                <w:rFonts w:cstheme="minorHAnsi"/>
                <w:szCs w:val="24"/>
              </w:rPr>
            </w:pPr>
          </w:p>
        </w:tc>
        <w:tc>
          <w:tcPr>
            <w:tcW w:w="3746" w:type="dxa"/>
            <w:tcBorders>
              <w:top w:val="nil"/>
              <w:left w:val="nil"/>
              <w:bottom w:val="single" w:sz="4" w:space="0" w:color="auto"/>
              <w:right w:val="nil"/>
            </w:tcBorders>
          </w:tcPr>
          <w:p w14:paraId="7E694B77" w14:textId="77777777" w:rsidR="00A379D0" w:rsidRDefault="00A379D0" w:rsidP="004F5221">
            <w:pPr>
              <w:jc w:val="both"/>
              <w:rPr>
                <w:rFonts w:cstheme="minorHAnsi"/>
                <w:szCs w:val="24"/>
              </w:rPr>
            </w:pPr>
          </w:p>
        </w:tc>
      </w:tr>
    </w:tbl>
    <w:p w14:paraId="7A643ECB" w14:textId="77777777" w:rsidR="005B760F" w:rsidRDefault="005B760F" w:rsidP="005B760F">
      <w:pPr>
        <w:rPr>
          <w:rFonts w:cstheme="minorHAnsi"/>
          <w:szCs w:val="24"/>
        </w:rPr>
      </w:pPr>
    </w:p>
    <w:p w14:paraId="72C9E894" w14:textId="77777777" w:rsidR="005B760F" w:rsidRDefault="005B760F" w:rsidP="00A53770">
      <w:pPr>
        <w:pStyle w:val="Heading2"/>
      </w:pPr>
      <w:bookmarkStart w:id="40" w:name="_Toc133141507"/>
      <w:bookmarkStart w:id="41" w:name="_Toc133144165"/>
      <w:bookmarkStart w:id="42" w:name="_Toc133487779"/>
      <w:r w:rsidRPr="005A20FC">
        <w:t>Bias</w:t>
      </w:r>
      <w:bookmarkEnd w:id="40"/>
      <w:bookmarkEnd w:id="41"/>
      <w:bookmarkEnd w:id="42"/>
    </w:p>
    <w:p w14:paraId="46EC7944" w14:textId="77777777" w:rsidR="005B760F" w:rsidRDefault="005B760F" w:rsidP="004F5221">
      <w:pPr>
        <w:spacing w:line="360" w:lineRule="auto"/>
        <w:ind w:firstLine="720"/>
        <w:jc w:val="both"/>
      </w:pPr>
      <w:r>
        <w:t xml:space="preserve">Transparent inclusion and exclusion criteria were set to improve the validity of the review and to reduce the impact of bias on study selection. </w:t>
      </w:r>
      <w:r w:rsidRPr="00924EFC">
        <w:t xml:space="preserve">McDonagh et al., </w:t>
      </w:r>
      <w:r>
        <w:t>(</w:t>
      </w:r>
      <w:r w:rsidRPr="00924EFC">
        <w:t>2013)</w:t>
      </w:r>
      <w:r>
        <w:t xml:space="preserve"> recommend searches of Grey literature to reduce the risk of positive publication bias towards studies demonstrating significant findings. Therefore, a search of Google-Scholar was undertaken to consider potential relevant literature that was not present in the main databases. No further studies were found.</w:t>
      </w:r>
    </w:p>
    <w:p w14:paraId="78F4F726" w14:textId="77777777" w:rsidR="005B760F" w:rsidRDefault="005B760F" w:rsidP="00A53770">
      <w:pPr>
        <w:pStyle w:val="Heading2"/>
      </w:pPr>
      <w:bookmarkStart w:id="43" w:name="_Toc133141508"/>
      <w:bookmarkStart w:id="44" w:name="_Toc133144166"/>
      <w:bookmarkStart w:id="45" w:name="_Toc133487780"/>
      <w:r w:rsidRPr="00105364">
        <w:t>Quality Appraisal Method</w:t>
      </w:r>
      <w:bookmarkEnd w:id="43"/>
      <w:bookmarkEnd w:id="44"/>
      <w:bookmarkEnd w:id="45"/>
    </w:p>
    <w:p w14:paraId="68BA57A6" w14:textId="781391D5" w:rsidR="005B760F" w:rsidRDefault="005B760F" w:rsidP="004F5221">
      <w:pPr>
        <w:spacing w:line="360" w:lineRule="auto"/>
        <w:ind w:firstLine="720"/>
        <w:jc w:val="both"/>
      </w:pPr>
      <w:r>
        <w:t xml:space="preserve">A range of quality appraisal tools were considered for use in this review. The decision was made to combine questions from appraisal tools aimed at both cross-sectional and longitudinal studies so that both could be considered using the same tool. The Appraisal Tool for Cross-Sectional Studies (AXIS; </w:t>
      </w:r>
      <w:r w:rsidRPr="00105364">
        <w:t>Downes et al., 2016)</w:t>
      </w:r>
      <w:r>
        <w:t xml:space="preserve"> was chosen because it has been recommended for cross-sectional studies which comprise</w:t>
      </w:r>
      <w:r w:rsidR="004062A6">
        <w:t>d</w:t>
      </w:r>
      <w:r>
        <w:t xml:space="preserve"> the majority of the review, and because of its thorough criteria for reporting </w:t>
      </w:r>
      <w:r w:rsidRPr="00F07206">
        <w:t>(Ma et al., 2020)</w:t>
      </w:r>
      <w:r>
        <w:t xml:space="preserve">. The AXIS consists of 20 questions, all of which were included. For those papers with a longitudinal design, two questions from the CASP Cohort Study Checklist were also included </w:t>
      </w:r>
      <w:r w:rsidRPr="00DA613A">
        <w:t>(Critical Appraisal Skills Programme, 2018)</w:t>
      </w:r>
      <w:r>
        <w:t xml:space="preserve">. These questions appraise the quality of follow-up data collection. The AXIS response system of “Yes/No/Don’t know” was adopted. For the purposes of this review, </w:t>
      </w:r>
      <w:r>
        <w:lastRenderedPageBreak/>
        <w:t>answers of “yes” were awarded 1 point and answers of “No/Don’t know” were awarded 0 points. Overall scores were then calculated as a percentage of possible total score to provide a numerical appraisal rating. See Appendix 2 for appraisal tool and results.</w:t>
      </w:r>
    </w:p>
    <w:p w14:paraId="4FC17C68" w14:textId="77777777" w:rsidR="005B760F" w:rsidRDefault="005B760F" w:rsidP="00A53770">
      <w:pPr>
        <w:pStyle w:val="Heading2"/>
      </w:pPr>
      <w:bookmarkStart w:id="46" w:name="_Toc133141509"/>
      <w:bookmarkStart w:id="47" w:name="_Toc133144167"/>
      <w:bookmarkStart w:id="48" w:name="_Toc133487781"/>
      <w:r>
        <w:t>Synthesis</w:t>
      </w:r>
      <w:bookmarkEnd w:id="46"/>
      <w:bookmarkEnd w:id="47"/>
      <w:bookmarkEnd w:id="48"/>
    </w:p>
    <w:p w14:paraId="4CCE7A59" w14:textId="77777777" w:rsidR="005B760F" w:rsidRPr="000116DC" w:rsidRDefault="005B760F" w:rsidP="004F5221">
      <w:pPr>
        <w:spacing w:line="360" w:lineRule="auto"/>
        <w:ind w:firstLine="720"/>
        <w:jc w:val="both"/>
      </w:pPr>
      <w:r>
        <w:t xml:space="preserve">Narrative synthesis was used to evaluate the studies identified in this review </w:t>
      </w:r>
      <w:r w:rsidRPr="00F4026A">
        <w:t>(Lisy &amp; Porritt, 2016)</w:t>
      </w:r>
      <w:r>
        <w:t>. This method was chosen over meta-analysis because the heterogeneity of trauma experience across studies makes direct comparison of statistical outcomes unadvisable.  This review focuses on textual description of the relationship between IU and PTSS, along with analysis of variations across study design, methodology, and reporting which may contribute to outcomes.</w:t>
      </w:r>
    </w:p>
    <w:p w14:paraId="283876A2" w14:textId="77777777" w:rsidR="005B760F" w:rsidRDefault="005B760F" w:rsidP="00027769">
      <w:pPr>
        <w:pStyle w:val="Heading1"/>
      </w:pPr>
    </w:p>
    <w:p w14:paraId="192BF793" w14:textId="77777777" w:rsidR="005B760F" w:rsidRDefault="005B760F" w:rsidP="00027769">
      <w:pPr>
        <w:pStyle w:val="Heading1"/>
      </w:pPr>
    </w:p>
    <w:p w14:paraId="46C58A42" w14:textId="77777777" w:rsidR="005B760F" w:rsidRDefault="005B760F" w:rsidP="00027769">
      <w:pPr>
        <w:pStyle w:val="Heading1"/>
      </w:pPr>
    </w:p>
    <w:p w14:paraId="2355E73C" w14:textId="77777777" w:rsidR="005B760F" w:rsidRDefault="005B760F" w:rsidP="00027769">
      <w:pPr>
        <w:pStyle w:val="Heading1"/>
      </w:pPr>
    </w:p>
    <w:p w14:paraId="3194B9CC" w14:textId="77777777" w:rsidR="005B760F" w:rsidRDefault="005B760F" w:rsidP="00027769">
      <w:pPr>
        <w:pStyle w:val="Heading1"/>
      </w:pPr>
    </w:p>
    <w:p w14:paraId="5FD05040" w14:textId="5D737644" w:rsidR="004062A6" w:rsidRDefault="004062A6" w:rsidP="00A53169"/>
    <w:p w14:paraId="318CEA6B" w14:textId="77777777" w:rsidR="00A53169" w:rsidRDefault="00A53169" w:rsidP="00A53169"/>
    <w:p w14:paraId="7D045942" w14:textId="77777777" w:rsidR="004F5221" w:rsidRDefault="004F5221">
      <w:pPr>
        <w:rPr>
          <w:rFonts w:eastAsiaTheme="majorEastAsia" w:cstheme="minorHAnsi"/>
          <w:b/>
        </w:rPr>
      </w:pPr>
      <w:r>
        <w:br w:type="page"/>
      </w:r>
    </w:p>
    <w:p w14:paraId="4F380B9B" w14:textId="2ACC5C79" w:rsidR="005B760F" w:rsidRDefault="005B760F" w:rsidP="00027769">
      <w:pPr>
        <w:pStyle w:val="Heading1"/>
      </w:pPr>
      <w:bookmarkStart w:id="49" w:name="_Toc133487782"/>
      <w:r>
        <w:lastRenderedPageBreak/>
        <w:t>Results</w:t>
      </w:r>
      <w:bookmarkEnd w:id="49"/>
    </w:p>
    <w:p w14:paraId="171C9AF8" w14:textId="734C02E5" w:rsidR="00722835" w:rsidRDefault="005B760F" w:rsidP="004F5221">
      <w:pPr>
        <w:spacing w:line="360" w:lineRule="auto"/>
        <w:ind w:firstLine="720"/>
        <w:rPr>
          <w:rFonts w:cstheme="minorHAnsi"/>
          <w:szCs w:val="24"/>
        </w:rPr>
      </w:pPr>
      <w:r>
        <w:rPr>
          <w:rFonts w:cstheme="minorHAnsi"/>
          <w:szCs w:val="24"/>
        </w:rPr>
        <w:t xml:space="preserve">See Figure 1 for flow diagram of search procedure. </w:t>
      </w:r>
    </w:p>
    <w:p w14:paraId="1AC104EB" w14:textId="77777777" w:rsidR="008933A6" w:rsidRPr="008933A6" w:rsidRDefault="008933A6" w:rsidP="008933A6">
      <w:pPr>
        <w:pStyle w:val="NoSpacing"/>
        <w:rPr>
          <w:b/>
        </w:rPr>
      </w:pPr>
      <w:r w:rsidRPr="008933A6">
        <w:rPr>
          <w:b/>
        </w:rPr>
        <w:t>Figure 1.</w:t>
      </w:r>
    </w:p>
    <w:p w14:paraId="79E66D01" w14:textId="77777777" w:rsidR="005B760F" w:rsidRPr="008933A6" w:rsidRDefault="005B760F" w:rsidP="008933A6">
      <w:pPr>
        <w:pStyle w:val="NoSpacing"/>
      </w:pPr>
      <w:r w:rsidRPr="0022615D">
        <w:rPr>
          <w:i/>
        </w:rPr>
        <w:t>Search Process Flow Diagram</w:t>
      </w:r>
    </w:p>
    <w:p w14:paraId="17F0C410" w14:textId="77777777" w:rsidR="005B760F" w:rsidRDefault="005B760F" w:rsidP="005B760F">
      <w:pPr>
        <w:rPr>
          <w:rFonts w:cstheme="minorHAnsi"/>
          <w:szCs w:val="24"/>
        </w:rPr>
      </w:pPr>
    </w:p>
    <w:p w14:paraId="0A9E67AB" w14:textId="77777777" w:rsidR="005B760F" w:rsidRPr="00F64B92" w:rsidRDefault="005B760F" w:rsidP="005B760F">
      <w:pPr>
        <w:pStyle w:val="Header"/>
        <w:tabs>
          <w:tab w:val="clear" w:pos="8640"/>
          <w:tab w:val="right" w:pos="13860"/>
        </w:tabs>
        <w:ind w:left="720"/>
        <w:rPr>
          <w:sz w:val="28"/>
          <w:szCs w:val="28"/>
        </w:rPr>
      </w:pPr>
      <w:r>
        <w:rPr>
          <w:noProof/>
          <w:color w:val="auto"/>
          <w:lang w:val="en-GB" w:eastAsia="en-GB"/>
        </w:rPr>
        <w:drawing>
          <wp:anchor distT="36576" distB="36576" distL="36576" distR="36576" simplePos="0" relativeHeight="251677696" behindDoc="0" locked="0" layoutInCell="1" allowOverlap="1" wp14:anchorId="7755E324" wp14:editId="1F779585">
            <wp:simplePos x="0" y="0"/>
            <wp:positionH relativeFrom="column">
              <wp:posOffset>-571500</wp:posOffset>
            </wp:positionH>
            <wp:positionV relativeFrom="paragraph">
              <wp:posOffset>-228600</wp:posOffset>
            </wp:positionV>
            <wp:extent cx="685800" cy="623570"/>
            <wp:effectExtent l="0" t="0" r="0" b="5080"/>
            <wp:wrapNone/>
            <wp:docPr id="8" name="Picture 8" descr="Consort-Logo-Graphic-30-1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nsort-Logo-Graphic-30-12-071"/>
                    <pic:cNvPicPr>
                      <a:picLocks noChangeAspect="1" noChangeArrowheads="1"/>
                    </pic:cNvPicPr>
                  </pic:nvPicPr>
                  <pic:blipFill>
                    <a:blip r:embed="rId16">
                      <a:extLst>
                        <a:ext uri="{28A0092B-C50C-407E-A947-70E740481C1C}">
                          <a14:useLocalDpi xmlns:a14="http://schemas.microsoft.com/office/drawing/2010/main" val="0"/>
                        </a:ext>
                      </a:extLst>
                    </a:blip>
                    <a:srcRect l="3000" t="20689" r="87100" b="17241"/>
                    <a:stretch>
                      <a:fillRect/>
                    </a:stretch>
                  </pic:blipFill>
                  <pic:spPr bwMode="auto">
                    <a:xfrm>
                      <a:off x="0" y="0"/>
                      <a:ext cx="685800" cy="623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95264">
        <w:rPr>
          <w:rFonts w:ascii="Calibri" w:hAnsi="Calibri"/>
          <w:b/>
          <w:bCs/>
          <w:color w:val="auto"/>
          <w:sz w:val="28"/>
          <w:szCs w:val="28"/>
        </w:rPr>
        <w:t xml:space="preserve">PRISMA 2009 </w:t>
      </w:r>
      <w:r>
        <w:rPr>
          <w:rFonts w:ascii="Calibri" w:hAnsi="Calibri"/>
          <w:b/>
          <w:bCs/>
          <w:color w:val="auto"/>
          <w:sz w:val="28"/>
          <w:szCs w:val="28"/>
        </w:rPr>
        <w:t>Flow Diagram (Moher et al, 2009)</w:t>
      </w:r>
    </w:p>
    <w:p w14:paraId="79FBB407" w14:textId="77777777" w:rsidR="005B760F" w:rsidRDefault="005B760F" w:rsidP="005B760F">
      <w:pPr>
        <w:rPr>
          <w:rFonts w:cstheme="minorHAnsi"/>
          <w:szCs w:val="24"/>
        </w:rPr>
      </w:pPr>
      <w:r>
        <w:rPr>
          <w:noProof/>
          <w:lang w:eastAsia="en-GB"/>
        </w:rPr>
        <mc:AlternateContent>
          <mc:Choice Requires="wps">
            <w:drawing>
              <wp:anchor distT="0" distB="0" distL="114300" distR="114300" simplePos="0" relativeHeight="251663360" behindDoc="0" locked="0" layoutInCell="1" allowOverlap="1" wp14:anchorId="24997E98" wp14:editId="49AFE08A">
                <wp:simplePos x="0" y="0"/>
                <wp:positionH relativeFrom="column">
                  <wp:posOffset>133350</wp:posOffset>
                </wp:positionH>
                <wp:positionV relativeFrom="paragraph">
                  <wp:posOffset>112396</wp:posOffset>
                </wp:positionV>
                <wp:extent cx="2280213" cy="1606550"/>
                <wp:effectExtent l="0" t="0" r="25400" b="1270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213" cy="1606550"/>
                        </a:xfrm>
                        <a:prstGeom prst="rect">
                          <a:avLst/>
                        </a:prstGeom>
                        <a:solidFill>
                          <a:srgbClr val="FFFFFF"/>
                        </a:solidFill>
                        <a:ln w="9525">
                          <a:solidFill>
                            <a:srgbClr val="000000"/>
                          </a:solidFill>
                          <a:miter lim="800000"/>
                          <a:headEnd/>
                          <a:tailEnd/>
                        </a:ln>
                      </wps:spPr>
                      <wps:txbx>
                        <w:txbxContent>
                          <w:p w14:paraId="3FDA4378" w14:textId="77777777" w:rsidR="000D292E" w:rsidRPr="00F64B92" w:rsidRDefault="000D292E" w:rsidP="005B760F">
                            <w:pPr>
                              <w:pStyle w:val="NoSpacing"/>
                              <w:rPr>
                                <w:rFonts w:ascii="Arial" w:hAnsi="Arial" w:cs="Arial"/>
                                <w:sz w:val="18"/>
                              </w:rPr>
                            </w:pPr>
                            <w:r>
                              <w:t>Records identified through database searching</w:t>
                            </w:r>
                            <w:r>
                              <w:br/>
                            </w:r>
                            <w:r w:rsidRPr="00F64B92">
                              <w:rPr>
                                <w:rFonts w:ascii="Arial" w:hAnsi="Arial" w:cs="Arial"/>
                                <w:sz w:val="18"/>
                              </w:rPr>
                              <w:t>CINAHL (n=20)</w:t>
                            </w:r>
                          </w:p>
                          <w:p w14:paraId="335B3B0B" w14:textId="77777777" w:rsidR="000D292E" w:rsidRPr="00F64B92" w:rsidRDefault="000D292E" w:rsidP="005B760F">
                            <w:pPr>
                              <w:pStyle w:val="NoSpacing"/>
                              <w:rPr>
                                <w:rFonts w:ascii="Arial" w:hAnsi="Arial" w:cs="Arial"/>
                                <w:sz w:val="18"/>
                              </w:rPr>
                            </w:pPr>
                            <w:r w:rsidRPr="00F64B92">
                              <w:rPr>
                                <w:rFonts w:ascii="Arial" w:hAnsi="Arial" w:cs="Arial"/>
                                <w:sz w:val="18"/>
                              </w:rPr>
                              <w:t>MEDLINE (n=41)</w:t>
                            </w:r>
                          </w:p>
                          <w:p w14:paraId="4DF4F6C7" w14:textId="77777777" w:rsidR="000D292E" w:rsidRPr="00F64B92" w:rsidRDefault="000D292E" w:rsidP="005B760F">
                            <w:pPr>
                              <w:pStyle w:val="NoSpacing"/>
                              <w:rPr>
                                <w:rFonts w:ascii="Arial" w:hAnsi="Arial" w:cs="Arial"/>
                                <w:sz w:val="18"/>
                              </w:rPr>
                            </w:pPr>
                            <w:r w:rsidRPr="00F64B92">
                              <w:rPr>
                                <w:rFonts w:ascii="Arial" w:hAnsi="Arial" w:cs="Arial"/>
                                <w:sz w:val="18"/>
                              </w:rPr>
                              <w:t>PsychARTICLES (n=3)</w:t>
                            </w:r>
                          </w:p>
                          <w:p w14:paraId="49AC0BB5" w14:textId="77777777" w:rsidR="000D292E" w:rsidRPr="00F64B92" w:rsidRDefault="000D292E" w:rsidP="005B760F">
                            <w:pPr>
                              <w:pStyle w:val="NoSpacing"/>
                              <w:rPr>
                                <w:rFonts w:ascii="Arial" w:hAnsi="Arial" w:cs="Arial"/>
                                <w:sz w:val="18"/>
                              </w:rPr>
                            </w:pPr>
                            <w:r w:rsidRPr="00F64B92">
                              <w:rPr>
                                <w:rFonts w:ascii="Arial" w:hAnsi="Arial" w:cs="Arial"/>
                                <w:sz w:val="18"/>
                              </w:rPr>
                              <w:t>PsychINFO (n=10)</w:t>
                            </w:r>
                          </w:p>
                          <w:p w14:paraId="6849E94E" w14:textId="77777777" w:rsidR="000D292E" w:rsidRPr="00F64B92" w:rsidRDefault="000D292E" w:rsidP="005B760F">
                            <w:pPr>
                              <w:pStyle w:val="NoSpacing"/>
                              <w:rPr>
                                <w:rFonts w:ascii="Arial" w:hAnsi="Arial" w:cs="Arial"/>
                                <w:sz w:val="18"/>
                              </w:rPr>
                            </w:pPr>
                            <w:r w:rsidRPr="00F64B92">
                              <w:rPr>
                                <w:rFonts w:ascii="Arial" w:hAnsi="Arial" w:cs="Arial"/>
                                <w:sz w:val="18"/>
                              </w:rPr>
                              <w:t>Science Direct (n=323)</w:t>
                            </w:r>
                          </w:p>
                          <w:p w14:paraId="76884B45" w14:textId="77777777" w:rsidR="000D292E" w:rsidRPr="00F64B92" w:rsidRDefault="000D292E" w:rsidP="005B760F">
                            <w:pPr>
                              <w:pStyle w:val="NoSpacing"/>
                              <w:rPr>
                                <w:rFonts w:ascii="Arial" w:hAnsi="Arial" w:cs="Arial"/>
                                <w:sz w:val="18"/>
                              </w:rPr>
                            </w:pPr>
                            <w:r w:rsidRPr="00F64B92">
                              <w:rPr>
                                <w:rFonts w:ascii="Arial" w:hAnsi="Arial" w:cs="Arial"/>
                                <w:sz w:val="18"/>
                              </w:rPr>
                              <w:t>Scopus (n= 47)</w:t>
                            </w:r>
                          </w:p>
                          <w:p w14:paraId="65BC9285" w14:textId="77777777" w:rsidR="000D292E" w:rsidRPr="00F64B92" w:rsidRDefault="000D292E" w:rsidP="005B760F">
                            <w:pPr>
                              <w:pStyle w:val="NoSpacing"/>
                              <w:rPr>
                                <w:rFonts w:ascii="Arial" w:hAnsi="Arial" w:cs="Arial"/>
                                <w:sz w:val="18"/>
                              </w:rPr>
                            </w:pPr>
                            <w:r w:rsidRPr="00F64B92">
                              <w:rPr>
                                <w:rFonts w:ascii="Arial" w:hAnsi="Arial" w:cs="Arial"/>
                                <w:sz w:val="18"/>
                              </w:rPr>
                              <w:t>WebofScience (n=40)</w:t>
                            </w:r>
                          </w:p>
                          <w:p w14:paraId="0E4DED48" w14:textId="77777777" w:rsidR="000D292E" w:rsidRPr="00F64B92" w:rsidRDefault="000D292E" w:rsidP="005B760F">
                            <w:pPr>
                              <w:pStyle w:val="NoSpacing"/>
                              <w:rPr>
                                <w:rFonts w:ascii="Arial" w:hAnsi="Arial" w:cs="Arial"/>
                                <w:sz w:val="18"/>
                              </w:rPr>
                            </w:pPr>
                            <w:r w:rsidRPr="00F64B92">
                              <w:rPr>
                                <w:rFonts w:ascii="Arial" w:hAnsi="Arial" w:cs="Arial"/>
                                <w:sz w:val="18"/>
                              </w:rPr>
                              <w:t>Total (n=484)</w:t>
                            </w:r>
                          </w:p>
                          <w:p w14:paraId="5E94AB63" w14:textId="77777777" w:rsidR="000D292E" w:rsidRDefault="000D292E" w:rsidP="005B760F">
                            <w:pPr>
                              <w:pStyle w:val="NoSpacing"/>
                              <w:rPr>
                                <w:lang w:val="e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97E98" id="Rectangle 9" o:spid="_x0000_s1026" style="position:absolute;margin-left:10.5pt;margin-top:8.85pt;width:179.55pt;height:1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">
                <v:textbox inset=",7.2pt,,7.2pt">
                  <w:txbxContent>
                    <w:p w14:paraId="3FDA4378" w14:textId="77777777" w:rsidR="000D292E" w:rsidRPr="00F64B92" w:rsidRDefault="000D292E" w:rsidP="005B760F">
                      <w:pPr>
                        <w:pStyle w:val="NoSpacing"/>
                        <w:rPr>
                          <w:rFonts w:ascii="Arial" w:hAnsi="Arial" w:cs="Arial"/>
                          <w:sz w:val="18"/>
                        </w:rPr>
                      </w:pPr>
                      <w:r>
                        <w:t>Records identified through database searching</w:t>
                      </w:r>
                      <w:r>
                        <w:br/>
                      </w:r>
                      <w:r w:rsidRPr="00F64B92">
                        <w:rPr>
                          <w:rFonts w:ascii="Arial" w:hAnsi="Arial" w:cs="Arial"/>
                          <w:sz w:val="18"/>
                        </w:rPr>
                        <w:t>CINAHL (n=20)</w:t>
                      </w:r>
                    </w:p>
                    <w:p w14:paraId="335B3B0B" w14:textId="77777777" w:rsidR="000D292E" w:rsidRPr="00F64B92" w:rsidRDefault="000D292E" w:rsidP="005B760F">
                      <w:pPr>
                        <w:pStyle w:val="NoSpacing"/>
                        <w:rPr>
                          <w:rFonts w:ascii="Arial" w:hAnsi="Arial" w:cs="Arial"/>
                          <w:sz w:val="18"/>
                        </w:rPr>
                      </w:pPr>
                      <w:r w:rsidRPr="00F64B92">
                        <w:rPr>
                          <w:rFonts w:ascii="Arial" w:hAnsi="Arial" w:cs="Arial"/>
                          <w:sz w:val="18"/>
                        </w:rPr>
                        <w:t>MEDLINE (n=41)</w:t>
                      </w:r>
                    </w:p>
                    <w:p w14:paraId="4DF4F6C7" w14:textId="77777777" w:rsidR="000D292E" w:rsidRPr="00F64B92" w:rsidRDefault="000D292E" w:rsidP="005B760F">
                      <w:pPr>
                        <w:pStyle w:val="NoSpacing"/>
                        <w:rPr>
                          <w:rFonts w:ascii="Arial" w:hAnsi="Arial" w:cs="Arial"/>
                          <w:sz w:val="18"/>
                        </w:rPr>
                      </w:pPr>
                      <w:r w:rsidRPr="00F64B92">
                        <w:rPr>
                          <w:rFonts w:ascii="Arial" w:hAnsi="Arial" w:cs="Arial"/>
                          <w:sz w:val="18"/>
                        </w:rPr>
                        <w:t>PsychARTICLES (n=3)</w:t>
                      </w:r>
                    </w:p>
                    <w:p w14:paraId="49AC0BB5" w14:textId="77777777" w:rsidR="000D292E" w:rsidRPr="00F64B92" w:rsidRDefault="000D292E" w:rsidP="005B760F">
                      <w:pPr>
                        <w:pStyle w:val="NoSpacing"/>
                        <w:rPr>
                          <w:rFonts w:ascii="Arial" w:hAnsi="Arial" w:cs="Arial"/>
                          <w:sz w:val="18"/>
                        </w:rPr>
                      </w:pPr>
                      <w:r w:rsidRPr="00F64B92">
                        <w:rPr>
                          <w:rFonts w:ascii="Arial" w:hAnsi="Arial" w:cs="Arial"/>
                          <w:sz w:val="18"/>
                        </w:rPr>
                        <w:t>PsychINFO (n=10)</w:t>
                      </w:r>
                    </w:p>
                    <w:p w14:paraId="6849E94E" w14:textId="77777777" w:rsidR="000D292E" w:rsidRPr="00F64B92" w:rsidRDefault="000D292E" w:rsidP="005B760F">
                      <w:pPr>
                        <w:pStyle w:val="NoSpacing"/>
                        <w:rPr>
                          <w:rFonts w:ascii="Arial" w:hAnsi="Arial" w:cs="Arial"/>
                          <w:sz w:val="18"/>
                        </w:rPr>
                      </w:pPr>
                      <w:r w:rsidRPr="00F64B92">
                        <w:rPr>
                          <w:rFonts w:ascii="Arial" w:hAnsi="Arial" w:cs="Arial"/>
                          <w:sz w:val="18"/>
                        </w:rPr>
                        <w:t>Science Direct (n=323)</w:t>
                      </w:r>
                    </w:p>
                    <w:p w14:paraId="76884B45" w14:textId="77777777" w:rsidR="000D292E" w:rsidRPr="00F64B92" w:rsidRDefault="000D292E" w:rsidP="005B760F">
                      <w:pPr>
                        <w:pStyle w:val="NoSpacing"/>
                        <w:rPr>
                          <w:rFonts w:ascii="Arial" w:hAnsi="Arial" w:cs="Arial"/>
                          <w:sz w:val="18"/>
                        </w:rPr>
                      </w:pPr>
                      <w:r w:rsidRPr="00F64B92">
                        <w:rPr>
                          <w:rFonts w:ascii="Arial" w:hAnsi="Arial" w:cs="Arial"/>
                          <w:sz w:val="18"/>
                        </w:rPr>
                        <w:t>Scopus (n= 47)</w:t>
                      </w:r>
                    </w:p>
                    <w:p w14:paraId="65BC9285" w14:textId="77777777" w:rsidR="000D292E" w:rsidRPr="00F64B92" w:rsidRDefault="000D292E" w:rsidP="005B760F">
                      <w:pPr>
                        <w:pStyle w:val="NoSpacing"/>
                        <w:rPr>
                          <w:rFonts w:ascii="Arial" w:hAnsi="Arial" w:cs="Arial"/>
                          <w:sz w:val="18"/>
                        </w:rPr>
                      </w:pPr>
                      <w:r w:rsidRPr="00F64B92">
                        <w:rPr>
                          <w:rFonts w:ascii="Arial" w:hAnsi="Arial" w:cs="Arial"/>
                          <w:sz w:val="18"/>
                        </w:rPr>
                        <w:t>WebofScience (n=40)</w:t>
                      </w:r>
                    </w:p>
                    <w:p w14:paraId="0E4DED48" w14:textId="77777777" w:rsidR="000D292E" w:rsidRPr="00F64B92" w:rsidRDefault="000D292E" w:rsidP="005B760F">
                      <w:pPr>
                        <w:pStyle w:val="NoSpacing"/>
                        <w:rPr>
                          <w:rFonts w:ascii="Arial" w:hAnsi="Arial" w:cs="Arial"/>
                          <w:sz w:val="18"/>
                        </w:rPr>
                      </w:pPr>
                      <w:r w:rsidRPr="00F64B92">
                        <w:rPr>
                          <w:rFonts w:ascii="Arial" w:hAnsi="Arial" w:cs="Arial"/>
                          <w:sz w:val="18"/>
                        </w:rPr>
                        <w:t>Total (n=484)</w:t>
                      </w:r>
                    </w:p>
                    <w:p w14:paraId="5E94AB63" w14:textId="77777777" w:rsidR="000D292E" w:rsidRDefault="000D292E" w:rsidP="005B760F">
                      <w:pPr>
                        <w:pStyle w:val="NoSpacing"/>
                        <w:rPr>
                          <w:lang w:val="en"/>
                        </w:rPr>
                      </w:pPr>
                    </w:p>
                  </w:txbxContent>
                </v:textbox>
              </v:rect>
            </w:pict>
          </mc:Fallback>
        </mc:AlternateContent>
      </w:r>
    </w:p>
    <w:p w14:paraId="087FD2B4" w14:textId="77777777" w:rsidR="005B760F" w:rsidRDefault="005B760F" w:rsidP="005B760F">
      <w:pPr>
        <w:rPr>
          <w:rFonts w:cstheme="minorHAnsi"/>
          <w:szCs w:val="24"/>
        </w:rPr>
      </w:pPr>
    </w:p>
    <w:p w14:paraId="2AC2FFC9" w14:textId="77777777" w:rsidR="005B760F" w:rsidRDefault="005B760F" w:rsidP="005B760F">
      <w:pPr>
        <w:rPr>
          <w:rFonts w:cstheme="minorHAnsi"/>
          <w:szCs w:val="24"/>
        </w:rPr>
      </w:pPr>
      <w:r>
        <w:rPr>
          <w:noProof/>
          <w:lang w:eastAsia="en-GB"/>
        </w:rPr>
        <mc:AlternateContent>
          <mc:Choice Requires="wps">
            <w:drawing>
              <wp:anchor distT="0" distB="0" distL="114300" distR="114300" simplePos="0" relativeHeight="251668480" behindDoc="0" locked="0" layoutInCell="1" allowOverlap="1" wp14:anchorId="4E31C17F" wp14:editId="7B45E413">
                <wp:simplePos x="0" y="0"/>
                <wp:positionH relativeFrom="column">
                  <wp:posOffset>-981661</wp:posOffset>
                </wp:positionH>
                <wp:positionV relativeFrom="paragraph">
                  <wp:posOffset>319356</wp:posOffset>
                </wp:positionV>
                <wp:extent cx="1371600" cy="324436"/>
                <wp:effectExtent l="0" t="9525" r="28575" b="28575"/>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324436"/>
                        </a:xfrm>
                        <a:prstGeom prst="roundRect">
                          <a:avLst>
                            <a:gd name="adj" fmla="val 16667"/>
                          </a:avLst>
                        </a:prstGeom>
                        <a:solidFill>
                          <a:srgbClr val="CCECFF"/>
                        </a:solidFill>
                        <a:ln w="9525">
                          <a:solidFill>
                            <a:srgbClr val="000000"/>
                          </a:solidFill>
                          <a:round/>
                          <a:headEnd/>
                          <a:tailEnd/>
                        </a:ln>
                      </wps:spPr>
                      <wps:txbx>
                        <w:txbxContent>
                          <w:p w14:paraId="664CC610" w14:textId="77777777" w:rsidR="000D292E" w:rsidRDefault="000D292E" w:rsidP="00A53770">
                            <w:pPr>
                              <w:pStyle w:val="Heading2"/>
                              <w:rPr>
                                <w:lang w:val="en"/>
                              </w:rPr>
                            </w:pPr>
                            <w:bookmarkStart w:id="50" w:name="_Toc133141511"/>
                            <w:bookmarkStart w:id="51" w:name="_Toc133144169"/>
                            <w:bookmarkStart w:id="52" w:name="_Toc133335113"/>
                            <w:bookmarkStart w:id="53" w:name="_Toc133335222"/>
                            <w:bookmarkStart w:id="54" w:name="_Toc133336791"/>
                            <w:bookmarkStart w:id="55" w:name="_Toc133336997"/>
                            <w:bookmarkStart w:id="56" w:name="_Toc133337113"/>
                            <w:bookmarkStart w:id="57" w:name="_Toc133487783"/>
                            <w:r>
                              <w:rPr>
                                <w:lang w:val="en"/>
                              </w:rPr>
                              <w:t>Identification</w:t>
                            </w:r>
                            <w:bookmarkEnd w:id="50"/>
                            <w:bookmarkEnd w:id="51"/>
                            <w:bookmarkEnd w:id="52"/>
                            <w:bookmarkEnd w:id="53"/>
                            <w:bookmarkEnd w:id="54"/>
                            <w:bookmarkEnd w:id="55"/>
                            <w:bookmarkEnd w:id="56"/>
                            <w:bookmarkEnd w:id="57"/>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31C17F" id="Rounded Rectangle 2" o:spid="_x0000_s1027" style="position:absolute;margin-left:-77.3pt;margin-top:25.15pt;width:108pt;height:25.5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" fillcolor="#ccecff">
                <v:textbox style="layout-flow:vertical;mso-layout-flow-alt:bottom-to-top" inset="3.6pt,,3.6pt">
                  <w:txbxContent>
                    <w:p w14:paraId="664CC610" w14:textId="77777777" w:rsidR="000D292E" w:rsidRDefault="000D292E" w:rsidP="00A53770">
                      <w:pPr>
                        <w:pStyle w:val="Heading2"/>
                        <w:rPr>
                          <w:lang w:val="en"/>
                        </w:rPr>
                      </w:pPr>
                      <w:bookmarkStart w:id="59" w:name="_Toc133141511"/>
                      <w:bookmarkStart w:id="60" w:name="_Toc133144169"/>
                      <w:bookmarkStart w:id="61" w:name="_Toc133335113"/>
                      <w:bookmarkStart w:id="62" w:name="_Toc133335222"/>
                      <w:bookmarkStart w:id="63" w:name="_Toc133336791"/>
                      <w:bookmarkStart w:id="64" w:name="_Toc133336997"/>
                      <w:bookmarkStart w:id="65" w:name="_Toc133337113"/>
                      <w:bookmarkStart w:id="66" w:name="_Toc133487783"/>
                      <w:r>
                        <w:rPr>
                          <w:lang w:val="en"/>
                        </w:rPr>
                        <w:t>Identification</w:t>
                      </w:r>
                      <w:bookmarkEnd w:id="59"/>
                      <w:bookmarkEnd w:id="60"/>
                      <w:bookmarkEnd w:id="61"/>
                      <w:bookmarkEnd w:id="62"/>
                      <w:bookmarkEnd w:id="63"/>
                      <w:bookmarkEnd w:id="64"/>
                      <w:bookmarkEnd w:id="65"/>
                      <w:bookmarkEnd w:id="66"/>
                    </w:p>
                  </w:txbxContent>
                </v:textbox>
              </v:roundrect>
            </w:pict>
          </mc:Fallback>
        </mc:AlternateContent>
      </w:r>
    </w:p>
    <w:p w14:paraId="2A5748DA" w14:textId="77777777" w:rsidR="005B760F" w:rsidRDefault="005B760F" w:rsidP="005B760F">
      <w:pPr>
        <w:rPr>
          <w:rFonts w:cstheme="minorHAnsi"/>
          <w:szCs w:val="24"/>
        </w:rPr>
      </w:pPr>
      <w:r>
        <w:rPr>
          <w:noProof/>
          <w:lang w:eastAsia="en-GB"/>
        </w:rPr>
        <mc:AlternateContent>
          <mc:Choice Requires="wps">
            <w:drawing>
              <wp:anchor distT="0" distB="0" distL="114300" distR="114300" simplePos="0" relativeHeight="251669504" behindDoc="0" locked="0" layoutInCell="1" allowOverlap="1" wp14:anchorId="50EB6C4B" wp14:editId="434B93DB">
                <wp:simplePos x="0" y="0"/>
                <wp:positionH relativeFrom="column">
                  <wp:posOffset>2876550</wp:posOffset>
                </wp:positionH>
                <wp:positionV relativeFrom="paragraph">
                  <wp:posOffset>200660</wp:posOffset>
                </wp:positionV>
                <wp:extent cx="2228850" cy="685800"/>
                <wp:effectExtent l="9525" t="9525" r="9525"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685800"/>
                        </a:xfrm>
                        <a:prstGeom prst="rect">
                          <a:avLst/>
                        </a:prstGeom>
                        <a:solidFill>
                          <a:srgbClr val="FFFFFF"/>
                        </a:solidFill>
                        <a:ln w="9525">
                          <a:solidFill>
                            <a:srgbClr val="000000"/>
                          </a:solidFill>
                          <a:miter lim="800000"/>
                          <a:headEnd/>
                          <a:tailEnd/>
                        </a:ln>
                      </wps:spPr>
                      <wps:txbx>
                        <w:txbxContent>
                          <w:p w14:paraId="67665177" w14:textId="77777777" w:rsidR="000D292E" w:rsidRDefault="000D292E" w:rsidP="005B760F">
                            <w:pPr>
                              <w:pStyle w:val="NoSpacing"/>
                              <w:jc w:val="center"/>
                              <w:rPr>
                                <w:lang w:val="en"/>
                              </w:rPr>
                            </w:pPr>
                            <w:r>
                              <w:t>Additional records identified through other sources</w:t>
                            </w:r>
                            <w:r>
                              <w:br/>
                              <w:t>(n =  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B6C4B" id="Rectangle 3" o:spid="_x0000_s1028" style="position:absolute;margin-left:226.5pt;margin-top:15.8pt;width:175.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">
                <v:textbox inset=",7.2pt,,7.2pt">
                  <w:txbxContent>
                    <w:p w14:paraId="67665177" w14:textId="77777777" w:rsidR="000D292E" w:rsidRDefault="000D292E" w:rsidP="005B760F">
                      <w:pPr>
                        <w:pStyle w:val="NoSpacing"/>
                        <w:jc w:val="center"/>
                        <w:rPr>
                          <w:lang w:val="en"/>
                        </w:rPr>
                      </w:pPr>
                      <w:r>
                        <w:t>Additional records identified through other sources</w:t>
                      </w:r>
                      <w:r>
                        <w:br/>
                        <w:t>(n =  0)</w:t>
                      </w:r>
                    </w:p>
                  </w:txbxContent>
                </v:textbox>
              </v:rect>
            </w:pict>
          </mc:Fallback>
        </mc:AlternateContent>
      </w:r>
    </w:p>
    <w:p w14:paraId="5B5027FB" w14:textId="77777777" w:rsidR="005B760F" w:rsidRDefault="005B760F" w:rsidP="005B760F">
      <w:pPr>
        <w:rPr>
          <w:rFonts w:cstheme="minorHAnsi"/>
          <w:szCs w:val="24"/>
        </w:rPr>
      </w:pPr>
    </w:p>
    <w:p w14:paraId="2D1ABBA6" w14:textId="77777777" w:rsidR="005B760F" w:rsidRDefault="005B760F" w:rsidP="005B760F">
      <w:pPr>
        <w:rPr>
          <w:rFonts w:cstheme="minorHAnsi"/>
          <w:szCs w:val="24"/>
        </w:rPr>
      </w:pPr>
    </w:p>
    <w:p w14:paraId="759DA59E" w14:textId="77777777" w:rsidR="005B760F" w:rsidRDefault="005B760F" w:rsidP="005B760F">
      <w:pPr>
        <w:rPr>
          <w:rFonts w:cstheme="minorHAnsi"/>
          <w:szCs w:val="24"/>
        </w:rPr>
      </w:pPr>
      <w:r>
        <w:rPr>
          <w:noProof/>
          <w:lang w:eastAsia="en-GB"/>
        </w:rPr>
        <mc:AlternateContent>
          <mc:Choice Requires="wps">
            <w:drawing>
              <wp:anchor distT="36576" distB="36576" distL="36576" distR="36576" simplePos="0" relativeHeight="251667456" behindDoc="0" locked="0" layoutInCell="1" allowOverlap="1" wp14:anchorId="72BCD9ED" wp14:editId="45740237">
                <wp:simplePos x="0" y="0"/>
                <wp:positionH relativeFrom="column">
                  <wp:posOffset>3917950</wp:posOffset>
                </wp:positionH>
                <wp:positionV relativeFrom="paragraph">
                  <wp:posOffset>17145</wp:posOffset>
                </wp:positionV>
                <wp:extent cx="0" cy="457200"/>
                <wp:effectExtent l="57150" t="9525" r="57150"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488965F" id="_x0000_t32" coordsize="21600,21600" o:spt="32" o:oned="t" path="m,l21600,21600e" filled="f">
                <v:path arrowok="t" fillok="f" o:connecttype="none"/>
                <o:lock v:ext="edit" shapetype="t"/>
              </v:shapetype>
              <v:shape id="Straight Arrow Connector 6" o:spid="_x0000_s1026" type="#_x0000_t32" style="position:absolute;margin-left:308.5pt;margin-top:1.35pt;width:0;height:36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">
                <v:stroke endarrow="block"/>
                <v:shadow color="#ccc"/>
              </v:shape>
            </w:pict>
          </mc:Fallback>
        </mc:AlternateContent>
      </w:r>
      <w:r>
        <w:rPr>
          <w:noProof/>
          <w:lang w:eastAsia="en-GB"/>
        </w:rPr>
        <mc:AlternateContent>
          <mc:Choice Requires="wps">
            <w:drawing>
              <wp:anchor distT="36576" distB="36576" distL="36576" distR="36576" simplePos="0" relativeHeight="251679744" behindDoc="0" locked="0" layoutInCell="1" allowOverlap="1" wp14:anchorId="1938EBCF" wp14:editId="0E85C0AA">
                <wp:simplePos x="0" y="0"/>
                <wp:positionH relativeFrom="column">
                  <wp:posOffset>1689100</wp:posOffset>
                </wp:positionH>
                <wp:positionV relativeFrom="paragraph">
                  <wp:posOffset>15875</wp:posOffset>
                </wp:positionV>
                <wp:extent cx="0" cy="457200"/>
                <wp:effectExtent l="57150" t="9525" r="57150" b="190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5E8B59" id="Straight Arrow Connector 21" o:spid="_x0000_s1026" type="#_x0000_t32" style="position:absolute;margin-left:133pt;margin-top:1.25pt;width:0;height:36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">
                <v:stroke endarrow="block"/>
                <v:shadow color="#ccc"/>
              </v:shape>
            </w:pict>
          </mc:Fallback>
        </mc:AlternateContent>
      </w:r>
    </w:p>
    <w:p w14:paraId="3BE7A831" w14:textId="77777777" w:rsidR="005B760F" w:rsidRDefault="005B760F" w:rsidP="005B760F">
      <w:pPr>
        <w:rPr>
          <w:rFonts w:cstheme="minorHAnsi"/>
          <w:szCs w:val="24"/>
        </w:rPr>
      </w:pPr>
      <w:r>
        <w:rPr>
          <w:noProof/>
          <w:lang w:eastAsia="en-GB"/>
        </w:rPr>
        <mc:AlternateContent>
          <mc:Choice Requires="wps">
            <w:drawing>
              <wp:anchor distT="0" distB="0" distL="114300" distR="114300" simplePos="0" relativeHeight="251670528" behindDoc="0" locked="0" layoutInCell="1" allowOverlap="1" wp14:anchorId="200973B4" wp14:editId="3C3CF494">
                <wp:simplePos x="0" y="0"/>
                <wp:positionH relativeFrom="column">
                  <wp:posOffset>1401445</wp:posOffset>
                </wp:positionH>
                <wp:positionV relativeFrom="paragraph">
                  <wp:posOffset>201295</wp:posOffset>
                </wp:positionV>
                <wp:extent cx="2771775" cy="571500"/>
                <wp:effectExtent l="13970" t="9525" r="5080" b="952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571500"/>
                        </a:xfrm>
                        <a:prstGeom prst="rect">
                          <a:avLst/>
                        </a:prstGeom>
                        <a:solidFill>
                          <a:srgbClr val="FFFFFF"/>
                        </a:solidFill>
                        <a:ln w="9525">
                          <a:solidFill>
                            <a:srgbClr val="000000"/>
                          </a:solidFill>
                          <a:miter lim="800000"/>
                          <a:headEnd/>
                          <a:tailEnd/>
                        </a:ln>
                      </wps:spPr>
                      <wps:txbx>
                        <w:txbxContent>
                          <w:p w14:paraId="7AF82873" w14:textId="77777777" w:rsidR="000D292E" w:rsidRDefault="000D292E" w:rsidP="005B760F">
                            <w:pPr>
                              <w:jc w:val="center"/>
                              <w:rPr>
                                <w:rFonts w:ascii="Calibri" w:hAnsi="Calibri"/>
                                <w:lang w:val="en"/>
                              </w:rPr>
                            </w:pPr>
                            <w:r>
                              <w:rPr>
                                <w:rFonts w:ascii="Calibri" w:hAnsi="Calibri"/>
                              </w:rPr>
                              <w:t>Records after duplicates removed</w:t>
                            </w:r>
                            <w:r>
                              <w:rPr>
                                <w:rFonts w:ascii="Calibri" w:hAnsi="Calibri"/>
                              </w:rPr>
                              <w:br/>
                              <w:t>(n =338)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973B4" id="Rectangle 4" o:spid="_x0000_s1029" style="position:absolute;margin-left:110.35pt;margin-top:15.85pt;width:218.2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">
                <v:textbox inset=",7.2pt,,7.2pt">
                  <w:txbxContent>
                    <w:p w14:paraId="7AF82873" w14:textId="77777777" w:rsidR="000D292E" w:rsidRDefault="000D292E" w:rsidP="005B760F">
                      <w:pPr>
                        <w:jc w:val="center"/>
                        <w:rPr>
                          <w:rFonts w:ascii="Calibri" w:hAnsi="Calibri"/>
                          <w:lang w:val="en"/>
                        </w:rPr>
                      </w:pPr>
                      <w:r>
                        <w:rPr>
                          <w:rFonts w:ascii="Calibri" w:hAnsi="Calibri"/>
                        </w:rPr>
                        <w:t>Records after duplicates removed</w:t>
                      </w:r>
                      <w:r>
                        <w:rPr>
                          <w:rFonts w:ascii="Calibri" w:hAnsi="Calibri"/>
                        </w:rPr>
                        <w:br/>
                        <w:t>(n =338)</w:t>
                      </w:r>
                    </w:p>
                  </w:txbxContent>
                </v:textbox>
              </v:rect>
            </w:pict>
          </mc:Fallback>
        </mc:AlternateContent>
      </w:r>
    </w:p>
    <w:p w14:paraId="1D34BFDC" w14:textId="77777777" w:rsidR="005B760F" w:rsidRDefault="005B760F" w:rsidP="005B760F">
      <w:pPr>
        <w:rPr>
          <w:rFonts w:cstheme="minorHAnsi"/>
          <w:szCs w:val="24"/>
        </w:rPr>
      </w:pPr>
    </w:p>
    <w:p w14:paraId="0BB12CF9" w14:textId="77777777" w:rsidR="005B760F" w:rsidRDefault="005B760F" w:rsidP="005B760F">
      <w:pPr>
        <w:rPr>
          <w:rFonts w:cstheme="minorHAnsi"/>
          <w:szCs w:val="24"/>
        </w:rPr>
      </w:pPr>
      <w:r>
        <w:rPr>
          <w:noProof/>
          <w:lang w:eastAsia="en-GB"/>
        </w:rPr>
        <mc:AlternateContent>
          <mc:Choice Requires="wps">
            <w:drawing>
              <wp:anchor distT="36576" distB="36576" distL="36576" distR="36576" simplePos="0" relativeHeight="251680768" behindDoc="0" locked="0" layoutInCell="1" allowOverlap="1" wp14:anchorId="4B54F31A" wp14:editId="097F9BCC">
                <wp:simplePos x="0" y="0"/>
                <wp:positionH relativeFrom="column">
                  <wp:posOffset>2762250</wp:posOffset>
                </wp:positionH>
                <wp:positionV relativeFrom="paragraph">
                  <wp:posOffset>203200</wp:posOffset>
                </wp:positionV>
                <wp:extent cx="0" cy="457200"/>
                <wp:effectExtent l="57150" t="9525" r="57150" b="190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F202BC" id="Straight Arrow Connector 22" o:spid="_x0000_s1026" type="#_x0000_t32" style="position:absolute;margin-left:217.5pt;margin-top:16pt;width:0;height:36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">
                <v:stroke endarrow="block"/>
                <v:shadow color="#ccc"/>
              </v:shape>
            </w:pict>
          </mc:Fallback>
        </mc:AlternateContent>
      </w:r>
      <w:r>
        <w:rPr>
          <w:noProof/>
          <w:lang w:eastAsia="en-GB"/>
        </w:rPr>
        <mc:AlternateContent>
          <mc:Choice Requires="wps">
            <w:drawing>
              <wp:anchor distT="0" distB="0" distL="114300" distR="114300" simplePos="0" relativeHeight="251672576" behindDoc="0" locked="0" layoutInCell="1" allowOverlap="1" wp14:anchorId="1983AEF5" wp14:editId="7F88A644">
                <wp:simplePos x="0" y="0"/>
                <wp:positionH relativeFrom="column">
                  <wp:posOffset>4304665</wp:posOffset>
                </wp:positionH>
                <wp:positionV relativeFrom="paragraph">
                  <wp:posOffset>37465</wp:posOffset>
                </wp:positionV>
                <wp:extent cx="1714500" cy="1103630"/>
                <wp:effectExtent l="12065" t="13970" r="6985" b="63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03630"/>
                        </a:xfrm>
                        <a:prstGeom prst="rect">
                          <a:avLst/>
                        </a:prstGeom>
                        <a:solidFill>
                          <a:srgbClr val="FFFFFF"/>
                        </a:solidFill>
                        <a:ln w="9525">
                          <a:solidFill>
                            <a:srgbClr val="000000"/>
                          </a:solidFill>
                          <a:miter lim="800000"/>
                          <a:headEnd/>
                          <a:tailEnd/>
                        </a:ln>
                      </wps:spPr>
                      <wps:txbx>
                        <w:txbxContent>
                          <w:p w14:paraId="4B940652" w14:textId="77777777" w:rsidR="000D292E" w:rsidRDefault="000D292E" w:rsidP="005B760F">
                            <w:pPr>
                              <w:jc w:val="center"/>
                              <w:rPr>
                                <w:rFonts w:ascii="Calibri" w:hAnsi="Calibri"/>
                              </w:rPr>
                            </w:pPr>
                            <w:r>
                              <w:rPr>
                                <w:rFonts w:ascii="Calibri" w:hAnsi="Calibri"/>
                              </w:rPr>
                              <w:t>Records excluded</w:t>
                            </w:r>
                            <w:r>
                              <w:rPr>
                                <w:rFonts w:ascii="Calibri" w:hAnsi="Calibri"/>
                              </w:rPr>
                              <w:br/>
                              <w:t>(n = 271)</w:t>
                            </w:r>
                          </w:p>
                          <w:p w14:paraId="08C35886" w14:textId="77777777" w:rsidR="000D292E" w:rsidRDefault="000D292E" w:rsidP="005B760F">
                            <w:pPr>
                              <w:jc w:val="center"/>
                              <w:rPr>
                                <w:rFonts w:ascii="Calibri" w:hAnsi="Calibri"/>
                                <w:lang w:val="en"/>
                              </w:rPr>
                            </w:pPr>
                            <w:r>
                              <w:rPr>
                                <w:rFonts w:ascii="Calibri" w:hAnsi="Calibri"/>
                              </w:rPr>
                              <w:t>Did not focus on IU and PTSS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3AEF5" id="Rectangle 17" o:spid="_x0000_s1030" style="position:absolute;margin-left:338.95pt;margin-top:2.95pt;width:135pt;height:8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">
                <v:textbox inset=",7.2pt,,7.2pt">
                  <w:txbxContent>
                    <w:p w14:paraId="4B940652" w14:textId="77777777" w:rsidR="000D292E" w:rsidRDefault="000D292E" w:rsidP="005B760F">
                      <w:pPr>
                        <w:jc w:val="center"/>
                        <w:rPr>
                          <w:rFonts w:ascii="Calibri" w:hAnsi="Calibri"/>
                        </w:rPr>
                      </w:pPr>
                      <w:r>
                        <w:rPr>
                          <w:rFonts w:ascii="Calibri" w:hAnsi="Calibri"/>
                        </w:rPr>
                        <w:t>Records excluded</w:t>
                      </w:r>
                      <w:r>
                        <w:rPr>
                          <w:rFonts w:ascii="Calibri" w:hAnsi="Calibri"/>
                        </w:rPr>
                        <w:br/>
                        <w:t>(n = 271)</w:t>
                      </w:r>
                    </w:p>
                    <w:p w14:paraId="08C35886" w14:textId="77777777" w:rsidR="000D292E" w:rsidRDefault="000D292E" w:rsidP="005B760F">
                      <w:pPr>
                        <w:jc w:val="center"/>
                        <w:rPr>
                          <w:rFonts w:ascii="Calibri" w:hAnsi="Calibri"/>
                          <w:lang w:val="en"/>
                        </w:rPr>
                      </w:pPr>
                      <w:r>
                        <w:rPr>
                          <w:rFonts w:ascii="Calibri" w:hAnsi="Calibri"/>
                        </w:rPr>
                        <w:t>Did not focus on IU and PTSS</w:t>
                      </w:r>
                    </w:p>
                  </w:txbxContent>
                </v:textbox>
              </v:rect>
            </w:pict>
          </mc:Fallback>
        </mc:AlternateContent>
      </w:r>
    </w:p>
    <w:p w14:paraId="4927D343" w14:textId="77777777" w:rsidR="005B760F" w:rsidRDefault="005B760F" w:rsidP="005B760F">
      <w:pPr>
        <w:rPr>
          <w:rFonts w:cstheme="minorHAnsi"/>
          <w:szCs w:val="24"/>
        </w:rPr>
      </w:pPr>
      <w:r>
        <w:rPr>
          <w:noProof/>
          <w:lang w:eastAsia="en-GB"/>
        </w:rPr>
        <mc:AlternateContent>
          <mc:Choice Requires="wps">
            <w:drawing>
              <wp:anchor distT="0" distB="0" distL="114300" distR="114300" simplePos="0" relativeHeight="251664384" behindDoc="0" locked="0" layoutInCell="1" allowOverlap="1" wp14:anchorId="65D8E723" wp14:editId="385F71A5">
                <wp:simplePos x="0" y="0"/>
                <wp:positionH relativeFrom="column">
                  <wp:posOffset>-1032826</wp:posOffset>
                </wp:positionH>
                <wp:positionV relativeFrom="paragraph">
                  <wp:posOffset>296228</wp:posOffset>
                </wp:positionV>
                <wp:extent cx="1371600" cy="313375"/>
                <wp:effectExtent l="0" t="4128" r="14923" b="14922"/>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313375"/>
                        </a:xfrm>
                        <a:prstGeom prst="roundRect">
                          <a:avLst>
                            <a:gd name="adj" fmla="val 16667"/>
                          </a:avLst>
                        </a:prstGeom>
                        <a:solidFill>
                          <a:srgbClr val="CCECFF"/>
                        </a:solidFill>
                        <a:ln w="9525">
                          <a:solidFill>
                            <a:srgbClr val="000000"/>
                          </a:solidFill>
                          <a:round/>
                          <a:headEnd/>
                          <a:tailEnd/>
                        </a:ln>
                      </wps:spPr>
                      <wps:txbx>
                        <w:txbxContent>
                          <w:p w14:paraId="5C0F2016" w14:textId="77777777" w:rsidR="000D292E" w:rsidRDefault="000D292E" w:rsidP="00A53770">
                            <w:pPr>
                              <w:pStyle w:val="Heading2"/>
                              <w:rPr>
                                <w:lang w:val="en"/>
                              </w:rPr>
                            </w:pPr>
                            <w:bookmarkStart w:id="58" w:name="_Toc133141512"/>
                            <w:bookmarkStart w:id="59" w:name="_Toc133144170"/>
                            <w:bookmarkStart w:id="60" w:name="_Toc133335114"/>
                            <w:bookmarkStart w:id="61" w:name="_Toc133335223"/>
                            <w:bookmarkStart w:id="62" w:name="_Toc133336792"/>
                            <w:bookmarkStart w:id="63" w:name="_Toc133336998"/>
                            <w:bookmarkStart w:id="64" w:name="_Toc133337114"/>
                            <w:bookmarkStart w:id="65" w:name="_Toc133487784"/>
                            <w:r>
                              <w:rPr>
                                <w:lang w:val="en"/>
                              </w:rPr>
                              <w:t>Screening</w:t>
                            </w:r>
                            <w:bookmarkEnd w:id="58"/>
                            <w:bookmarkEnd w:id="59"/>
                            <w:bookmarkEnd w:id="60"/>
                            <w:bookmarkEnd w:id="61"/>
                            <w:bookmarkEnd w:id="62"/>
                            <w:bookmarkEnd w:id="63"/>
                            <w:bookmarkEnd w:id="64"/>
                            <w:bookmarkEnd w:id="65"/>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D8E723" id="Rounded Rectangle 11" o:spid="_x0000_s1031" style="position:absolute;margin-left:-81.3pt;margin-top:23.35pt;width:108pt;height:24.7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" fillcolor="#ccecff">
                <v:textbox style="layout-flow:vertical;mso-layout-flow-alt:bottom-to-top" inset="3.6pt,,3.6pt">
                  <w:txbxContent>
                    <w:p w14:paraId="5C0F2016" w14:textId="77777777" w:rsidR="000D292E" w:rsidRDefault="000D292E" w:rsidP="00A53770">
                      <w:pPr>
                        <w:pStyle w:val="Heading2"/>
                        <w:rPr>
                          <w:lang w:val="en"/>
                        </w:rPr>
                      </w:pPr>
                      <w:bookmarkStart w:id="75" w:name="_Toc133141512"/>
                      <w:bookmarkStart w:id="76" w:name="_Toc133144170"/>
                      <w:bookmarkStart w:id="77" w:name="_Toc133335114"/>
                      <w:bookmarkStart w:id="78" w:name="_Toc133335223"/>
                      <w:bookmarkStart w:id="79" w:name="_Toc133336792"/>
                      <w:bookmarkStart w:id="80" w:name="_Toc133336998"/>
                      <w:bookmarkStart w:id="81" w:name="_Toc133337114"/>
                      <w:bookmarkStart w:id="82" w:name="_Toc133487784"/>
                      <w:r>
                        <w:rPr>
                          <w:lang w:val="en"/>
                        </w:rPr>
                        <w:t>Screening</w:t>
                      </w:r>
                      <w:bookmarkEnd w:id="75"/>
                      <w:bookmarkEnd w:id="76"/>
                      <w:bookmarkEnd w:id="77"/>
                      <w:bookmarkEnd w:id="78"/>
                      <w:bookmarkEnd w:id="79"/>
                      <w:bookmarkEnd w:id="80"/>
                      <w:bookmarkEnd w:id="81"/>
                      <w:bookmarkEnd w:id="82"/>
                    </w:p>
                  </w:txbxContent>
                </v:textbox>
              </v:roundrect>
            </w:pict>
          </mc:Fallback>
        </mc:AlternateContent>
      </w:r>
    </w:p>
    <w:p w14:paraId="4B4ECE73" w14:textId="68EC4FC5" w:rsidR="005B760F" w:rsidRDefault="005B760F" w:rsidP="005B760F">
      <w:pPr>
        <w:rPr>
          <w:rFonts w:cstheme="minorHAnsi"/>
          <w:szCs w:val="24"/>
        </w:rPr>
      </w:pPr>
      <w:r>
        <w:rPr>
          <w:noProof/>
          <w:lang w:eastAsia="en-GB"/>
        </w:rPr>
        <mc:AlternateContent>
          <mc:Choice Requires="wps">
            <w:drawing>
              <wp:anchor distT="0" distB="0" distL="114300" distR="114300" simplePos="0" relativeHeight="251671552" behindDoc="0" locked="0" layoutInCell="1" allowOverlap="1" wp14:anchorId="135C6D6A" wp14:editId="0EF614BF">
                <wp:simplePos x="0" y="0"/>
                <wp:positionH relativeFrom="column">
                  <wp:posOffset>1908175</wp:posOffset>
                </wp:positionH>
                <wp:positionV relativeFrom="paragraph">
                  <wp:posOffset>124460</wp:posOffset>
                </wp:positionV>
                <wp:extent cx="1670050" cy="747395"/>
                <wp:effectExtent l="12700" t="8255" r="12700" b="63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747395"/>
                        </a:xfrm>
                        <a:prstGeom prst="rect">
                          <a:avLst/>
                        </a:prstGeom>
                        <a:solidFill>
                          <a:srgbClr val="FFFFFF"/>
                        </a:solidFill>
                        <a:ln w="9525">
                          <a:solidFill>
                            <a:srgbClr val="000000"/>
                          </a:solidFill>
                          <a:miter lim="800000"/>
                          <a:headEnd/>
                          <a:tailEnd/>
                        </a:ln>
                      </wps:spPr>
                      <wps:txbx>
                        <w:txbxContent>
                          <w:p w14:paraId="5F1C8814" w14:textId="77777777" w:rsidR="000D292E" w:rsidRDefault="000D292E" w:rsidP="005B760F">
                            <w:pPr>
                              <w:jc w:val="center"/>
                              <w:rPr>
                                <w:rFonts w:ascii="Calibri" w:hAnsi="Calibri"/>
                                <w:lang w:val="en"/>
                              </w:rPr>
                            </w:pPr>
                            <w:r>
                              <w:rPr>
                                <w:rFonts w:ascii="Calibri" w:hAnsi="Calibri"/>
                              </w:rPr>
                              <w:t>Records screened by title and abstract</w:t>
                            </w:r>
                            <w:r>
                              <w:rPr>
                                <w:rFonts w:ascii="Calibri" w:hAnsi="Calibri"/>
                              </w:rPr>
                              <w:br/>
                              <w:t>(n = 338)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C6D6A" id="Rectangle 14" o:spid="_x0000_s1032" style="position:absolute;margin-left:150.25pt;margin-top:9.8pt;width:131.5pt;height:5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">
                <v:textbox inset=",7.2pt,,7.2pt">
                  <w:txbxContent>
                    <w:p w14:paraId="5F1C8814" w14:textId="77777777" w:rsidR="000D292E" w:rsidRDefault="000D292E" w:rsidP="005B760F">
                      <w:pPr>
                        <w:jc w:val="center"/>
                        <w:rPr>
                          <w:rFonts w:ascii="Calibri" w:hAnsi="Calibri"/>
                          <w:lang w:val="en"/>
                        </w:rPr>
                      </w:pPr>
                      <w:r>
                        <w:rPr>
                          <w:rFonts w:ascii="Calibri" w:hAnsi="Calibri"/>
                        </w:rPr>
                        <w:t>Records screened by title and abstract</w:t>
                      </w:r>
                      <w:r>
                        <w:rPr>
                          <w:rFonts w:ascii="Calibri" w:hAnsi="Calibri"/>
                        </w:rPr>
                        <w:br/>
                        <w:t>(n = 338)</w:t>
                      </w:r>
                    </w:p>
                  </w:txbxContent>
                </v:textbox>
              </v:rect>
            </w:pict>
          </mc:Fallback>
        </mc:AlternateContent>
      </w:r>
    </w:p>
    <w:p w14:paraId="649D441A" w14:textId="4CBD230A" w:rsidR="005B760F" w:rsidRDefault="000D292E" w:rsidP="005B760F">
      <w:pPr>
        <w:rPr>
          <w:rFonts w:cstheme="minorHAnsi"/>
          <w:szCs w:val="24"/>
        </w:rPr>
      </w:pPr>
      <w:r>
        <w:rPr>
          <w:noProof/>
          <w:lang w:eastAsia="en-GB"/>
        </w:rPr>
        <mc:AlternateContent>
          <mc:Choice Requires="wps">
            <w:drawing>
              <wp:anchor distT="36576" distB="36576" distL="36576" distR="36576" simplePos="0" relativeHeight="251676672" behindDoc="0" locked="0" layoutInCell="1" allowOverlap="1" wp14:anchorId="795521D5" wp14:editId="2A69B0B7">
                <wp:simplePos x="0" y="0"/>
                <wp:positionH relativeFrom="column">
                  <wp:posOffset>3664487</wp:posOffset>
                </wp:positionH>
                <wp:positionV relativeFrom="paragraph">
                  <wp:posOffset>38931</wp:posOffset>
                </wp:positionV>
                <wp:extent cx="617220" cy="45719"/>
                <wp:effectExtent l="0" t="38100" r="49530" b="8826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 cy="4571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ACC6917" id="_x0000_t32" coordsize="21600,21600" o:spt="32" o:oned="t" path="m,l21600,21600e" filled="f">
                <v:path arrowok="t" fillok="f" o:connecttype="none"/>
                <o:lock v:ext="edit" shapetype="t"/>
              </v:shapetype>
              <v:shape id="Straight Arrow Connector 18" o:spid="_x0000_s1026" type="#_x0000_t32" style="position:absolute;margin-left:288.55pt;margin-top:3.05pt;width:48.6pt;height:3.6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">
                <v:stroke endarrow="block"/>
                <v:shadow color="#ccc"/>
              </v:shape>
            </w:pict>
          </mc:Fallback>
        </mc:AlternateContent>
      </w:r>
    </w:p>
    <w:p w14:paraId="004A7550" w14:textId="77777777" w:rsidR="005B760F" w:rsidRDefault="005B760F" w:rsidP="005B760F">
      <w:pPr>
        <w:rPr>
          <w:rFonts w:cstheme="minorHAnsi"/>
          <w:szCs w:val="24"/>
        </w:rPr>
      </w:pPr>
    </w:p>
    <w:p w14:paraId="438325B3" w14:textId="77777777" w:rsidR="005B760F" w:rsidRDefault="005B760F" w:rsidP="005B760F">
      <w:pPr>
        <w:rPr>
          <w:rFonts w:cstheme="minorHAnsi"/>
          <w:szCs w:val="24"/>
        </w:rPr>
      </w:pPr>
      <w:r>
        <w:rPr>
          <w:noProof/>
          <w:lang w:eastAsia="en-GB"/>
        </w:rPr>
        <mc:AlternateContent>
          <mc:Choice Requires="wps">
            <w:drawing>
              <wp:anchor distT="0" distB="0" distL="114300" distR="114300" simplePos="0" relativeHeight="251674624" behindDoc="0" locked="0" layoutInCell="1" allowOverlap="1" wp14:anchorId="5F51477B" wp14:editId="19315607">
                <wp:simplePos x="0" y="0"/>
                <wp:positionH relativeFrom="column">
                  <wp:posOffset>4203700</wp:posOffset>
                </wp:positionH>
                <wp:positionV relativeFrom="paragraph">
                  <wp:posOffset>88265</wp:posOffset>
                </wp:positionV>
                <wp:extent cx="2082800" cy="3676650"/>
                <wp:effectExtent l="0" t="0" r="1270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0" cy="3676650"/>
                        </a:xfrm>
                        <a:prstGeom prst="rect">
                          <a:avLst/>
                        </a:prstGeom>
                        <a:solidFill>
                          <a:srgbClr val="FFFFFF"/>
                        </a:solidFill>
                        <a:ln w="9525">
                          <a:solidFill>
                            <a:srgbClr val="000000"/>
                          </a:solidFill>
                          <a:miter lim="800000"/>
                          <a:headEnd/>
                          <a:tailEnd/>
                        </a:ln>
                      </wps:spPr>
                      <wps:txbx>
                        <w:txbxContent>
                          <w:p w14:paraId="6C3D6A6D" w14:textId="77777777" w:rsidR="000D292E" w:rsidRPr="00516B90" w:rsidRDefault="000D292E" w:rsidP="005B760F">
                            <w:pPr>
                              <w:jc w:val="center"/>
                              <w:rPr>
                                <w:sz w:val="20"/>
                                <w:szCs w:val="20"/>
                              </w:rPr>
                            </w:pPr>
                            <w:r w:rsidRPr="00516B90">
                              <w:rPr>
                                <w:sz w:val="20"/>
                                <w:szCs w:val="20"/>
                              </w:rPr>
                              <w:t>Full-text artic</w:t>
                            </w:r>
                            <w:r>
                              <w:rPr>
                                <w:sz w:val="20"/>
                                <w:szCs w:val="20"/>
                              </w:rPr>
                              <w:t>les excluded, with reasons</w:t>
                            </w:r>
                            <w:r>
                              <w:rPr>
                                <w:sz w:val="20"/>
                                <w:szCs w:val="20"/>
                              </w:rPr>
                              <w:br/>
                              <w:t>(n=50</w:t>
                            </w:r>
                            <w:r w:rsidRPr="00516B90">
                              <w:rPr>
                                <w:sz w:val="20"/>
                                <w:szCs w:val="20"/>
                              </w:rPr>
                              <w:t>)</w:t>
                            </w:r>
                          </w:p>
                          <w:p w14:paraId="0B28C512" w14:textId="77777777" w:rsidR="000D292E" w:rsidRPr="00516B90" w:rsidRDefault="000D292E" w:rsidP="005B760F">
                            <w:pPr>
                              <w:jc w:val="center"/>
                              <w:rPr>
                                <w:sz w:val="20"/>
                                <w:szCs w:val="20"/>
                              </w:rPr>
                            </w:pPr>
                            <w:r w:rsidRPr="00516B90">
                              <w:rPr>
                                <w:sz w:val="20"/>
                                <w:szCs w:val="20"/>
                              </w:rPr>
                              <w:t xml:space="preserve">Did not include </w:t>
                            </w:r>
                            <w:r>
                              <w:rPr>
                                <w:sz w:val="20"/>
                                <w:szCs w:val="20"/>
                              </w:rPr>
                              <w:t xml:space="preserve">standardised </w:t>
                            </w:r>
                            <w:r w:rsidRPr="00516B90">
                              <w:rPr>
                                <w:sz w:val="20"/>
                                <w:szCs w:val="20"/>
                              </w:rPr>
                              <w:t>measures of both IU and PTSS</w:t>
                            </w:r>
                            <w:r>
                              <w:rPr>
                                <w:sz w:val="20"/>
                                <w:szCs w:val="20"/>
                              </w:rPr>
                              <w:t xml:space="preserve"> (n=22)</w:t>
                            </w:r>
                          </w:p>
                          <w:p w14:paraId="361D058D" w14:textId="77777777" w:rsidR="000D292E" w:rsidRPr="00516B90" w:rsidRDefault="000D292E" w:rsidP="005B760F">
                            <w:pPr>
                              <w:jc w:val="center"/>
                              <w:rPr>
                                <w:sz w:val="20"/>
                                <w:szCs w:val="20"/>
                              </w:rPr>
                            </w:pPr>
                            <w:r w:rsidRPr="00516B90">
                              <w:rPr>
                                <w:sz w:val="20"/>
                                <w:szCs w:val="20"/>
                              </w:rPr>
                              <w:t>Analysis does not focus on  relationship between IU and PTSS</w:t>
                            </w:r>
                            <w:r>
                              <w:rPr>
                                <w:sz w:val="20"/>
                                <w:szCs w:val="20"/>
                              </w:rPr>
                              <w:t xml:space="preserve"> (n=7)</w:t>
                            </w:r>
                          </w:p>
                          <w:p w14:paraId="126ACD0A" w14:textId="77777777" w:rsidR="000D292E" w:rsidRPr="00516B90" w:rsidRDefault="000D292E" w:rsidP="005B760F">
                            <w:pPr>
                              <w:jc w:val="center"/>
                              <w:rPr>
                                <w:sz w:val="20"/>
                                <w:szCs w:val="20"/>
                              </w:rPr>
                            </w:pPr>
                            <w:r w:rsidRPr="00516B90">
                              <w:rPr>
                                <w:sz w:val="20"/>
                                <w:szCs w:val="20"/>
                              </w:rPr>
                              <w:t>Population Primarily occupational trauma (e.g. veteran, police, first-responder) or clinical (e.g. inpatient, psychosis, specific physical health problem)</w:t>
                            </w:r>
                            <w:r>
                              <w:rPr>
                                <w:sz w:val="20"/>
                                <w:szCs w:val="20"/>
                              </w:rPr>
                              <w:t>, or children (n=19)</w:t>
                            </w:r>
                          </w:p>
                          <w:p w14:paraId="2648B1CE" w14:textId="77777777" w:rsidR="000D292E" w:rsidRDefault="000D292E" w:rsidP="005B760F">
                            <w:pPr>
                              <w:jc w:val="center"/>
                            </w:pPr>
                            <w:r>
                              <w:rPr>
                                <w:sz w:val="20"/>
                                <w:szCs w:val="20"/>
                              </w:rPr>
                              <w:t>Intervention study (n=2)</w:t>
                            </w:r>
                          </w:p>
                          <w:p w14:paraId="4DD9F604" w14:textId="77777777" w:rsidR="000D292E" w:rsidRDefault="000D292E" w:rsidP="005B760F">
                            <w:pPr>
                              <w:jc w:val="center"/>
                              <w:rPr>
                                <w:rFonts w:ascii="Calibri" w:hAnsi="Calibri"/>
                              </w:rPr>
                            </w:pPr>
                          </w:p>
                          <w:p w14:paraId="3DBFCA8D" w14:textId="77777777" w:rsidR="000D292E" w:rsidRDefault="000D292E" w:rsidP="005B760F">
                            <w:pPr>
                              <w:jc w:val="center"/>
                              <w:rPr>
                                <w:rFonts w:ascii="Calibri" w:hAnsi="Calibri"/>
                                <w:lang w:val="e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1477B" id="Rectangle 19" o:spid="_x0000_s1033" style="position:absolute;margin-left:331pt;margin-top:6.95pt;width:164pt;height:2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">
                <v:textbox inset=",7.2pt,,7.2pt">
                  <w:txbxContent>
                    <w:p w14:paraId="6C3D6A6D" w14:textId="77777777" w:rsidR="000D292E" w:rsidRPr="00516B90" w:rsidRDefault="000D292E" w:rsidP="005B760F">
                      <w:pPr>
                        <w:jc w:val="center"/>
                        <w:rPr>
                          <w:sz w:val="20"/>
                          <w:szCs w:val="20"/>
                        </w:rPr>
                      </w:pPr>
                      <w:r w:rsidRPr="00516B90">
                        <w:rPr>
                          <w:sz w:val="20"/>
                          <w:szCs w:val="20"/>
                        </w:rPr>
                        <w:t>Full-text artic</w:t>
                      </w:r>
                      <w:r>
                        <w:rPr>
                          <w:sz w:val="20"/>
                          <w:szCs w:val="20"/>
                        </w:rPr>
                        <w:t>les excluded, with reasons</w:t>
                      </w:r>
                      <w:r>
                        <w:rPr>
                          <w:sz w:val="20"/>
                          <w:szCs w:val="20"/>
                        </w:rPr>
                        <w:br/>
                        <w:t>(n=50</w:t>
                      </w:r>
                      <w:r w:rsidRPr="00516B90">
                        <w:rPr>
                          <w:sz w:val="20"/>
                          <w:szCs w:val="20"/>
                        </w:rPr>
                        <w:t>)</w:t>
                      </w:r>
                    </w:p>
                    <w:p w14:paraId="0B28C512" w14:textId="77777777" w:rsidR="000D292E" w:rsidRPr="00516B90" w:rsidRDefault="000D292E" w:rsidP="005B760F">
                      <w:pPr>
                        <w:jc w:val="center"/>
                        <w:rPr>
                          <w:sz w:val="20"/>
                          <w:szCs w:val="20"/>
                        </w:rPr>
                      </w:pPr>
                      <w:r w:rsidRPr="00516B90">
                        <w:rPr>
                          <w:sz w:val="20"/>
                          <w:szCs w:val="20"/>
                        </w:rPr>
                        <w:t xml:space="preserve">Did not include </w:t>
                      </w:r>
                      <w:r>
                        <w:rPr>
                          <w:sz w:val="20"/>
                          <w:szCs w:val="20"/>
                        </w:rPr>
                        <w:t xml:space="preserve">standardised </w:t>
                      </w:r>
                      <w:r w:rsidRPr="00516B90">
                        <w:rPr>
                          <w:sz w:val="20"/>
                          <w:szCs w:val="20"/>
                        </w:rPr>
                        <w:t>measures of both IU and PTSS</w:t>
                      </w:r>
                      <w:r>
                        <w:rPr>
                          <w:sz w:val="20"/>
                          <w:szCs w:val="20"/>
                        </w:rPr>
                        <w:t xml:space="preserve"> (n=22)</w:t>
                      </w:r>
                    </w:p>
                    <w:p w14:paraId="361D058D" w14:textId="77777777" w:rsidR="000D292E" w:rsidRPr="00516B90" w:rsidRDefault="000D292E" w:rsidP="005B760F">
                      <w:pPr>
                        <w:jc w:val="center"/>
                        <w:rPr>
                          <w:sz w:val="20"/>
                          <w:szCs w:val="20"/>
                        </w:rPr>
                      </w:pPr>
                      <w:r w:rsidRPr="00516B90">
                        <w:rPr>
                          <w:sz w:val="20"/>
                          <w:szCs w:val="20"/>
                        </w:rPr>
                        <w:t>Analysis does not focus on  relationship between IU and PTSS</w:t>
                      </w:r>
                      <w:r>
                        <w:rPr>
                          <w:sz w:val="20"/>
                          <w:szCs w:val="20"/>
                        </w:rPr>
                        <w:t xml:space="preserve"> (n=7)</w:t>
                      </w:r>
                    </w:p>
                    <w:p w14:paraId="126ACD0A" w14:textId="77777777" w:rsidR="000D292E" w:rsidRPr="00516B90" w:rsidRDefault="000D292E" w:rsidP="005B760F">
                      <w:pPr>
                        <w:jc w:val="center"/>
                        <w:rPr>
                          <w:sz w:val="20"/>
                          <w:szCs w:val="20"/>
                        </w:rPr>
                      </w:pPr>
                      <w:r w:rsidRPr="00516B90">
                        <w:rPr>
                          <w:sz w:val="20"/>
                          <w:szCs w:val="20"/>
                        </w:rPr>
                        <w:t>Population Primarily occupational trauma (e.g. veteran, police, first-responder) or clinical (e.g. inpatient, psychosis, specific physical health problem)</w:t>
                      </w:r>
                      <w:r>
                        <w:rPr>
                          <w:sz w:val="20"/>
                          <w:szCs w:val="20"/>
                        </w:rPr>
                        <w:t>, or children (n=19)</w:t>
                      </w:r>
                    </w:p>
                    <w:p w14:paraId="2648B1CE" w14:textId="77777777" w:rsidR="000D292E" w:rsidRDefault="000D292E" w:rsidP="005B760F">
                      <w:pPr>
                        <w:jc w:val="center"/>
                      </w:pPr>
                      <w:r>
                        <w:rPr>
                          <w:sz w:val="20"/>
                          <w:szCs w:val="20"/>
                        </w:rPr>
                        <w:t>Intervention study (n=2)</w:t>
                      </w:r>
                    </w:p>
                    <w:p w14:paraId="4DD9F604" w14:textId="77777777" w:rsidR="000D292E" w:rsidRDefault="000D292E" w:rsidP="005B760F">
                      <w:pPr>
                        <w:jc w:val="center"/>
                        <w:rPr>
                          <w:rFonts w:ascii="Calibri" w:hAnsi="Calibri"/>
                        </w:rPr>
                      </w:pPr>
                    </w:p>
                    <w:p w14:paraId="3DBFCA8D" w14:textId="77777777" w:rsidR="000D292E" w:rsidRDefault="000D292E" w:rsidP="005B760F">
                      <w:pPr>
                        <w:jc w:val="center"/>
                        <w:rPr>
                          <w:rFonts w:ascii="Calibri" w:hAnsi="Calibri"/>
                          <w:lang w:val="en"/>
                        </w:rPr>
                      </w:pPr>
                    </w:p>
                  </w:txbxContent>
                </v:textbox>
              </v:rect>
            </w:pict>
          </mc:Fallback>
        </mc:AlternateContent>
      </w:r>
    </w:p>
    <w:p w14:paraId="01CA4790" w14:textId="77777777" w:rsidR="005B760F" w:rsidRDefault="005B760F" w:rsidP="005B760F">
      <w:pPr>
        <w:rPr>
          <w:rFonts w:cstheme="minorHAnsi"/>
          <w:szCs w:val="24"/>
        </w:rPr>
      </w:pPr>
      <w:r>
        <w:rPr>
          <w:noProof/>
          <w:lang w:eastAsia="en-GB"/>
        </w:rPr>
        <mc:AlternateContent>
          <mc:Choice Requires="wps">
            <w:drawing>
              <wp:anchor distT="36576" distB="36576" distL="36576" distR="36576" simplePos="0" relativeHeight="251681792" behindDoc="0" locked="0" layoutInCell="1" allowOverlap="1" wp14:anchorId="6DF09040" wp14:editId="14BDFA33">
                <wp:simplePos x="0" y="0"/>
                <wp:positionH relativeFrom="column">
                  <wp:posOffset>2755900</wp:posOffset>
                </wp:positionH>
                <wp:positionV relativeFrom="paragraph">
                  <wp:posOffset>17145</wp:posOffset>
                </wp:positionV>
                <wp:extent cx="0" cy="457200"/>
                <wp:effectExtent l="57150" t="9525" r="57150" b="190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B3BBAD" id="Straight Arrow Connector 24" o:spid="_x0000_s1026" type="#_x0000_t32" style="position:absolute;margin-left:217pt;margin-top:1.35pt;width:0;height:36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">
                <v:stroke endarrow="block"/>
                <v:shadow color="#ccc"/>
              </v:shape>
            </w:pict>
          </mc:Fallback>
        </mc:AlternateContent>
      </w:r>
    </w:p>
    <w:p w14:paraId="4828059A" w14:textId="77777777" w:rsidR="005B760F" w:rsidRDefault="005B760F" w:rsidP="005B760F">
      <w:pPr>
        <w:rPr>
          <w:rFonts w:cstheme="minorHAnsi"/>
          <w:szCs w:val="24"/>
        </w:rPr>
      </w:pPr>
    </w:p>
    <w:p w14:paraId="426BB7D2" w14:textId="77777777" w:rsidR="005B760F" w:rsidRDefault="005B760F" w:rsidP="005B760F">
      <w:pPr>
        <w:rPr>
          <w:rFonts w:cstheme="minorHAnsi"/>
          <w:szCs w:val="24"/>
        </w:rPr>
      </w:pPr>
      <w:r>
        <w:rPr>
          <w:noProof/>
          <w:lang w:eastAsia="en-GB"/>
        </w:rPr>
        <mc:AlternateContent>
          <mc:Choice Requires="wps">
            <w:drawing>
              <wp:anchor distT="0" distB="0" distL="114300" distR="114300" simplePos="0" relativeHeight="251673600" behindDoc="0" locked="0" layoutInCell="1" allowOverlap="1" wp14:anchorId="27E2CAFE" wp14:editId="57343E15">
                <wp:simplePos x="0" y="0"/>
                <wp:positionH relativeFrom="column">
                  <wp:posOffset>1879600</wp:posOffset>
                </wp:positionH>
                <wp:positionV relativeFrom="paragraph">
                  <wp:posOffset>203200</wp:posOffset>
                </wp:positionV>
                <wp:extent cx="1714500" cy="755650"/>
                <wp:effectExtent l="0" t="0" r="19050" b="2540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55650"/>
                        </a:xfrm>
                        <a:prstGeom prst="rect">
                          <a:avLst/>
                        </a:prstGeom>
                        <a:solidFill>
                          <a:srgbClr val="FFFFFF"/>
                        </a:solidFill>
                        <a:ln w="9525">
                          <a:solidFill>
                            <a:srgbClr val="000000"/>
                          </a:solidFill>
                          <a:miter lim="800000"/>
                          <a:headEnd/>
                          <a:tailEnd/>
                        </a:ln>
                      </wps:spPr>
                      <wps:txbx>
                        <w:txbxContent>
                          <w:p w14:paraId="06B7D71B" w14:textId="77777777" w:rsidR="000D292E" w:rsidRDefault="000D292E" w:rsidP="005B760F">
                            <w:pPr>
                              <w:jc w:val="center"/>
                              <w:rPr>
                                <w:rFonts w:ascii="Calibri" w:hAnsi="Calibri"/>
                                <w:lang w:val="en"/>
                              </w:rPr>
                            </w:pPr>
                            <w:r>
                              <w:rPr>
                                <w:rFonts w:ascii="Calibri" w:hAnsi="Calibri"/>
                              </w:rPr>
                              <w:t>Full-text articles assessed for eligibility</w:t>
                            </w:r>
                            <w:r>
                              <w:rPr>
                                <w:rFonts w:ascii="Calibri" w:hAnsi="Calibri"/>
                              </w:rPr>
                              <w:br/>
                              <w:t>(n = 67 )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2CAFE" id="Rectangle 13" o:spid="_x0000_s1034" style="position:absolute;margin-left:148pt;margin-top:16pt;width:135pt;height:5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">
                <v:textbox inset=",7.2pt,,7.2pt">
                  <w:txbxContent>
                    <w:p w14:paraId="06B7D71B" w14:textId="77777777" w:rsidR="000D292E" w:rsidRDefault="000D292E" w:rsidP="005B760F">
                      <w:pPr>
                        <w:jc w:val="center"/>
                        <w:rPr>
                          <w:rFonts w:ascii="Calibri" w:hAnsi="Calibri"/>
                          <w:lang w:val="en"/>
                        </w:rPr>
                      </w:pPr>
                      <w:r>
                        <w:rPr>
                          <w:rFonts w:ascii="Calibri" w:hAnsi="Calibri"/>
                        </w:rPr>
                        <w:t>Full-text articles assessed for eligibility</w:t>
                      </w:r>
                      <w:r>
                        <w:rPr>
                          <w:rFonts w:ascii="Calibri" w:hAnsi="Calibri"/>
                        </w:rPr>
                        <w:br/>
                        <w:t>(n = 67 )</w:t>
                      </w:r>
                    </w:p>
                  </w:txbxContent>
                </v:textbox>
              </v:rect>
            </w:pict>
          </mc:Fallback>
        </mc:AlternateContent>
      </w:r>
      <w:r>
        <w:rPr>
          <w:noProof/>
          <w:lang w:eastAsia="en-GB"/>
        </w:rPr>
        <mc:AlternateContent>
          <mc:Choice Requires="wps">
            <w:drawing>
              <wp:anchor distT="0" distB="0" distL="114300" distR="114300" simplePos="0" relativeHeight="251666432" behindDoc="0" locked="0" layoutInCell="1" allowOverlap="1" wp14:anchorId="7DB611C9" wp14:editId="0A3E9761">
                <wp:simplePos x="0" y="0"/>
                <wp:positionH relativeFrom="column">
                  <wp:posOffset>-1009331</wp:posOffset>
                </wp:positionH>
                <wp:positionV relativeFrom="paragraph">
                  <wp:posOffset>179705</wp:posOffset>
                </wp:positionV>
                <wp:extent cx="1371600" cy="297180"/>
                <wp:effectExtent l="13970" t="5080" r="12700" b="13970"/>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14:paraId="19E167CA" w14:textId="77777777" w:rsidR="000D292E" w:rsidRDefault="000D292E" w:rsidP="00A53770">
                            <w:pPr>
                              <w:pStyle w:val="Heading2"/>
                              <w:rPr>
                                <w:lang w:val="en"/>
                              </w:rPr>
                            </w:pPr>
                            <w:bookmarkStart w:id="66" w:name="_Toc133141513"/>
                            <w:bookmarkStart w:id="67" w:name="_Toc133144171"/>
                            <w:bookmarkStart w:id="68" w:name="_Toc133335115"/>
                            <w:bookmarkStart w:id="69" w:name="_Toc133335224"/>
                            <w:bookmarkStart w:id="70" w:name="_Toc133336793"/>
                            <w:bookmarkStart w:id="71" w:name="_Toc133336999"/>
                            <w:bookmarkStart w:id="72" w:name="_Toc133337115"/>
                            <w:bookmarkStart w:id="73" w:name="_Toc133487785"/>
                            <w:r>
                              <w:rPr>
                                <w:lang w:val="en"/>
                              </w:rPr>
                              <w:t>Eligibility</w:t>
                            </w:r>
                            <w:bookmarkEnd w:id="66"/>
                            <w:bookmarkEnd w:id="67"/>
                            <w:bookmarkEnd w:id="68"/>
                            <w:bookmarkEnd w:id="69"/>
                            <w:bookmarkEnd w:id="70"/>
                            <w:bookmarkEnd w:id="71"/>
                            <w:bookmarkEnd w:id="72"/>
                            <w:bookmarkEnd w:id="73"/>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B611C9" id="Rounded Rectangle 12" o:spid="_x0000_s1035" style="position:absolute;margin-left:-79.45pt;margin-top:14.15pt;width:108pt;height:23.4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" fillcolor="#ccecff">
                <v:textbox style="layout-flow:vertical;mso-layout-flow-alt:bottom-to-top" inset="3.6pt,,3.6pt">
                  <w:txbxContent>
                    <w:p w14:paraId="19E167CA" w14:textId="77777777" w:rsidR="000D292E" w:rsidRDefault="000D292E" w:rsidP="00A53770">
                      <w:pPr>
                        <w:pStyle w:val="Heading2"/>
                        <w:rPr>
                          <w:lang w:val="en"/>
                        </w:rPr>
                      </w:pPr>
                      <w:bookmarkStart w:id="91" w:name="_Toc133141513"/>
                      <w:bookmarkStart w:id="92" w:name="_Toc133144171"/>
                      <w:bookmarkStart w:id="93" w:name="_Toc133335115"/>
                      <w:bookmarkStart w:id="94" w:name="_Toc133335224"/>
                      <w:bookmarkStart w:id="95" w:name="_Toc133336793"/>
                      <w:bookmarkStart w:id="96" w:name="_Toc133336999"/>
                      <w:bookmarkStart w:id="97" w:name="_Toc133337115"/>
                      <w:bookmarkStart w:id="98" w:name="_Toc133487785"/>
                      <w:r>
                        <w:rPr>
                          <w:lang w:val="en"/>
                        </w:rPr>
                        <w:t>Eligibility</w:t>
                      </w:r>
                      <w:bookmarkEnd w:id="91"/>
                      <w:bookmarkEnd w:id="92"/>
                      <w:bookmarkEnd w:id="93"/>
                      <w:bookmarkEnd w:id="94"/>
                      <w:bookmarkEnd w:id="95"/>
                      <w:bookmarkEnd w:id="96"/>
                      <w:bookmarkEnd w:id="97"/>
                      <w:bookmarkEnd w:id="98"/>
                    </w:p>
                  </w:txbxContent>
                </v:textbox>
              </v:roundrect>
            </w:pict>
          </mc:Fallback>
        </mc:AlternateContent>
      </w:r>
    </w:p>
    <w:p w14:paraId="77577876" w14:textId="77777777" w:rsidR="005B760F" w:rsidRDefault="005B760F" w:rsidP="005B760F">
      <w:pPr>
        <w:rPr>
          <w:rFonts w:cstheme="minorHAnsi"/>
          <w:szCs w:val="24"/>
        </w:rPr>
      </w:pPr>
      <w:r>
        <w:rPr>
          <w:noProof/>
          <w:lang w:eastAsia="en-GB"/>
        </w:rPr>
        <mc:AlternateContent>
          <mc:Choice Requires="wps">
            <w:drawing>
              <wp:anchor distT="36576" distB="36576" distL="36576" distR="36576" simplePos="0" relativeHeight="251678720" behindDoc="0" locked="0" layoutInCell="1" allowOverlap="1" wp14:anchorId="2EF0CBD6" wp14:editId="1E421F5C">
                <wp:simplePos x="0" y="0"/>
                <wp:positionH relativeFrom="margin">
                  <wp:posOffset>3606800</wp:posOffset>
                </wp:positionH>
                <wp:positionV relativeFrom="paragraph">
                  <wp:posOffset>285750</wp:posOffset>
                </wp:positionV>
                <wp:extent cx="603250" cy="45719"/>
                <wp:effectExtent l="0" t="38100" r="44450" b="8826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4571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62473C" id="Straight Arrow Connector 23" o:spid="_x0000_s1026" type="#_x0000_t32" style="position:absolute;margin-left:284pt;margin-top:22.5pt;width:47.5pt;height:3.6pt;z-index:2516787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">
                <v:stroke endarrow="block"/>
                <v:shadow color="#ccc"/>
                <w10:wrap anchorx="margin"/>
              </v:shape>
            </w:pict>
          </mc:Fallback>
        </mc:AlternateContent>
      </w:r>
    </w:p>
    <w:p w14:paraId="71B53D07" w14:textId="77777777" w:rsidR="005B760F" w:rsidRDefault="005B760F" w:rsidP="005B760F">
      <w:pPr>
        <w:rPr>
          <w:rFonts w:cstheme="minorHAnsi"/>
          <w:szCs w:val="24"/>
        </w:rPr>
      </w:pPr>
    </w:p>
    <w:p w14:paraId="50F3209D" w14:textId="77777777" w:rsidR="005B760F" w:rsidRDefault="005B760F" w:rsidP="005B760F">
      <w:pPr>
        <w:rPr>
          <w:rFonts w:cstheme="minorHAnsi"/>
          <w:szCs w:val="24"/>
        </w:rPr>
      </w:pPr>
      <w:r>
        <w:rPr>
          <w:noProof/>
          <w:lang w:eastAsia="en-GB"/>
        </w:rPr>
        <mc:AlternateContent>
          <mc:Choice Requires="wps">
            <w:drawing>
              <wp:anchor distT="36576" distB="36576" distL="36576" distR="36576" simplePos="0" relativeHeight="251682816" behindDoc="0" locked="0" layoutInCell="1" allowOverlap="1" wp14:anchorId="38C9A462" wp14:editId="69B9CBF5">
                <wp:simplePos x="0" y="0"/>
                <wp:positionH relativeFrom="column">
                  <wp:posOffset>2774950</wp:posOffset>
                </wp:positionH>
                <wp:positionV relativeFrom="paragraph">
                  <wp:posOffset>222250</wp:posOffset>
                </wp:positionV>
                <wp:extent cx="0" cy="457200"/>
                <wp:effectExtent l="57150" t="9525" r="57150" b="190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9A1435" id="Straight Arrow Connector 25" o:spid="_x0000_s1026" type="#_x0000_t32" style="position:absolute;margin-left:218.5pt;margin-top:17.5pt;width:0;height:36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">
                <v:stroke endarrow="block"/>
                <v:shadow color="#ccc"/>
              </v:shape>
            </w:pict>
          </mc:Fallback>
        </mc:AlternateContent>
      </w:r>
    </w:p>
    <w:p w14:paraId="1A37169B" w14:textId="77777777" w:rsidR="005B760F" w:rsidRDefault="005B760F" w:rsidP="005B760F">
      <w:pPr>
        <w:rPr>
          <w:rFonts w:cstheme="minorHAnsi"/>
          <w:szCs w:val="24"/>
        </w:rPr>
      </w:pPr>
    </w:p>
    <w:p w14:paraId="4E6AFD8B" w14:textId="77777777" w:rsidR="005B760F" w:rsidRDefault="005B760F" w:rsidP="005B760F">
      <w:pPr>
        <w:rPr>
          <w:rFonts w:cstheme="minorHAnsi"/>
          <w:szCs w:val="24"/>
        </w:rPr>
      </w:pPr>
    </w:p>
    <w:p w14:paraId="0309CEFE" w14:textId="25EAD98F" w:rsidR="005B760F" w:rsidRPr="005B760F" w:rsidRDefault="005B760F" w:rsidP="005B760F">
      <w:pPr>
        <w:rPr>
          <w:rFonts w:cstheme="minorHAnsi"/>
          <w:szCs w:val="24"/>
        </w:rPr>
        <w:sectPr w:rsidR="005B760F" w:rsidRPr="005B760F">
          <w:headerReference w:type="default" r:id="rId17"/>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665408" behindDoc="0" locked="0" layoutInCell="1" allowOverlap="1" wp14:anchorId="594ABBB3" wp14:editId="17D27768">
                <wp:simplePos x="0" y="0"/>
                <wp:positionH relativeFrom="column">
                  <wp:posOffset>-745965</wp:posOffset>
                </wp:positionH>
                <wp:positionV relativeFrom="paragraph">
                  <wp:posOffset>141592</wp:posOffset>
                </wp:positionV>
                <wp:extent cx="857885" cy="338628"/>
                <wp:effectExtent l="0" t="6985" r="11430" b="1143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57885" cy="338628"/>
                        </a:xfrm>
                        <a:prstGeom prst="roundRect">
                          <a:avLst>
                            <a:gd name="adj" fmla="val 16667"/>
                          </a:avLst>
                        </a:prstGeom>
                        <a:solidFill>
                          <a:srgbClr val="CCECFF"/>
                        </a:solidFill>
                        <a:ln w="9525">
                          <a:solidFill>
                            <a:srgbClr val="000000"/>
                          </a:solidFill>
                          <a:round/>
                          <a:headEnd/>
                          <a:tailEnd/>
                        </a:ln>
                      </wps:spPr>
                      <wps:txbx>
                        <w:txbxContent>
                          <w:p w14:paraId="67BD6869" w14:textId="77777777" w:rsidR="000D292E" w:rsidRDefault="000D292E" w:rsidP="00A53770">
                            <w:pPr>
                              <w:pStyle w:val="Heading2"/>
                              <w:rPr>
                                <w:lang w:val="en"/>
                              </w:rPr>
                            </w:pPr>
                            <w:bookmarkStart w:id="74" w:name="_Toc133141514"/>
                            <w:bookmarkStart w:id="75" w:name="_Toc133144172"/>
                            <w:bookmarkStart w:id="76" w:name="_Toc133335116"/>
                            <w:bookmarkStart w:id="77" w:name="_Toc133335225"/>
                            <w:bookmarkStart w:id="78" w:name="_Toc133336794"/>
                            <w:bookmarkStart w:id="79" w:name="_Toc133337000"/>
                            <w:bookmarkStart w:id="80" w:name="_Toc133337116"/>
                            <w:bookmarkStart w:id="81" w:name="_Toc133487786"/>
                            <w:r>
                              <w:rPr>
                                <w:lang w:val="en"/>
                              </w:rPr>
                              <w:t>Included</w:t>
                            </w:r>
                            <w:bookmarkEnd w:id="74"/>
                            <w:bookmarkEnd w:id="75"/>
                            <w:bookmarkEnd w:id="76"/>
                            <w:bookmarkEnd w:id="77"/>
                            <w:bookmarkEnd w:id="78"/>
                            <w:bookmarkEnd w:id="79"/>
                            <w:bookmarkEnd w:id="80"/>
                            <w:bookmarkEnd w:id="81"/>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4ABBB3" id="Rounded Rectangle 10" o:spid="_x0000_s1036" style="position:absolute;margin-left:-58.75pt;margin-top:11.15pt;width:67.55pt;height:26.6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" fillcolor="#ccecff">
                <v:textbox style="layout-flow:vertical;mso-layout-flow-alt:bottom-to-top" inset="3.6pt,,3.6pt">
                  <w:txbxContent>
                    <w:p w14:paraId="67BD6869" w14:textId="77777777" w:rsidR="000D292E" w:rsidRDefault="000D292E" w:rsidP="00A53770">
                      <w:pPr>
                        <w:pStyle w:val="Heading2"/>
                        <w:rPr>
                          <w:lang w:val="en"/>
                        </w:rPr>
                      </w:pPr>
                      <w:bookmarkStart w:id="107" w:name="_Toc133141514"/>
                      <w:bookmarkStart w:id="108" w:name="_Toc133144172"/>
                      <w:bookmarkStart w:id="109" w:name="_Toc133335116"/>
                      <w:bookmarkStart w:id="110" w:name="_Toc133335225"/>
                      <w:bookmarkStart w:id="111" w:name="_Toc133336794"/>
                      <w:bookmarkStart w:id="112" w:name="_Toc133337000"/>
                      <w:bookmarkStart w:id="113" w:name="_Toc133337116"/>
                      <w:bookmarkStart w:id="114" w:name="_Toc133487786"/>
                      <w:r>
                        <w:rPr>
                          <w:lang w:val="en"/>
                        </w:rPr>
                        <w:t>Included</w:t>
                      </w:r>
                      <w:bookmarkEnd w:id="107"/>
                      <w:bookmarkEnd w:id="108"/>
                      <w:bookmarkEnd w:id="109"/>
                      <w:bookmarkEnd w:id="110"/>
                      <w:bookmarkEnd w:id="111"/>
                      <w:bookmarkEnd w:id="112"/>
                      <w:bookmarkEnd w:id="113"/>
                      <w:bookmarkEnd w:id="114"/>
                    </w:p>
                  </w:txbxContent>
                </v:textbox>
              </v:roundrect>
            </w:pict>
          </mc:Fallback>
        </mc:AlternateContent>
      </w:r>
      <w:r>
        <w:rPr>
          <w:noProof/>
          <w:lang w:eastAsia="en-GB"/>
        </w:rPr>
        <mc:AlternateContent>
          <mc:Choice Requires="wps">
            <w:drawing>
              <wp:anchor distT="0" distB="0" distL="114300" distR="114300" simplePos="0" relativeHeight="251675648" behindDoc="0" locked="0" layoutInCell="1" allowOverlap="1" wp14:anchorId="28658AA0" wp14:editId="003B9EDC">
                <wp:simplePos x="0" y="0"/>
                <wp:positionH relativeFrom="column">
                  <wp:posOffset>1885950</wp:posOffset>
                </wp:positionH>
                <wp:positionV relativeFrom="paragraph">
                  <wp:posOffset>6985</wp:posOffset>
                </wp:positionV>
                <wp:extent cx="1714500" cy="730250"/>
                <wp:effectExtent l="0" t="0" r="19050" b="1270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30250"/>
                        </a:xfrm>
                        <a:prstGeom prst="rect">
                          <a:avLst/>
                        </a:prstGeom>
                        <a:solidFill>
                          <a:srgbClr val="FFFFFF"/>
                        </a:solidFill>
                        <a:ln w="9525">
                          <a:solidFill>
                            <a:srgbClr val="000000"/>
                          </a:solidFill>
                          <a:miter lim="800000"/>
                          <a:headEnd/>
                          <a:tailEnd/>
                        </a:ln>
                      </wps:spPr>
                      <wps:txbx>
                        <w:txbxContent>
                          <w:p w14:paraId="07D2B9D5" w14:textId="77777777" w:rsidR="000D292E" w:rsidRDefault="000D292E" w:rsidP="005B760F">
                            <w:pPr>
                              <w:jc w:val="center"/>
                              <w:rPr>
                                <w:rFonts w:ascii="Calibri" w:hAnsi="Calibri"/>
                                <w:lang w:val="en"/>
                              </w:rPr>
                            </w:pPr>
                            <w:r>
                              <w:rPr>
                                <w:rFonts w:ascii="Calibri" w:hAnsi="Calibri"/>
                              </w:rPr>
                              <w:t>Studies meeting inclusion criteria</w:t>
                            </w:r>
                            <w:r>
                              <w:rPr>
                                <w:rFonts w:ascii="Calibri" w:hAnsi="Calibri"/>
                              </w:rPr>
                              <w:br/>
                              <w:t>(n = 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58AA0" id="Rectangle 7" o:spid="_x0000_s1037" style="position:absolute;margin-left:148.5pt;margin-top:.55pt;width:135pt;height: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">
                <v:textbox inset=",7.2pt,,7.2pt">
                  <w:txbxContent>
                    <w:p w14:paraId="07D2B9D5" w14:textId="77777777" w:rsidR="000D292E" w:rsidRDefault="000D292E" w:rsidP="005B760F">
                      <w:pPr>
                        <w:jc w:val="center"/>
                        <w:rPr>
                          <w:rFonts w:ascii="Calibri" w:hAnsi="Calibri"/>
                          <w:lang w:val="en"/>
                        </w:rPr>
                      </w:pPr>
                      <w:r>
                        <w:rPr>
                          <w:rFonts w:ascii="Calibri" w:hAnsi="Calibri"/>
                        </w:rPr>
                        <w:t>Studies meeting inclusion criteria</w:t>
                      </w:r>
                      <w:r>
                        <w:rPr>
                          <w:rFonts w:ascii="Calibri" w:hAnsi="Calibri"/>
                        </w:rPr>
                        <w:br/>
                        <w:t>(n = 17)</w:t>
                      </w:r>
                    </w:p>
                  </w:txbxContent>
                </v:textbox>
              </v:rect>
            </w:pict>
          </mc:Fallback>
        </mc:AlternateContent>
      </w:r>
    </w:p>
    <w:p w14:paraId="242D8A3E" w14:textId="77777777" w:rsidR="00E66857" w:rsidRDefault="00E66857" w:rsidP="00A53770">
      <w:pPr>
        <w:pStyle w:val="Heading2"/>
      </w:pPr>
      <w:bookmarkStart w:id="82" w:name="_Toc133141515"/>
      <w:bookmarkStart w:id="83" w:name="_Toc133144173"/>
      <w:bookmarkStart w:id="84" w:name="_Toc133487787"/>
      <w:r w:rsidRPr="00F924C8">
        <w:lastRenderedPageBreak/>
        <w:t>Study Characteristics</w:t>
      </w:r>
      <w:bookmarkEnd w:id="82"/>
      <w:bookmarkEnd w:id="83"/>
      <w:bookmarkEnd w:id="84"/>
    </w:p>
    <w:p w14:paraId="1DA4F04C" w14:textId="4CDD73A0" w:rsidR="00E66857" w:rsidRPr="00E66857" w:rsidRDefault="00E66857" w:rsidP="004F5221">
      <w:pPr>
        <w:spacing w:line="360" w:lineRule="auto"/>
        <w:ind w:firstLine="720"/>
        <w:jc w:val="both"/>
        <w:rPr>
          <w:rFonts w:ascii="Calibri" w:eastAsia="Times New Roman" w:hAnsi="Calibri" w:cs="Calibri"/>
          <w:color w:val="000000"/>
          <w:lang w:eastAsia="en-GB"/>
        </w:rPr>
      </w:pPr>
      <w:r>
        <w:rPr>
          <w:rFonts w:cstheme="minorHAnsi"/>
          <w:szCs w:val="24"/>
        </w:rPr>
        <w:t>See Table 2 for an overview of included papers. All studies involved a quantitative approach. Searches yielded no mixed methods results. The majority of papers (12) were cross-s</w:t>
      </w:r>
      <w:r w:rsidRPr="00D30BB9">
        <w:rPr>
          <w:rFonts w:cstheme="minorHAnsi"/>
          <w:szCs w:val="24"/>
        </w:rPr>
        <w:t>ectional</w:t>
      </w:r>
      <w:r>
        <w:rPr>
          <w:rFonts w:cstheme="minorHAnsi"/>
          <w:szCs w:val="24"/>
        </w:rPr>
        <w:t xml:space="preserve"> survey</w:t>
      </w:r>
      <w:r w:rsidRPr="00D30BB9">
        <w:rPr>
          <w:rFonts w:cstheme="minorHAnsi"/>
          <w:szCs w:val="24"/>
        </w:rPr>
        <w:t xml:space="preserve"> </w:t>
      </w:r>
      <w:r>
        <w:rPr>
          <w:rFonts w:cstheme="minorHAnsi"/>
          <w:szCs w:val="24"/>
        </w:rPr>
        <w:t xml:space="preserve">studies. Five </w:t>
      </w:r>
      <w:r w:rsidRPr="00D30BB9">
        <w:rPr>
          <w:rFonts w:cstheme="minorHAnsi"/>
          <w:szCs w:val="24"/>
        </w:rPr>
        <w:t xml:space="preserve">were prospective </w:t>
      </w:r>
      <w:r>
        <w:rPr>
          <w:rFonts w:cstheme="minorHAnsi"/>
          <w:szCs w:val="24"/>
        </w:rPr>
        <w:t>survey</w:t>
      </w:r>
      <w:r w:rsidRPr="00D30BB9">
        <w:rPr>
          <w:rFonts w:cstheme="minorHAnsi"/>
          <w:szCs w:val="24"/>
        </w:rPr>
        <w:t xml:space="preserve"> studies (Boelen, </w:t>
      </w:r>
      <w:r>
        <w:rPr>
          <w:rFonts w:cstheme="minorHAnsi"/>
          <w:szCs w:val="24"/>
        </w:rPr>
        <w:t xml:space="preserve">2019; </w:t>
      </w:r>
      <w:r w:rsidRPr="00D30BB9">
        <w:rPr>
          <w:rFonts w:cstheme="minorHAnsi"/>
          <w:szCs w:val="24"/>
        </w:rPr>
        <w:t>Boelen et al</w:t>
      </w:r>
      <w:r>
        <w:rPr>
          <w:rFonts w:cstheme="minorHAnsi"/>
          <w:szCs w:val="24"/>
        </w:rPr>
        <w:t>.</w:t>
      </w:r>
      <w:r w:rsidRPr="00D30BB9">
        <w:rPr>
          <w:rFonts w:cstheme="minorHAnsi"/>
          <w:szCs w:val="24"/>
        </w:rPr>
        <w:t>, 2016, Oglesby et al., 2016</w:t>
      </w:r>
      <w:r>
        <w:rPr>
          <w:rFonts w:cstheme="minorHAnsi"/>
          <w:szCs w:val="24"/>
        </w:rPr>
        <w:t xml:space="preserve">; </w:t>
      </w:r>
      <w:r w:rsidRPr="00F96BF0">
        <w:rPr>
          <w:rFonts w:ascii="Calibri" w:eastAsia="Times New Roman" w:hAnsi="Calibri" w:cs="Calibri"/>
          <w:color w:val="000000"/>
          <w:lang w:eastAsia="en-GB"/>
        </w:rPr>
        <w:t>Price et al., 2020</w:t>
      </w:r>
      <w:r>
        <w:rPr>
          <w:rFonts w:ascii="Calibri" w:eastAsia="Times New Roman" w:hAnsi="Calibri" w:cs="Calibri"/>
          <w:color w:val="000000"/>
          <w:lang w:eastAsia="en-GB"/>
        </w:rPr>
        <w:t xml:space="preserve">; </w:t>
      </w:r>
      <w:r w:rsidRPr="00F96BF0">
        <w:rPr>
          <w:rFonts w:ascii="Calibri" w:eastAsia="Times New Roman" w:hAnsi="Calibri" w:cs="Calibri"/>
          <w:color w:val="000000"/>
          <w:lang w:eastAsia="en-GB"/>
        </w:rPr>
        <w:t>Zerach &amp; Magal, 2016</w:t>
      </w:r>
      <w:r w:rsidRPr="00D30BB9">
        <w:rPr>
          <w:rFonts w:cstheme="minorHAnsi"/>
          <w:szCs w:val="24"/>
        </w:rPr>
        <w:t>)</w:t>
      </w:r>
      <w:r>
        <w:rPr>
          <w:rFonts w:cstheme="minorHAnsi"/>
          <w:szCs w:val="24"/>
        </w:rPr>
        <w:t xml:space="preserve">. </w:t>
      </w:r>
    </w:p>
    <w:p w14:paraId="19310CD1" w14:textId="77777777" w:rsidR="00E66857" w:rsidRDefault="00E66857" w:rsidP="008933A6">
      <w:pPr>
        <w:rPr>
          <w:rFonts w:cstheme="minorHAnsi"/>
          <w:b/>
          <w:szCs w:val="24"/>
        </w:rPr>
      </w:pPr>
    </w:p>
    <w:p w14:paraId="3A2FDC79" w14:textId="1DB2DF3E" w:rsidR="005B760F" w:rsidRPr="005B760F" w:rsidRDefault="004F5221" w:rsidP="00A53770">
      <w:pPr>
        <w:pStyle w:val="Heading2"/>
      </w:pPr>
      <w:bookmarkStart w:id="85" w:name="_Toc133487788"/>
      <w:r>
        <w:t>Table 2</w:t>
      </w:r>
      <w:bookmarkEnd w:id="85"/>
    </w:p>
    <w:p w14:paraId="5929DB5B" w14:textId="77777777" w:rsidR="005B760F" w:rsidRDefault="005B760F" w:rsidP="004F5221">
      <w:pPr>
        <w:spacing w:line="360" w:lineRule="auto"/>
        <w:rPr>
          <w:rFonts w:cstheme="minorHAnsi"/>
          <w:i/>
          <w:szCs w:val="24"/>
        </w:rPr>
      </w:pPr>
      <w:r>
        <w:rPr>
          <w:rFonts w:cstheme="minorHAnsi"/>
          <w:i/>
          <w:szCs w:val="24"/>
        </w:rPr>
        <w:t>Summary of Studies</w:t>
      </w:r>
    </w:p>
    <w:tbl>
      <w:tblPr>
        <w:tblStyle w:val="TableGrid"/>
        <w:tblW w:w="20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9"/>
        <w:gridCol w:w="2146"/>
        <w:gridCol w:w="3274"/>
        <w:gridCol w:w="6550"/>
        <w:gridCol w:w="6550"/>
      </w:tblGrid>
      <w:tr w:rsidR="00A379D0" w14:paraId="15B9FA66" w14:textId="77777777" w:rsidTr="00456B3E">
        <w:trPr>
          <w:gridAfter w:val="1"/>
          <w:wAfter w:w="6550" w:type="dxa"/>
          <w:trHeight w:val="809"/>
        </w:trPr>
        <w:tc>
          <w:tcPr>
            <w:tcW w:w="1719" w:type="dxa"/>
            <w:tcBorders>
              <w:top w:val="single" w:sz="4" w:space="0" w:color="auto"/>
              <w:bottom w:val="single" w:sz="4" w:space="0" w:color="auto"/>
            </w:tcBorders>
          </w:tcPr>
          <w:p w14:paraId="35D12440" w14:textId="77777777" w:rsidR="00A379D0" w:rsidRDefault="00A379D0" w:rsidP="00E10C82">
            <w:r w:rsidRPr="00944E3F">
              <w:t xml:space="preserve">Authors, Year </w:t>
            </w:r>
            <w:r>
              <w:t xml:space="preserve">and Country </w:t>
            </w:r>
            <w:r w:rsidRPr="00944E3F">
              <w:t>of Publication</w:t>
            </w:r>
          </w:p>
        </w:tc>
        <w:tc>
          <w:tcPr>
            <w:tcW w:w="2146" w:type="dxa"/>
            <w:tcBorders>
              <w:top w:val="single" w:sz="4" w:space="0" w:color="auto"/>
              <w:bottom w:val="single" w:sz="4" w:space="0" w:color="auto"/>
            </w:tcBorders>
          </w:tcPr>
          <w:p w14:paraId="33687E32" w14:textId="6EC6CEB8" w:rsidR="00A379D0" w:rsidRDefault="004062A6" w:rsidP="00E10C82">
            <w:r>
              <w:t>Aims</w:t>
            </w:r>
          </w:p>
        </w:tc>
        <w:tc>
          <w:tcPr>
            <w:tcW w:w="3274" w:type="dxa"/>
            <w:tcBorders>
              <w:top w:val="single" w:sz="4" w:space="0" w:color="auto"/>
              <w:bottom w:val="single" w:sz="4" w:space="0" w:color="auto"/>
            </w:tcBorders>
          </w:tcPr>
          <w:p w14:paraId="4ABE20ED" w14:textId="77777777" w:rsidR="00A379D0" w:rsidRDefault="00A379D0" w:rsidP="00E10C82">
            <w:r>
              <w:t>Trauma description</w:t>
            </w:r>
          </w:p>
        </w:tc>
        <w:tc>
          <w:tcPr>
            <w:tcW w:w="6550" w:type="dxa"/>
            <w:tcBorders>
              <w:top w:val="single" w:sz="4" w:space="0" w:color="auto"/>
              <w:bottom w:val="single" w:sz="4" w:space="0" w:color="auto"/>
            </w:tcBorders>
          </w:tcPr>
          <w:p w14:paraId="7B01F8FD" w14:textId="77777777" w:rsidR="00A379D0" w:rsidRDefault="00A379D0" w:rsidP="00E10C82">
            <w:r>
              <w:t>Main findings</w:t>
            </w:r>
          </w:p>
        </w:tc>
      </w:tr>
      <w:tr w:rsidR="00A379D0" w14:paraId="0C5709E9" w14:textId="77777777" w:rsidTr="00456B3E">
        <w:trPr>
          <w:gridAfter w:val="1"/>
          <w:wAfter w:w="6550" w:type="dxa"/>
          <w:trHeight w:val="2139"/>
        </w:trPr>
        <w:tc>
          <w:tcPr>
            <w:tcW w:w="1719" w:type="dxa"/>
            <w:tcBorders>
              <w:top w:val="single" w:sz="4" w:space="0" w:color="auto"/>
            </w:tcBorders>
          </w:tcPr>
          <w:p w14:paraId="1AC7D188" w14:textId="77777777" w:rsidR="00A379D0" w:rsidRDefault="00A379D0" w:rsidP="004F5221">
            <w:pPr>
              <w:jc w:val="both"/>
            </w:pPr>
            <w:r w:rsidRPr="00944E3F">
              <w:t>Arbona et al., 2021</w:t>
            </w:r>
          </w:p>
          <w:p w14:paraId="7EBE03E7" w14:textId="77777777" w:rsidR="00A379D0" w:rsidRDefault="00A379D0" w:rsidP="004F5221">
            <w:pPr>
              <w:jc w:val="both"/>
            </w:pPr>
          </w:p>
          <w:p w14:paraId="289BDF1D" w14:textId="77777777" w:rsidR="00A379D0" w:rsidRDefault="00A379D0" w:rsidP="004F5221">
            <w:pPr>
              <w:jc w:val="both"/>
            </w:pPr>
            <w:r>
              <w:t>USA</w:t>
            </w:r>
          </w:p>
          <w:p w14:paraId="24864271" w14:textId="77777777" w:rsidR="00DB33A9" w:rsidRDefault="00DB33A9" w:rsidP="004F5221">
            <w:pPr>
              <w:jc w:val="both"/>
            </w:pPr>
          </w:p>
          <w:p w14:paraId="617F6199" w14:textId="77777777" w:rsidR="00DB33A9" w:rsidRDefault="00DB33A9" w:rsidP="004F5221">
            <w:pPr>
              <w:jc w:val="both"/>
            </w:pPr>
          </w:p>
          <w:p w14:paraId="127CA680" w14:textId="77777777" w:rsidR="00DB33A9" w:rsidRDefault="00DB33A9" w:rsidP="004F5221">
            <w:pPr>
              <w:jc w:val="both"/>
            </w:pPr>
          </w:p>
          <w:p w14:paraId="5AA8A948" w14:textId="50A62F97" w:rsidR="00DB33A9" w:rsidRDefault="00DB33A9" w:rsidP="004F5221">
            <w:pPr>
              <w:jc w:val="both"/>
            </w:pPr>
          </w:p>
        </w:tc>
        <w:tc>
          <w:tcPr>
            <w:tcW w:w="2146" w:type="dxa"/>
            <w:tcBorders>
              <w:top w:val="single" w:sz="4" w:space="0" w:color="auto"/>
            </w:tcBorders>
          </w:tcPr>
          <w:p w14:paraId="13730C72" w14:textId="77777777" w:rsidR="00A379D0" w:rsidRDefault="00A379D0" w:rsidP="000E0155">
            <w:pPr>
              <w:pStyle w:val="NoSpacing"/>
            </w:pPr>
            <w:r w:rsidRPr="00944E3F">
              <w:t xml:space="preserve">IU </w:t>
            </w:r>
            <w:r>
              <w:t>and PTSS</w:t>
            </w:r>
            <w:r w:rsidRPr="00944E3F">
              <w:t xml:space="preserve"> in trauma exposed Latina college women</w:t>
            </w:r>
          </w:p>
        </w:tc>
        <w:tc>
          <w:tcPr>
            <w:tcW w:w="3274" w:type="dxa"/>
            <w:tcBorders>
              <w:top w:val="single" w:sz="4" w:space="0" w:color="auto"/>
            </w:tcBorders>
          </w:tcPr>
          <w:p w14:paraId="3FB12A5C" w14:textId="77777777" w:rsidR="00A379D0" w:rsidRDefault="00A379D0" w:rsidP="004F5221">
            <w:pPr>
              <w:jc w:val="both"/>
            </w:pPr>
            <w:r w:rsidRPr="00944E3F">
              <w:t xml:space="preserve">Lifetime exposure considered. </w:t>
            </w:r>
            <w:r>
              <w:t>At least 1 Criterion A1 event (16%), Criterion A1 severely negative interpersonal event (16%). Data from trauma groups analysed.</w:t>
            </w:r>
          </w:p>
        </w:tc>
        <w:tc>
          <w:tcPr>
            <w:tcW w:w="6550" w:type="dxa"/>
            <w:tcBorders>
              <w:top w:val="single" w:sz="4" w:space="0" w:color="auto"/>
            </w:tcBorders>
          </w:tcPr>
          <w:p w14:paraId="0AB2E710" w14:textId="2FB3F137" w:rsidR="00A379D0" w:rsidRDefault="00A379D0" w:rsidP="000E0155">
            <w:pPr>
              <w:jc w:val="both"/>
            </w:pPr>
            <w:r>
              <w:t xml:space="preserve">IU total and subscales correlated with PCL-5 total (r=.47, p&lt;.01) and all subscales. IU </w:t>
            </w:r>
            <w:r w:rsidRPr="00944E3F">
              <w:t xml:space="preserve">was a significant predictor of total PCL-5 </w:t>
            </w:r>
            <w:r>
              <w:t>(β=.19, p&lt;.01)</w:t>
            </w:r>
            <w:r w:rsidRPr="00944E3F">
              <w:t xml:space="preserve">, </w:t>
            </w:r>
            <w:r>
              <w:t>and subscales of arousal</w:t>
            </w:r>
            <w:r w:rsidRPr="00944E3F">
              <w:t xml:space="preserve"> and reactivity</w:t>
            </w:r>
            <w:r>
              <w:t xml:space="preserve"> (β=.16, p&lt;.01)</w:t>
            </w:r>
            <w:r w:rsidRPr="00944E3F">
              <w:t xml:space="preserve"> and negative alterations in mood and cognition</w:t>
            </w:r>
            <w:r>
              <w:t xml:space="preserve"> (β=.21, p&lt;.001)</w:t>
            </w:r>
            <w:r w:rsidRPr="00944E3F">
              <w:t xml:space="preserve">. IU </w:t>
            </w:r>
            <w:r>
              <w:t>did not predict</w:t>
            </w:r>
            <w:r w:rsidRPr="00944E3F">
              <w:t xml:space="preserve"> avoidance, intrusion/re-experiencing PTSD symptoms. Inhibitory IU but not prospective IU </w:t>
            </w:r>
            <w:r>
              <w:t>explained variance in</w:t>
            </w:r>
            <w:r w:rsidRPr="00944E3F">
              <w:t xml:space="preserve"> PTSD total and sub</w:t>
            </w:r>
            <w:r>
              <w:t>s</w:t>
            </w:r>
            <w:r w:rsidRPr="00944E3F">
              <w:t>cale scores.</w:t>
            </w:r>
          </w:p>
        </w:tc>
      </w:tr>
      <w:tr w:rsidR="00A379D0" w14:paraId="288234F6" w14:textId="77777777" w:rsidTr="00456B3E">
        <w:trPr>
          <w:gridAfter w:val="1"/>
          <w:wAfter w:w="6550" w:type="dxa"/>
          <w:trHeight w:val="64"/>
        </w:trPr>
        <w:tc>
          <w:tcPr>
            <w:tcW w:w="1719" w:type="dxa"/>
            <w:tcBorders>
              <w:bottom w:val="single" w:sz="4" w:space="0" w:color="auto"/>
            </w:tcBorders>
          </w:tcPr>
          <w:p w14:paraId="0223F2DC" w14:textId="77777777" w:rsidR="00A379D0" w:rsidRDefault="00A379D0" w:rsidP="004F5221">
            <w:pPr>
              <w:jc w:val="both"/>
            </w:pPr>
            <w:r w:rsidRPr="00944E3F">
              <w:t>Bardeen et al., 2012</w:t>
            </w:r>
          </w:p>
          <w:p w14:paraId="382892C7" w14:textId="77777777" w:rsidR="00A379D0" w:rsidRDefault="00A379D0" w:rsidP="004F5221">
            <w:pPr>
              <w:jc w:val="both"/>
            </w:pPr>
          </w:p>
          <w:p w14:paraId="0793A042" w14:textId="77777777" w:rsidR="00A379D0" w:rsidRDefault="00A379D0" w:rsidP="004F5221">
            <w:pPr>
              <w:jc w:val="both"/>
            </w:pPr>
            <w:r>
              <w:t>USA</w:t>
            </w:r>
          </w:p>
        </w:tc>
        <w:tc>
          <w:tcPr>
            <w:tcW w:w="2146" w:type="dxa"/>
            <w:tcBorders>
              <w:bottom w:val="single" w:sz="4" w:space="0" w:color="auto"/>
            </w:tcBorders>
          </w:tcPr>
          <w:p w14:paraId="4577C4CA" w14:textId="77777777" w:rsidR="00A379D0" w:rsidRDefault="00A379D0" w:rsidP="004F5221">
            <w:pPr>
              <w:jc w:val="both"/>
            </w:pPr>
            <w:r>
              <w:t>Worry</w:t>
            </w:r>
            <w:r w:rsidRPr="00944E3F">
              <w:t xml:space="preserve"> and IU on PTSS</w:t>
            </w:r>
            <w:r>
              <w:t xml:space="preserve"> in trauma exposed students</w:t>
            </w:r>
          </w:p>
        </w:tc>
        <w:tc>
          <w:tcPr>
            <w:tcW w:w="3274" w:type="dxa"/>
            <w:tcBorders>
              <w:bottom w:val="single" w:sz="4" w:space="0" w:color="auto"/>
            </w:tcBorders>
          </w:tcPr>
          <w:p w14:paraId="1EC557CB" w14:textId="77777777" w:rsidR="00A379D0" w:rsidRDefault="00A379D0" w:rsidP="004F5221">
            <w:pPr>
              <w:jc w:val="both"/>
            </w:pPr>
            <w:r>
              <w:t xml:space="preserve">All participants had experience of DSM Criterion A trauma. </w:t>
            </w:r>
            <w:r w:rsidRPr="00944E3F">
              <w:t xml:space="preserve">Average </w:t>
            </w:r>
            <w:r>
              <w:t xml:space="preserve">of 3 traumatic events, 35% </w:t>
            </w:r>
            <w:r w:rsidRPr="00944E3F">
              <w:t>of participants</w:t>
            </w:r>
            <w:r>
              <w:t xml:space="preserve"> met the cut-off score for PTSD.</w:t>
            </w:r>
            <w:r w:rsidRPr="00944E3F">
              <w:t xml:space="preserve"> </w:t>
            </w:r>
          </w:p>
        </w:tc>
        <w:tc>
          <w:tcPr>
            <w:tcW w:w="6550" w:type="dxa"/>
            <w:tcBorders>
              <w:bottom w:val="single" w:sz="4" w:space="0" w:color="auto"/>
            </w:tcBorders>
          </w:tcPr>
          <w:p w14:paraId="4F6D3586" w14:textId="32217130" w:rsidR="00A379D0" w:rsidRDefault="00A379D0" w:rsidP="004F5221">
            <w:pPr>
              <w:jc w:val="both"/>
            </w:pPr>
            <w:r w:rsidRPr="00944E3F">
              <w:t>IU</w:t>
            </w:r>
            <w:r>
              <w:t>S-12</w:t>
            </w:r>
            <w:r w:rsidRPr="00944E3F">
              <w:t xml:space="preserve"> positively correlated with PTSS</w:t>
            </w:r>
            <w:r>
              <w:t xml:space="preserve"> total (r=.40, p.001), re-experiencing (r=.31, p&lt;.01), avoidance (r=.35, p&lt;.001), </w:t>
            </w:r>
            <w:r w:rsidR="000E0155">
              <w:t xml:space="preserve">and </w:t>
            </w:r>
            <w:r>
              <w:t>hyperarousal (r=.39, p&lt;.001)</w:t>
            </w:r>
            <w:r w:rsidRPr="00944E3F">
              <w:t>. No significant main effect of IU predicting PTSS. The in</w:t>
            </w:r>
            <w:r>
              <w:t>teraction of IU and worry predicted</w:t>
            </w:r>
            <w:r w:rsidRPr="00944E3F">
              <w:t xml:space="preserve"> PTSS (</w:t>
            </w:r>
            <w:r>
              <w:t xml:space="preserve">β=.21, </w:t>
            </w:r>
            <w:r w:rsidRPr="00944E3F">
              <w:t xml:space="preserve">p&lt;.05). This was only the case with high </w:t>
            </w:r>
            <w:r>
              <w:t>levels of IU. The interaction of IU and</w:t>
            </w:r>
            <w:r w:rsidRPr="00944E3F">
              <w:t xml:space="preserve"> wor</w:t>
            </w:r>
            <w:r w:rsidR="00DB33A9">
              <w:t xml:space="preserve">ry only significantly predicted </w:t>
            </w:r>
            <w:r w:rsidRPr="00944E3F">
              <w:t>hyperarousal</w:t>
            </w:r>
            <w:r>
              <w:t xml:space="preserve"> (β=.35, p&lt;.001)</w:t>
            </w:r>
            <w:r w:rsidRPr="00944E3F">
              <w:t xml:space="preserve"> but not re-experiencing or avoidance.</w:t>
            </w:r>
          </w:p>
          <w:p w14:paraId="22FFE4F0" w14:textId="77777777" w:rsidR="00DB33A9" w:rsidRDefault="00DB33A9" w:rsidP="004F5221">
            <w:pPr>
              <w:jc w:val="both"/>
            </w:pPr>
          </w:p>
          <w:p w14:paraId="02567793" w14:textId="77777777" w:rsidR="00E66857" w:rsidRDefault="00E66857" w:rsidP="004F5221">
            <w:pPr>
              <w:jc w:val="both"/>
            </w:pPr>
          </w:p>
          <w:p w14:paraId="5793E13D" w14:textId="77777777" w:rsidR="00E66857" w:rsidRDefault="00E66857" w:rsidP="004F5221">
            <w:pPr>
              <w:jc w:val="both"/>
            </w:pPr>
          </w:p>
          <w:p w14:paraId="13C5DB7E" w14:textId="28DA3E47" w:rsidR="00E66857" w:rsidRDefault="00E66857" w:rsidP="004F5221">
            <w:pPr>
              <w:jc w:val="both"/>
            </w:pPr>
          </w:p>
        </w:tc>
      </w:tr>
      <w:tr w:rsidR="00E66857" w14:paraId="1469DF63" w14:textId="77777777" w:rsidTr="00456B3E">
        <w:trPr>
          <w:gridAfter w:val="1"/>
          <w:wAfter w:w="6550" w:type="dxa"/>
          <w:trHeight w:val="1074"/>
        </w:trPr>
        <w:tc>
          <w:tcPr>
            <w:tcW w:w="1719" w:type="dxa"/>
            <w:tcBorders>
              <w:top w:val="single" w:sz="4" w:space="0" w:color="auto"/>
              <w:bottom w:val="single" w:sz="4" w:space="0" w:color="auto"/>
            </w:tcBorders>
          </w:tcPr>
          <w:p w14:paraId="3C45CFD0" w14:textId="0396AADE" w:rsidR="00E66857" w:rsidRDefault="00456B3E" w:rsidP="000D08C4">
            <w:pPr>
              <w:pStyle w:val="NoSpacing"/>
            </w:pPr>
            <w:r>
              <w:lastRenderedPageBreak/>
              <w:t>Authors,</w:t>
            </w:r>
            <w:r w:rsidR="000D08C4">
              <w:t xml:space="preserve"> </w:t>
            </w:r>
            <w:r w:rsidR="00E66857" w:rsidRPr="00944E3F">
              <w:t xml:space="preserve">Year </w:t>
            </w:r>
            <w:r w:rsidR="00E66857">
              <w:t xml:space="preserve">and Country </w:t>
            </w:r>
            <w:r w:rsidR="00E66857" w:rsidRPr="00944E3F">
              <w:t>of Publication</w:t>
            </w:r>
          </w:p>
          <w:p w14:paraId="770407B5" w14:textId="74F6D492" w:rsidR="00E66857" w:rsidRPr="00944E3F" w:rsidRDefault="00E66857" w:rsidP="004F5221">
            <w:pPr>
              <w:jc w:val="both"/>
            </w:pPr>
          </w:p>
        </w:tc>
        <w:tc>
          <w:tcPr>
            <w:tcW w:w="2146" w:type="dxa"/>
            <w:tcBorders>
              <w:top w:val="single" w:sz="4" w:space="0" w:color="auto"/>
              <w:bottom w:val="single" w:sz="4" w:space="0" w:color="auto"/>
            </w:tcBorders>
          </w:tcPr>
          <w:p w14:paraId="60BE3B35" w14:textId="57287216" w:rsidR="00E66857" w:rsidRDefault="00E66857" w:rsidP="004F5221">
            <w:pPr>
              <w:jc w:val="both"/>
            </w:pPr>
          </w:p>
          <w:p w14:paraId="70A893CD" w14:textId="7CF23E96" w:rsidR="00E66857" w:rsidRDefault="00E66857" w:rsidP="004F5221">
            <w:pPr>
              <w:jc w:val="both"/>
            </w:pPr>
            <w:r>
              <w:t>Aims</w:t>
            </w:r>
          </w:p>
        </w:tc>
        <w:tc>
          <w:tcPr>
            <w:tcW w:w="3274" w:type="dxa"/>
            <w:tcBorders>
              <w:top w:val="single" w:sz="4" w:space="0" w:color="auto"/>
              <w:bottom w:val="single" w:sz="4" w:space="0" w:color="auto"/>
            </w:tcBorders>
          </w:tcPr>
          <w:p w14:paraId="54D7A6B0" w14:textId="758B81B3" w:rsidR="00E66857" w:rsidRDefault="00E66857" w:rsidP="004F5221">
            <w:pPr>
              <w:jc w:val="both"/>
            </w:pPr>
          </w:p>
          <w:p w14:paraId="0E3B12CA" w14:textId="70228E38" w:rsidR="00E66857" w:rsidRDefault="00E66857" w:rsidP="004F5221">
            <w:pPr>
              <w:jc w:val="both"/>
            </w:pPr>
            <w:r>
              <w:t>Trauma description</w:t>
            </w:r>
          </w:p>
        </w:tc>
        <w:tc>
          <w:tcPr>
            <w:tcW w:w="6550" w:type="dxa"/>
            <w:tcBorders>
              <w:top w:val="single" w:sz="4" w:space="0" w:color="auto"/>
              <w:bottom w:val="single" w:sz="4" w:space="0" w:color="auto"/>
            </w:tcBorders>
          </w:tcPr>
          <w:p w14:paraId="282BD82B" w14:textId="3F47B6C9" w:rsidR="00E66857" w:rsidRDefault="00E66857" w:rsidP="004F5221">
            <w:pPr>
              <w:jc w:val="both"/>
            </w:pPr>
          </w:p>
          <w:p w14:paraId="0B4C97D8" w14:textId="3510A87D" w:rsidR="00E66857" w:rsidRPr="00944E3F" w:rsidRDefault="00E66857" w:rsidP="004F5221">
            <w:pPr>
              <w:jc w:val="both"/>
            </w:pPr>
            <w:r>
              <w:t>Main findings</w:t>
            </w:r>
          </w:p>
        </w:tc>
      </w:tr>
      <w:tr w:rsidR="00E66857" w14:paraId="18776862" w14:textId="77777777" w:rsidTr="00456B3E">
        <w:trPr>
          <w:gridAfter w:val="1"/>
          <w:wAfter w:w="6550" w:type="dxa"/>
          <w:trHeight w:val="1074"/>
        </w:trPr>
        <w:tc>
          <w:tcPr>
            <w:tcW w:w="1719" w:type="dxa"/>
            <w:tcBorders>
              <w:top w:val="single" w:sz="4" w:space="0" w:color="auto"/>
            </w:tcBorders>
          </w:tcPr>
          <w:p w14:paraId="26368016" w14:textId="04704743" w:rsidR="00E66857" w:rsidRDefault="00E66857" w:rsidP="004F5221">
            <w:pPr>
              <w:jc w:val="both"/>
            </w:pPr>
            <w:r w:rsidRPr="00944E3F">
              <w:t>Boelen</w:t>
            </w:r>
            <w:r>
              <w:t>,</w:t>
            </w:r>
            <w:r w:rsidRPr="00944E3F">
              <w:t xml:space="preserve"> 2010 </w:t>
            </w:r>
          </w:p>
          <w:p w14:paraId="13DC80BF" w14:textId="77777777" w:rsidR="00E66857" w:rsidRDefault="00E66857" w:rsidP="004F5221">
            <w:pPr>
              <w:jc w:val="both"/>
            </w:pPr>
          </w:p>
          <w:p w14:paraId="0D43CE12" w14:textId="77777777" w:rsidR="00E66857" w:rsidRDefault="00E66857" w:rsidP="004F5221">
            <w:pPr>
              <w:jc w:val="both"/>
            </w:pPr>
            <w:r>
              <w:t>Netherlands</w:t>
            </w:r>
          </w:p>
        </w:tc>
        <w:tc>
          <w:tcPr>
            <w:tcW w:w="2146" w:type="dxa"/>
            <w:tcBorders>
              <w:top w:val="single" w:sz="4" w:space="0" w:color="auto"/>
            </w:tcBorders>
          </w:tcPr>
          <w:p w14:paraId="7D45423B" w14:textId="77777777" w:rsidR="00E66857" w:rsidRDefault="00E66857" w:rsidP="000E0155">
            <w:pPr>
              <w:pStyle w:val="NoSpacing"/>
            </w:pPr>
            <w:r>
              <w:t xml:space="preserve">IU and emotional distress following </w:t>
            </w:r>
            <w:r w:rsidRPr="00944E3F">
              <w:t>ber</w:t>
            </w:r>
            <w:r>
              <w:t>eavement</w:t>
            </w:r>
          </w:p>
        </w:tc>
        <w:tc>
          <w:tcPr>
            <w:tcW w:w="3274" w:type="dxa"/>
            <w:tcBorders>
              <w:top w:val="single" w:sz="4" w:space="0" w:color="auto"/>
            </w:tcBorders>
          </w:tcPr>
          <w:p w14:paraId="650ACC64" w14:textId="77777777" w:rsidR="00E66857" w:rsidRDefault="00E66857" w:rsidP="004F5221">
            <w:pPr>
              <w:jc w:val="both"/>
            </w:pPr>
            <w:r>
              <w:t>Loss</w:t>
            </w:r>
            <w:r w:rsidRPr="00944E3F">
              <w:t xml:space="preserve"> less than 10 years ago, mean </w:t>
            </w:r>
            <w:r>
              <w:t>months</w:t>
            </w:r>
            <w:r w:rsidRPr="00944E3F">
              <w:t xml:space="preserve"> since loss (23.8, SD=28.3)</w:t>
            </w:r>
          </w:p>
        </w:tc>
        <w:tc>
          <w:tcPr>
            <w:tcW w:w="6550" w:type="dxa"/>
            <w:tcBorders>
              <w:top w:val="single" w:sz="4" w:space="0" w:color="auto"/>
            </w:tcBorders>
          </w:tcPr>
          <w:p w14:paraId="225D0708" w14:textId="28D358AA" w:rsidR="00E66857" w:rsidRDefault="00E66857" w:rsidP="000E0155">
            <w:pPr>
              <w:pStyle w:val="NoSpacing"/>
            </w:pPr>
            <w:r w:rsidRPr="00944E3F">
              <w:t xml:space="preserve">IU significantly correlated with </w:t>
            </w:r>
            <w:r>
              <w:t>PSS-SR (r=.47, p&lt;.001). In regression analysis</w:t>
            </w:r>
            <w:r w:rsidRPr="00944E3F">
              <w:t xml:space="preserve"> IU significantly predicted </w:t>
            </w:r>
            <w:r>
              <w:t>PSS-SR severity (</w:t>
            </w:r>
            <w:r>
              <w:rPr>
                <w:rFonts w:cstheme="minorHAnsi"/>
              </w:rPr>
              <w:t>β=</w:t>
            </w:r>
            <w:r w:rsidRPr="00944E3F">
              <w:t>.16,</w:t>
            </w:r>
            <w:r w:rsidRPr="00944E3F">
              <w:br/>
              <w:t>p&lt;.05)</w:t>
            </w:r>
            <w:r>
              <w:t xml:space="preserve">. </w:t>
            </w:r>
          </w:p>
          <w:p w14:paraId="4EFD2C5A" w14:textId="77777777" w:rsidR="00E66857" w:rsidRDefault="00E66857" w:rsidP="004F5221">
            <w:pPr>
              <w:jc w:val="both"/>
            </w:pPr>
          </w:p>
          <w:p w14:paraId="6A4FF503" w14:textId="0D0560BE" w:rsidR="00E66857" w:rsidRDefault="00E66857" w:rsidP="004F5221">
            <w:pPr>
              <w:jc w:val="both"/>
            </w:pPr>
          </w:p>
        </w:tc>
      </w:tr>
      <w:tr w:rsidR="00E66857" w14:paraId="452CC0E0" w14:textId="77777777" w:rsidTr="00456B3E">
        <w:trPr>
          <w:gridAfter w:val="1"/>
          <w:wAfter w:w="6550" w:type="dxa"/>
          <w:trHeight w:val="64"/>
        </w:trPr>
        <w:tc>
          <w:tcPr>
            <w:tcW w:w="1719" w:type="dxa"/>
          </w:tcPr>
          <w:p w14:paraId="6B5582FA" w14:textId="0F2D0D40" w:rsidR="00E66857" w:rsidRPr="00944E3F" w:rsidRDefault="00E66857" w:rsidP="004F5221">
            <w:pPr>
              <w:jc w:val="both"/>
            </w:pPr>
          </w:p>
        </w:tc>
        <w:tc>
          <w:tcPr>
            <w:tcW w:w="2146" w:type="dxa"/>
          </w:tcPr>
          <w:p w14:paraId="4A8EAD6D" w14:textId="30FDAEF0" w:rsidR="00E66857" w:rsidRDefault="00E66857" w:rsidP="004F5221">
            <w:pPr>
              <w:jc w:val="both"/>
            </w:pPr>
          </w:p>
        </w:tc>
        <w:tc>
          <w:tcPr>
            <w:tcW w:w="3274" w:type="dxa"/>
          </w:tcPr>
          <w:p w14:paraId="5EA00B22" w14:textId="2CE03929" w:rsidR="00E66857" w:rsidRDefault="00E66857" w:rsidP="004F5221">
            <w:pPr>
              <w:jc w:val="both"/>
            </w:pPr>
          </w:p>
        </w:tc>
        <w:tc>
          <w:tcPr>
            <w:tcW w:w="6550" w:type="dxa"/>
          </w:tcPr>
          <w:p w14:paraId="3CD7FDB4" w14:textId="70DB6C8C" w:rsidR="00E66857" w:rsidRPr="00944E3F" w:rsidRDefault="00E66857" w:rsidP="004F5221">
            <w:pPr>
              <w:jc w:val="both"/>
            </w:pPr>
          </w:p>
        </w:tc>
      </w:tr>
      <w:tr w:rsidR="00E66857" w14:paraId="33F62FE1" w14:textId="77777777" w:rsidTr="00456B3E">
        <w:trPr>
          <w:gridAfter w:val="1"/>
          <w:wAfter w:w="6550" w:type="dxa"/>
          <w:trHeight w:val="1884"/>
        </w:trPr>
        <w:tc>
          <w:tcPr>
            <w:tcW w:w="1719" w:type="dxa"/>
          </w:tcPr>
          <w:p w14:paraId="37EC277B" w14:textId="2D18CE24" w:rsidR="00E66857" w:rsidRDefault="00E66857" w:rsidP="004F5221">
            <w:pPr>
              <w:jc w:val="both"/>
            </w:pPr>
            <w:r w:rsidRPr="00944E3F">
              <w:t>Boelen</w:t>
            </w:r>
            <w:r>
              <w:t>,</w:t>
            </w:r>
            <w:r w:rsidRPr="00944E3F">
              <w:t xml:space="preserve"> 2019</w:t>
            </w:r>
          </w:p>
          <w:p w14:paraId="79B37624" w14:textId="77777777" w:rsidR="00E66857" w:rsidRDefault="00E66857" w:rsidP="004F5221">
            <w:pPr>
              <w:jc w:val="both"/>
            </w:pPr>
          </w:p>
          <w:p w14:paraId="74C848D2" w14:textId="77777777" w:rsidR="00E66857" w:rsidRDefault="00E66857" w:rsidP="004F5221">
            <w:pPr>
              <w:jc w:val="both"/>
            </w:pPr>
            <w:r>
              <w:t>Netherlands</w:t>
            </w:r>
          </w:p>
        </w:tc>
        <w:tc>
          <w:tcPr>
            <w:tcW w:w="2146" w:type="dxa"/>
          </w:tcPr>
          <w:p w14:paraId="429EA955" w14:textId="77777777" w:rsidR="00E66857" w:rsidRDefault="00E66857" w:rsidP="004F5221">
            <w:pPr>
              <w:jc w:val="both"/>
            </w:pPr>
            <w:r w:rsidRPr="00944E3F">
              <w:t xml:space="preserve">IU </w:t>
            </w:r>
            <w:r>
              <w:t xml:space="preserve">and </w:t>
            </w:r>
            <w:r w:rsidRPr="00944E3F">
              <w:t xml:space="preserve">PTSS following negative life events </w:t>
            </w:r>
          </w:p>
        </w:tc>
        <w:tc>
          <w:tcPr>
            <w:tcW w:w="3274" w:type="dxa"/>
          </w:tcPr>
          <w:p w14:paraId="700C0E21" w14:textId="77777777" w:rsidR="00E66857" w:rsidRDefault="00E66857" w:rsidP="00AD2BC5">
            <w:pPr>
              <w:pStyle w:val="NoSpacing"/>
            </w:pPr>
            <w:r w:rsidRPr="00944E3F">
              <w:t>Participants completed the PTSS-R in relation to the</w:t>
            </w:r>
            <w:r>
              <w:t>ir</w:t>
            </w:r>
            <w:r w:rsidRPr="00944E3F">
              <w:t xml:space="preserve"> most negative event in the last year. They considered impact of negative events, not all being traumatic and therefore used the term "analogue PTS". Excluded if no stressful event over last year</w:t>
            </w:r>
          </w:p>
          <w:p w14:paraId="5BD30442" w14:textId="3302087A" w:rsidR="00E66857" w:rsidRDefault="00E66857" w:rsidP="004F5221">
            <w:pPr>
              <w:jc w:val="both"/>
            </w:pPr>
          </w:p>
        </w:tc>
        <w:tc>
          <w:tcPr>
            <w:tcW w:w="6550" w:type="dxa"/>
          </w:tcPr>
          <w:p w14:paraId="18B10E3F" w14:textId="77777777" w:rsidR="00E66857" w:rsidRDefault="00E66857" w:rsidP="004F5221">
            <w:pPr>
              <w:jc w:val="both"/>
            </w:pPr>
            <w:r w:rsidRPr="00944E3F">
              <w:t xml:space="preserve">Pre-event inhibitory IU </w:t>
            </w:r>
            <w:r>
              <w:t xml:space="preserve">(r=.29, p&lt;.01) and </w:t>
            </w:r>
            <w:r w:rsidRPr="00944E3F">
              <w:t>p</w:t>
            </w:r>
            <w:r>
              <w:t>rospective</w:t>
            </w:r>
            <w:r w:rsidRPr="00944E3F">
              <w:t xml:space="preserve"> IU</w:t>
            </w:r>
            <w:r>
              <w:t xml:space="preserve"> (r=.16, p&lt;.05)</w:t>
            </w:r>
            <w:r w:rsidRPr="00944E3F">
              <w:t xml:space="preserve"> correlated with post-event PTS</w:t>
            </w:r>
            <w:r>
              <w:t xml:space="preserve"> total, along with most subscales. Prospective IU did not significantly correlate with PTSS avoidance. In regression, </w:t>
            </w:r>
            <w:r w:rsidRPr="00944E3F">
              <w:t xml:space="preserve">pre-event inhibitory IU </w:t>
            </w:r>
            <w:r>
              <w:t>(</w:t>
            </w:r>
            <w:r>
              <w:rPr>
                <w:rFonts w:cstheme="minorHAnsi"/>
              </w:rPr>
              <w:t>β</w:t>
            </w:r>
            <w:r>
              <w:t xml:space="preserve">=.26) </w:t>
            </w:r>
            <w:r w:rsidRPr="00944E3F">
              <w:t>but not prospective IU, predicted overall PTS</w:t>
            </w:r>
            <w:r>
              <w:t>S</w:t>
            </w:r>
            <w:r w:rsidRPr="00944E3F">
              <w:t xml:space="preserve"> score post event. Pre-e</w:t>
            </w:r>
            <w:r>
              <w:t>vent inhibitory IU predicted</w:t>
            </w:r>
            <w:r w:rsidRPr="00944E3F">
              <w:t xml:space="preserve"> avoidance</w:t>
            </w:r>
            <w:r>
              <w:t xml:space="preserve"> (</w:t>
            </w:r>
            <w:r>
              <w:rPr>
                <w:rFonts w:cstheme="minorHAnsi"/>
              </w:rPr>
              <w:t>β=.24, p.05)</w:t>
            </w:r>
            <w:r w:rsidRPr="00944E3F">
              <w:t xml:space="preserve"> and hyperarousal </w:t>
            </w:r>
            <w:r>
              <w:t>(</w:t>
            </w:r>
            <w:r>
              <w:rPr>
                <w:rFonts w:cstheme="minorHAnsi"/>
              </w:rPr>
              <w:t>β</w:t>
            </w:r>
            <w:r w:rsidRPr="00944E3F">
              <w:t xml:space="preserve"> </w:t>
            </w:r>
            <w:r>
              <w:t>=.28) but not</w:t>
            </w:r>
            <w:r w:rsidRPr="00944E3F">
              <w:t xml:space="preserve"> re-experiencing.</w:t>
            </w:r>
          </w:p>
          <w:p w14:paraId="495744C6" w14:textId="26CCC512" w:rsidR="00E66857" w:rsidRDefault="00E66857" w:rsidP="004F5221">
            <w:pPr>
              <w:jc w:val="both"/>
            </w:pPr>
          </w:p>
        </w:tc>
      </w:tr>
      <w:tr w:rsidR="00E66857" w14:paraId="3C76D4FD" w14:textId="77777777" w:rsidTr="00456B3E">
        <w:trPr>
          <w:gridAfter w:val="1"/>
          <w:wAfter w:w="6550" w:type="dxa"/>
          <w:trHeight w:val="1873"/>
        </w:trPr>
        <w:tc>
          <w:tcPr>
            <w:tcW w:w="1719" w:type="dxa"/>
          </w:tcPr>
          <w:p w14:paraId="06979D50" w14:textId="77777777" w:rsidR="00E66857" w:rsidRDefault="00E66857" w:rsidP="004F5221">
            <w:pPr>
              <w:jc w:val="both"/>
            </w:pPr>
            <w:r w:rsidRPr="00944E3F">
              <w:t>Boelen et al., 2016</w:t>
            </w:r>
          </w:p>
          <w:p w14:paraId="017ABFFC" w14:textId="77777777" w:rsidR="00E66857" w:rsidRDefault="00E66857" w:rsidP="004F5221">
            <w:pPr>
              <w:jc w:val="both"/>
            </w:pPr>
          </w:p>
          <w:p w14:paraId="5D23E9AE" w14:textId="2101C65D" w:rsidR="00E66857" w:rsidRDefault="00E66857" w:rsidP="004F5221">
            <w:pPr>
              <w:jc w:val="both"/>
            </w:pPr>
            <w:r>
              <w:t>Netherlands</w:t>
            </w:r>
          </w:p>
        </w:tc>
        <w:tc>
          <w:tcPr>
            <w:tcW w:w="2146" w:type="dxa"/>
          </w:tcPr>
          <w:p w14:paraId="45C8AED3" w14:textId="77777777" w:rsidR="00E66857" w:rsidRDefault="00E66857" w:rsidP="000E0155">
            <w:pPr>
              <w:pStyle w:val="NoSpacing"/>
            </w:pPr>
            <w:r>
              <w:t>Concurrent</w:t>
            </w:r>
            <w:r w:rsidRPr="00944E3F">
              <w:t xml:space="preserve"> and prospective associations of IU following bereavement </w:t>
            </w:r>
          </w:p>
        </w:tc>
        <w:tc>
          <w:tcPr>
            <w:tcW w:w="3274" w:type="dxa"/>
          </w:tcPr>
          <w:p w14:paraId="3EE7A833" w14:textId="36C52FE7" w:rsidR="00E66857" w:rsidRDefault="00AD2BC5" w:rsidP="004F5221">
            <w:pPr>
              <w:jc w:val="both"/>
            </w:pPr>
            <w:r>
              <w:t>Bereaved</w:t>
            </w:r>
            <w:r w:rsidR="00E66857" w:rsidRPr="00944E3F">
              <w:t xml:space="preserve"> 1 - 12 months ago</w:t>
            </w:r>
          </w:p>
        </w:tc>
        <w:tc>
          <w:tcPr>
            <w:tcW w:w="6550" w:type="dxa"/>
          </w:tcPr>
          <w:p w14:paraId="760BEDD9" w14:textId="77777777" w:rsidR="00E66857" w:rsidRDefault="00E66857" w:rsidP="000E0155">
            <w:pPr>
              <w:pStyle w:val="NoSpacing"/>
            </w:pPr>
            <w:r w:rsidRPr="00944E3F">
              <w:t>T</w:t>
            </w:r>
            <w:r>
              <w:t>ime-</w:t>
            </w:r>
            <w:r w:rsidRPr="00944E3F">
              <w:t>2 PTSS corre</w:t>
            </w:r>
            <w:r>
              <w:t>lated (</w:t>
            </w:r>
            <w:r w:rsidRPr="00AB7CD2">
              <w:rPr>
                <w:i/>
              </w:rPr>
              <w:t>p</w:t>
            </w:r>
            <w:r>
              <w:rPr>
                <w:i/>
              </w:rPr>
              <w:t>&lt;</w:t>
            </w:r>
            <w:r>
              <w:t xml:space="preserve">0.0024) </w:t>
            </w:r>
            <w:r w:rsidRPr="00AB7CD2">
              <w:t>with</w:t>
            </w:r>
            <w:r>
              <w:t xml:space="preserve"> prospective IU (r=.29), Inhibitory IU (r=.40), and total IU (r=.37). Cross-sectional model significant with </w:t>
            </w:r>
            <w:r w:rsidRPr="00944E3F">
              <w:t>inhibitory</w:t>
            </w:r>
            <w:r>
              <w:t xml:space="preserve"> (</w:t>
            </w:r>
            <w:r>
              <w:rPr>
                <w:rFonts w:cstheme="minorHAnsi"/>
              </w:rPr>
              <w:t xml:space="preserve">β=0.27, </w:t>
            </w:r>
            <w:r>
              <w:rPr>
                <w:rFonts w:cstheme="minorHAnsi"/>
                <w:i/>
              </w:rPr>
              <w:t>p</w:t>
            </w:r>
            <w:r w:rsidRPr="00AB7CD2">
              <w:rPr>
                <w:rFonts w:cstheme="minorHAnsi"/>
              </w:rPr>
              <w:t>&lt;</w:t>
            </w:r>
            <w:r>
              <w:t>0.001)</w:t>
            </w:r>
            <w:r w:rsidRPr="00944E3F">
              <w:t xml:space="preserve"> </w:t>
            </w:r>
            <w:r>
              <w:t>but not prospective IU predicting</w:t>
            </w:r>
            <w:r w:rsidRPr="00944E3F">
              <w:t xml:space="preserve"> PTSD</w:t>
            </w:r>
            <w:r>
              <w:t>.</w:t>
            </w:r>
            <w:r w:rsidRPr="00944E3F">
              <w:t xml:space="preserve"> The regression analyses with data from the second time point indicated no predictive relationship between </w:t>
            </w:r>
            <w:r>
              <w:t xml:space="preserve">time-1 </w:t>
            </w:r>
            <w:r w:rsidRPr="00944E3F">
              <w:t>inhibitory or prospective IU and</w:t>
            </w:r>
            <w:r>
              <w:t xml:space="preserve"> time-2 PTSS</w:t>
            </w:r>
            <w:r w:rsidRPr="00944E3F">
              <w:t>.</w:t>
            </w:r>
          </w:p>
          <w:p w14:paraId="582C744F" w14:textId="2E8D192F" w:rsidR="00E66857" w:rsidRDefault="00E66857" w:rsidP="004F5221">
            <w:pPr>
              <w:jc w:val="both"/>
            </w:pPr>
          </w:p>
        </w:tc>
      </w:tr>
      <w:tr w:rsidR="00E66857" w14:paraId="6C00415F" w14:textId="77777777" w:rsidTr="00456B3E">
        <w:trPr>
          <w:gridAfter w:val="1"/>
          <w:wAfter w:w="6550" w:type="dxa"/>
          <w:trHeight w:val="993"/>
        </w:trPr>
        <w:tc>
          <w:tcPr>
            <w:tcW w:w="1719" w:type="dxa"/>
            <w:tcBorders>
              <w:bottom w:val="single" w:sz="4" w:space="0" w:color="auto"/>
            </w:tcBorders>
          </w:tcPr>
          <w:p w14:paraId="5F53C9E6" w14:textId="77777777" w:rsidR="00E66857" w:rsidRDefault="00E66857" w:rsidP="004F5221">
            <w:pPr>
              <w:jc w:val="both"/>
            </w:pPr>
          </w:p>
          <w:p w14:paraId="74200DB2" w14:textId="77777777" w:rsidR="00E66857" w:rsidRDefault="00E66857" w:rsidP="004F5221">
            <w:pPr>
              <w:jc w:val="both"/>
            </w:pPr>
          </w:p>
          <w:p w14:paraId="0437C60A" w14:textId="77777777" w:rsidR="00E66857" w:rsidRDefault="00E66857" w:rsidP="004F5221">
            <w:pPr>
              <w:jc w:val="both"/>
            </w:pPr>
          </w:p>
          <w:p w14:paraId="514B58D3" w14:textId="77777777" w:rsidR="00E66857" w:rsidRDefault="00E66857" w:rsidP="004F5221">
            <w:pPr>
              <w:jc w:val="both"/>
            </w:pPr>
          </w:p>
          <w:p w14:paraId="00110193" w14:textId="61138405" w:rsidR="00E66857" w:rsidRPr="00944E3F" w:rsidRDefault="00456B3E" w:rsidP="000D08C4">
            <w:pPr>
              <w:pStyle w:val="NoSpacing"/>
            </w:pPr>
            <w:r>
              <w:lastRenderedPageBreak/>
              <w:t>Authors,</w:t>
            </w:r>
            <w:r w:rsidR="000D08C4">
              <w:t xml:space="preserve"> </w:t>
            </w:r>
            <w:r w:rsidR="00E66857" w:rsidRPr="00944E3F">
              <w:t xml:space="preserve">Year </w:t>
            </w:r>
            <w:r>
              <w:t xml:space="preserve">and Country </w:t>
            </w:r>
            <w:r w:rsidR="00E66857" w:rsidRPr="00944E3F">
              <w:t>of Publication</w:t>
            </w:r>
          </w:p>
        </w:tc>
        <w:tc>
          <w:tcPr>
            <w:tcW w:w="2146" w:type="dxa"/>
            <w:tcBorders>
              <w:bottom w:val="single" w:sz="4" w:space="0" w:color="auto"/>
            </w:tcBorders>
          </w:tcPr>
          <w:p w14:paraId="2056D78F" w14:textId="77777777" w:rsidR="00E66857" w:rsidRDefault="00E66857" w:rsidP="004F5221">
            <w:pPr>
              <w:jc w:val="both"/>
            </w:pPr>
          </w:p>
          <w:p w14:paraId="7577A91C" w14:textId="77777777" w:rsidR="00E66857" w:rsidRDefault="00E66857" w:rsidP="004F5221">
            <w:pPr>
              <w:jc w:val="both"/>
            </w:pPr>
          </w:p>
          <w:p w14:paraId="36A6E362" w14:textId="77777777" w:rsidR="00E66857" w:rsidRDefault="00E66857" w:rsidP="004F5221">
            <w:pPr>
              <w:jc w:val="both"/>
            </w:pPr>
          </w:p>
          <w:p w14:paraId="6B337CB7" w14:textId="77777777" w:rsidR="00E66857" w:rsidRDefault="00E66857" w:rsidP="004F5221">
            <w:pPr>
              <w:jc w:val="both"/>
            </w:pPr>
          </w:p>
          <w:p w14:paraId="0650910C" w14:textId="77777777" w:rsidR="00E66857" w:rsidRDefault="00E66857" w:rsidP="004F5221">
            <w:pPr>
              <w:jc w:val="both"/>
            </w:pPr>
          </w:p>
          <w:p w14:paraId="32090DC0" w14:textId="77777777" w:rsidR="00E66857" w:rsidRDefault="00E66857" w:rsidP="004F5221">
            <w:pPr>
              <w:jc w:val="both"/>
            </w:pPr>
          </w:p>
          <w:p w14:paraId="2776055F" w14:textId="45503B8B" w:rsidR="00E66857" w:rsidRDefault="00E66857" w:rsidP="004F5221">
            <w:pPr>
              <w:jc w:val="both"/>
            </w:pPr>
            <w:r>
              <w:lastRenderedPageBreak/>
              <w:t>Aims</w:t>
            </w:r>
          </w:p>
        </w:tc>
        <w:tc>
          <w:tcPr>
            <w:tcW w:w="3274" w:type="dxa"/>
            <w:tcBorders>
              <w:bottom w:val="single" w:sz="4" w:space="0" w:color="auto"/>
            </w:tcBorders>
          </w:tcPr>
          <w:p w14:paraId="71C9F45D" w14:textId="77777777" w:rsidR="00E66857" w:rsidRDefault="00E66857" w:rsidP="004F5221">
            <w:pPr>
              <w:jc w:val="both"/>
            </w:pPr>
          </w:p>
          <w:p w14:paraId="1F4A619D" w14:textId="77777777" w:rsidR="00E66857" w:rsidRDefault="00E66857" w:rsidP="004F5221">
            <w:pPr>
              <w:jc w:val="both"/>
            </w:pPr>
          </w:p>
          <w:p w14:paraId="38CF7873" w14:textId="77777777" w:rsidR="00E66857" w:rsidRDefault="00E66857" w:rsidP="004F5221">
            <w:pPr>
              <w:jc w:val="both"/>
            </w:pPr>
          </w:p>
          <w:p w14:paraId="4AB0F817" w14:textId="77777777" w:rsidR="00E66857" w:rsidRDefault="00E66857" w:rsidP="004F5221">
            <w:pPr>
              <w:jc w:val="both"/>
            </w:pPr>
          </w:p>
          <w:p w14:paraId="1F11EE04" w14:textId="77777777" w:rsidR="00E66857" w:rsidRDefault="00E66857" w:rsidP="004F5221">
            <w:pPr>
              <w:jc w:val="both"/>
            </w:pPr>
          </w:p>
          <w:p w14:paraId="786146A3" w14:textId="77777777" w:rsidR="00E66857" w:rsidRDefault="00E66857" w:rsidP="004F5221">
            <w:pPr>
              <w:jc w:val="both"/>
            </w:pPr>
          </w:p>
          <w:p w14:paraId="75B8E45A" w14:textId="3748A150" w:rsidR="00E66857" w:rsidRPr="00944E3F" w:rsidRDefault="00E66857" w:rsidP="004F5221">
            <w:pPr>
              <w:jc w:val="both"/>
            </w:pPr>
            <w:r>
              <w:lastRenderedPageBreak/>
              <w:t>Trauma description</w:t>
            </w:r>
          </w:p>
        </w:tc>
        <w:tc>
          <w:tcPr>
            <w:tcW w:w="6550" w:type="dxa"/>
            <w:tcBorders>
              <w:bottom w:val="single" w:sz="4" w:space="0" w:color="auto"/>
            </w:tcBorders>
          </w:tcPr>
          <w:p w14:paraId="6115D3A4" w14:textId="77777777" w:rsidR="00E66857" w:rsidRDefault="00E66857" w:rsidP="004F5221">
            <w:pPr>
              <w:jc w:val="both"/>
            </w:pPr>
          </w:p>
          <w:p w14:paraId="43E5A243" w14:textId="77777777" w:rsidR="00E66857" w:rsidRDefault="00E66857" w:rsidP="004F5221">
            <w:pPr>
              <w:jc w:val="both"/>
            </w:pPr>
          </w:p>
          <w:p w14:paraId="5198BC0E" w14:textId="77777777" w:rsidR="00E66857" w:rsidRDefault="00E66857" w:rsidP="004F5221">
            <w:pPr>
              <w:jc w:val="both"/>
            </w:pPr>
          </w:p>
          <w:p w14:paraId="01C04F9F" w14:textId="77777777" w:rsidR="00E66857" w:rsidRDefault="00E66857" w:rsidP="004F5221">
            <w:pPr>
              <w:jc w:val="both"/>
            </w:pPr>
          </w:p>
          <w:p w14:paraId="289A217A" w14:textId="77777777" w:rsidR="00E66857" w:rsidRDefault="00E66857" w:rsidP="004F5221">
            <w:pPr>
              <w:jc w:val="both"/>
            </w:pPr>
          </w:p>
          <w:p w14:paraId="57F2D4E7" w14:textId="77777777" w:rsidR="00E66857" w:rsidRDefault="00E66857" w:rsidP="004F5221">
            <w:pPr>
              <w:jc w:val="both"/>
            </w:pPr>
          </w:p>
          <w:p w14:paraId="511D4C2D" w14:textId="2C125FD2" w:rsidR="00E66857" w:rsidRDefault="00E66857" w:rsidP="004F5221">
            <w:pPr>
              <w:jc w:val="both"/>
            </w:pPr>
            <w:r>
              <w:lastRenderedPageBreak/>
              <w:t>Main findings</w:t>
            </w:r>
          </w:p>
        </w:tc>
      </w:tr>
      <w:tr w:rsidR="00E66857" w14:paraId="1CA44044" w14:textId="77777777" w:rsidTr="00456B3E">
        <w:trPr>
          <w:gridAfter w:val="1"/>
          <w:wAfter w:w="6550" w:type="dxa"/>
          <w:trHeight w:val="1884"/>
        </w:trPr>
        <w:tc>
          <w:tcPr>
            <w:tcW w:w="1719" w:type="dxa"/>
            <w:tcBorders>
              <w:top w:val="single" w:sz="4" w:space="0" w:color="auto"/>
            </w:tcBorders>
          </w:tcPr>
          <w:p w14:paraId="35D5C308" w14:textId="7C2CFE25" w:rsidR="00E66857" w:rsidRDefault="00E66857" w:rsidP="004F5221">
            <w:pPr>
              <w:jc w:val="both"/>
            </w:pPr>
            <w:r w:rsidRPr="00944E3F">
              <w:lastRenderedPageBreak/>
              <w:t>Clarke et al., 2021</w:t>
            </w:r>
          </w:p>
          <w:p w14:paraId="64A7CA91" w14:textId="77777777" w:rsidR="00E66857" w:rsidRDefault="00E66857" w:rsidP="004F5221">
            <w:pPr>
              <w:jc w:val="both"/>
            </w:pPr>
          </w:p>
          <w:p w14:paraId="14131384" w14:textId="77777777" w:rsidR="00E66857" w:rsidRDefault="00E66857" w:rsidP="004F5221">
            <w:pPr>
              <w:jc w:val="both"/>
            </w:pPr>
            <w:r>
              <w:t>Australia</w:t>
            </w:r>
          </w:p>
        </w:tc>
        <w:tc>
          <w:tcPr>
            <w:tcW w:w="2146" w:type="dxa"/>
            <w:tcBorders>
              <w:top w:val="single" w:sz="4" w:space="0" w:color="auto"/>
            </w:tcBorders>
          </w:tcPr>
          <w:p w14:paraId="3AE06594" w14:textId="516E38C8" w:rsidR="00E66857" w:rsidRDefault="00E66857" w:rsidP="00AD2BC5">
            <w:pPr>
              <w:pStyle w:val="NoSpacing"/>
            </w:pPr>
            <w:r>
              <w:t>IU</w:t>
            </w:r>
            <w:r w:rsidRPr="00944E3F">
              <w:t xml:space="preserve"> and cognitive flexibility as mediators between neuroticism and mood disorders including PTSD</w:t>
            </w:r>
            <w:r>
              <w:t>.</w:t>
            </w:r>
          </w:p>
        </w:tc>
        <w:tc>
          <w:tcPr>
            <w:tcW w:w="3274" w:type="dxa"/>
            <w:tcBorders>
              <w:top w:val="single" w:sz="4" w:space="0" w:color="auto"/>
            </w:tcBorders>
          </w:tcPr>
          <w:p w14:paraId="4DA5A233" w14:textId="77777777" w:rsidR="00E66857" w:rsidRDefault="00E66857" w:rsidP="00AD2BC5">
            <w:pPr>
              <w:pStyle w:val="NoSpacing"/>
            </w:pPr>
            <w:r w:rsidRPr="00944E3F">
              <w:t>Mean PCL-5 score of 47.92 (SD=22.23)</w:t>
            </w:r>
          </w:p>
        </w:tc>
        <w:tc>
          <w:tcPr>
            <w:tcW w:w="6550" w:type="dxa"/>
            <w:tcBorders>
              <w:top w:val="single" w:sz="4" w:space="0" w:color="auto"/>
            </w:tcBorders>
          </w:tcPr>
          <w:p w14:paraId="664C6AA6" w14:textId="77777777" w:rsidR="00E66857" w:rsidRDefault="00E66857" w:rsidP="004F5221">
            <w:pPr>
              <w:jc w:val="both"/>
            </w:pPr>
            <w:r>
              <w:t xml:space="preserve">IU correlated with PCL-5 (r=0.68, p&lt;0.001). </w:t>
            </w:r>
            <w:r w:rsidRPr="00944E3F">
              <w:t>Regression demonstrated IU as a signific</w:t>
            </w:r>
            <w:r>
              <w:t>ant predictor of PCL-5 (</w:t>
            </w:r>
            <w:r>
              <w:rPr>
                <w:rFonts w:cstheme="minorHAnsi"/>
              </w:rPr>
              <w:t>β</w:t>
            </w:r>
            <w:r>
              <w:rPr>
                <w:rFonts w:ascii="Calibri" w:eastAsia="Times New Roman" w:hAnsi="Calibri" w:cs="Calibri"/>
                <w:color w:val="000000"/>
                <w:lang w:eastAsia="en-GB"/>
              </w:rPr>
              <w:t xml:space="preserve"> =</w:t>
            </w:r>
            <w:r w:rsidRPr="005702AA">
              <w:rPr>
                <w:rFonts w:ascii="Calibri" w:eastAsia="Times New Roman" w:hAnsi="Calibri" w:cs="Calibri"/>
                <w:color w:val="000000"/>
                <w:lang w:eastAsia="en-GB"/>
              </w:rPr>
              <w:t xml:space="preserve">0.58, </w:t>
            </w:r>
            <w:r w:rsidRPr="001829C8">
              <w:rPr>
                <w:rFonts w:ascii="Calibri" w:eastAsia="Times New Roman" w:hAnsi="Calibri" w:cs="Calibri"/>
                <w:i/>
                <w:color w:val="000000"/>
                <w:lang w:eastAsia="en-GB"/>
              </w:rPr>
              <w:t>p</w:t>
            </w:r>
            <w:r w:rsidRPr="005702AA">
              <w:rPr>
                <w:rFonts w:ascii="Calibri" w:eastAsia="Times New Roman" w:hAnsi="Calibri" w:cs="Calibri"/>
                <w:color w:val="000000"/>
                <w:lang w:eastAsia="en-GB"/>
              </w:rPr>
              <w:t>&lt;.001</w:t>
            </w:r>
            <w:r>
              <w:rPr>
                <w:rFonts w:ascii="Calibri" w:eastAsia="Times New Roman" w:hAnsi="Calibri" w:cs="Calibri"/>
                <w:color w:val="000000"/>
                <w:lang w:eastAsia="en-GB"/>
              </w:rPr>
              <w:t>)</w:t>
            </w:r>
            <w:r>
              <w:t xml:space="preserve">. </w:t>
            </w:r>
            <w:r w:rsidRPr="00944E3F">
              <w:t>The indirect effect of IU as mediator of neurot</w:t>
            </w:r>
            <w:r>
              <w:t>icism on PCL-5 was significant (</w:t>
            </w:r>
            <w:r>
              <w:rPr>
                <w:rFonts w:cstheme="minorHAnsi"/>
              </w:rPr>
              <w:t>β=0.87).</w:t>
            </w:r>
          </w:p>
        </w:tc>
      </w:tr>
      <w:tr w:rsidR="00E66857" w14:paraId="5C5D5031" w14:textId="77777777" w:rsidTr="00456B3E">
        <w:trPr>
          <w:gridAfter w:val="1"/>
          <w:wAfter w:w="6550" w:type="dxa"/>
          <w:trHeight w:val="64"/>
        </w:trPr>
        <w:tc>
          <w:tcPr>
            <w:tcW w:w="1719" w:type="dxa"/>
          </w:tcPr>
          <w:p w14:paraId="59FA4A28" w14:textId="745223E7" w:rsidR="00E66857" w:rsidRPr="00944E3F" w:rsidRDefault="00E66857" w:rsidP="004F5221">
            <w:pPr>
              <w:jc w:val="both"/>
            </w:pPr>
          </w:p>
        </w:tc>
        <w:tc>
          <w:tcPr>
            <w:tcW w:w="2146" w:type="dxa"/>
          </w:tcPr>
          <w:p w14:paraId="71FBC382" w14:textId="5AA7D98F" w:rsidR="00E66857" w:rsidRPr="00944E3F" w:rsidRDefault="00E66857" w:rsidP="004F5221">
            <w:pPr>
              <w:jc w:val="both"/>
            </w:pPr>
          </w:p>
        </w:tc>
        <w:tc>
          <w:tcPr>
            <w:tcW w:w="3274" w:type="dxa"/>
          </w:tcPr>
          <w:p w14:paraId="62885067" w14:textId="1C3C9188" w:rsidR="00E66857" w:rsidRDefault="00E66857" w:rsidP="004F5221">
            <w:pPr>
              <w:jc w:val="both"/>
            </w:pPr>
          </w:p>
        </w:tc>
        <w:tc>
          <w:tcPr>
            <w:tcW w:w="6550" w:type="dxa"/>
          </w:tcPr>
          <w:p w14:paraId="22817B20" w14:textId="368EB82E" w:rsidR="00E66857" w:rsidRPr="00944E3F" w:rsidRDefault="00E66857" w:rsidP="004F5221">
            <w:pPr>
              <w:jc w:val="both"/>
            </w:pPr>
          </w:p>
        </w:tc>
      </w:tr>
      <w:tr w:rsidR="00E66857" w14:paraId="01D6AE37" w14:textId="77777777" w:rsidTr="00456B3E">
        <w:trPr>
          <w:gridAfter w:val="1"/>
          <w:wAfter w:w="6550" w:type="dxa"/>
          <w:trHeight w:val="2417"/>
        </w:trPr>
        <w:tc>
          <w:tcPr>
            <w:tcW w:w="1719" w:type="dxa"/>
          </w:tcPr>
          <w:p w14:paraId="64424200" w14:textId="4262F18D" w:rsidR="00E66857" w:rsidRDefault="00E66857" w:rsidP="004F5221">
            <w:pPr>
              <w:jc w:val="both"/>
            </w:pPr>
            <w:r w:rsidRPr="00944E3F">
              <w:t>Fetzner et al., 2013</w:t>
            </w:r>
          </w:p>
          <w:p w14:paraId="5CEAD6E9" w14:textId="77777777" w:rsidR="00E66857" w:rsidRDefault="00E66857" w:rsidP="004F5221">
            <w:pPr>
              <w:jc w:val="both"/>
            </w:pPr>
          </w:p>
          <w:p w14:paraId="38438B7A" w14:textId="77777777" w:rsidR="00E66857" w:rsidRDefault="00E66857" w:rsidP="004F5221">
            <w:pPr>
              <w:jc w:val="both"/>
            </w:pPr>
            <w:r w:rsidRPr="00944E3F">
              <w:t>USA</w:t>
            </w:r>
          </w:p>
        </w:tc>
        <w:tc>
          <w:tcPr>
            <w:tcW w:w="2146" w:type="dxa"/>
          </w:tcPr>
          <w:p w14:paraId="789A92C7" w14:textId="77777777" w:rsidR="00E66857" w:rsidRDefault="00E66857" w:rsidP="00AD2BC5">
            <w:pPr>
              <w:pStyle w:val="NoSpacing"/>
            </w:pPr>
            <w:r w:rsidRPr="00944E3F">
              <w:t xml:space="preserve">IU and PTSD in a community sample </w:t>
            </w:r>
          </w:p>
          <w:p w14:paraId="5A0BF5A3" w14:textId="77777777" w:rsidR="00E66857" w:rsidRDefault="00E66857" w:rsidP="004F5221">
            <w:pPr>
              <w:jc w:val="both"/>
            </w:pPr>
          </w:p>
          <w:p w14:paraId="13C5E604" w14:textId="77777777" w:rsidR="00E66857" w:rsidRDefault="00E66857" w:rsidP="004F5221">
            <w:pPr>
              <w:jc w:val="both"/>
            </w:pPr>
          </w:p>
          <w:p w14:paraId="04E19755" w14:textId="77777777" w:rsidR="00E66857" w:rsidRDefault="00E66857" w:rsidP="004F5221">
            <w:pPr>
              <w:jc w:val="both"/>
            </w:pPr>
          </w:p>
          <w:p w14:paraId="124A9134" w14:textId="04C140DA" w:rsidR="00E66857" w:rsidRDefault="00E66857" w:rsidP="004F5221">
            <w:pPr>
              <w:jc w:val="both"/>
            </w:pPr>
          </w:p>
        </w:tc>
        <w:tc>
          <w:tcPr>
            <w:tcW w:w="3274" w:type="dxa"/>
          </w:tcPr>
          <w:p w14:paraId="51B12F1D" w14:textId="77777777" w:rsidR="00E66857" w:rsidRDefault="00E66857" w:rsidP="00AD2BC5">
            <w:pPr>
              <w:pStyle w:val="NoSpacing"/>
            </w:pPr>
            <w:r>
              <w:t xml:space="preserve">Heterogeneous. </w:t>
            </w:r>
            <w:r w:rsidRPr="00944E3F">
              <w:t>Experienced index trauma 1 - 53 months before completing survey. 49 (40%) of participants exceeded PLC-C cut-off score (Used cut-</w:t>
            </w:r>
            <w:r>
              <w:t>off of 50+ due to self-report).</w:t>
            </w:r>
          </w:p>
        </w:tc>
        <w:tc>
          <w:tcPr>
            <w:tcW w:w="6550" w:type="dxa"/>
          </w:tcPr>
          <w:p w14:paraId="563BE92F" w14:textId="77777777" w:rsidR="00E66857" w:rsidRDefault="00E66857" w:rsidP="004F5221">
            <w:pPr>
              <w:jc w:val="both"/>
            </w:pPr>
            <w:r w:rsidRPr="00944E3F">
              <w:t xml:space="preserve">IUS-12 total, </w:t>
            </w:r>
            <w:r>
              <w:t xml:space="preserve">prospective, and inhibitory significantly </w:t>
            </w:r>
            <w:r w:rsidRPr="00944E3F">
              <w:t>correlated with all four PCL-C subscales.</w:t>
            </w:r>
            <w:r>
              <w:t xml:space="preserve"> In regression IUS-12 total</w:t>
            </w:r>
            <w:r w:rsidRPr="00944E3F">
              <w:t xml:space="preserve"> significantly </w:t>
            </w:r>
            <w:r>
              <w:t>predicted</w:t>
            </w:r>
            <w:r w:rsidRPr="00944E3F">
              <w:t xml:space="preserve"> PCL-</w:t>
            </w:r>
            <w:r>
              <w:t>C avoidance (</w:t>
            </w:r>
            <w:r>
              <w:rPr>
                <w:rFonts w:cstheme="minorHAnsi"/>
              </w:rPr>
              <w:t>β=.31, p&lt;.01)</w:t>
            </w:r>
            <w:r>
              <w:t>, numbing (</w:t>
            </w:r>
            <w:r>
              <w:rPr>
                <w:rFonts w:cstheme="minorHAnsi"/>
              </w:rPr>
              <w:t>β=.26, p&lt;.01)</w:t>
            </w:r>
            <w:r>
              <w:t>, and hyper</w:t>
            </w:r>
            <w:r w:rsidRPr="00944E3F">
              <w:t>arousal</w:t>
            </w:r>
            <w:r>
              <w:t xml:space="preserve"> (</w:t>
            </w:r>
            <w:r>
              <w:rPr>
                <w:rFonts w:cstheme="minorHAnsi"/>
              </w:rPr>
              <w:t>β.28, p&lt;.01)</w:t>
            </w:r>
            <w:r w:rsidRPr="00944E3F">
              <w:t xml:space="preserve"> subscales but not </w:t>
            </w:r>
            <w:r>
              <w:t>re-experiencing</w:t>
            </w:r>
            <w:r w:rsidRPr="00944E3F">
              <w:t xml:space="preserve">. Inhibitory IU </w:t>
            </w:r>
            <w:r>
              <w:t>predicted</w:t>
            </w:r>
            <w:r w:rsidRPr="00944E3F">
              <w:t xml:space="preserve"> PCL-C avoidance</w:t>
            </w:r>
            <w:r>
              <w:t xml:space="preserve"> (</w:t>
            </w:r>
            <w:r>
              <w:rPr>
                <w:rFonts w:cstheme="minorHAnsi"/>
              </w:rPr>
              <w:t>β=.44, p&lt;.01)</w:t>
            </w:r>
            <w:r w:rsidRPr="00944E3F">
              <w:t>, numbing</w:t>
            </w:r>
            <w:r>
              <w:t xml:space="preserve"> (</w:t>
            </w:r>
            <w:r>
              <w:rPr>
                <w:rFonts w:cstheme="minorHAnsi"/>
              </w:rPr>
              <w:t>β=.34&lt;.01)</w:t>
            </w:r>
            <w:r w:rsidRPr="00944E3F">
              <w:t>, and hyperarousal</w:t>
            </w:r>
            <w:r>
              <w:t xml:space="preserve"> (</w:t>
            </w:r>
            <w:r>
              <w:rPr>
                <w:rFonts w:cstheme="minorHAnsi"/>
              </w:rPr>
              <w:t>β=.29, p&lt;.01)</w:t>
            </w:r>
            <w:r w:rsidRPr="00944E3F">
              <w:t>, b</w:t>
            </w:r>
            <w:r>
              <w:t xml:space="preserve">ut not </w:t>
            </w:r>
            <w:r w:rsidRPr="00944E3F">
              <w:t>re-experiencing. Prospective IU did not account for v</w:t>
            </w:r>
            <w:r>
              <w:t>ariance in any PCL-C subscale.</w:t>
            </w:r>
          </w:p>
          <w:p w14:paraId="1569405B" w14:textId="73BDDFB4" w:rsidR="00E66857" w:rsidRDefault="00E66857" w:rsidP="004F5221">
            <w:pPr>
              <w:jc w:val="both"/>
            </w:pPr>
          </w:p>
        </w:tc>
      </w:tr>
      <w:tr w:rsidR="00E66857" w:rsidRPr="00944E3F" w14:paraId="08BA87A1" w14:textId="77777777" w:rsidTr="00456B3E">
        <w:trPr>
          <w:gridAfter w:val="1"/>
          <w:wAfter w:w="6550" w:type="dxa"/>
          <w:trHeight w:val="1352"/>
        </w:trPr>
        <w:tc>
          <w:tcPr>
            <w:tcW w:w="1719" w:type="dxa"/>
          </w:tcPr>
          <w:p w14:paraId="23E62E94" w14:textId="77777777" w:rsidR="00E66857" w:rsidRDefault="00E66857" w:rsidP="004F5221">
            <w:pPr>
              <w:jc w:val="both"/>
            </w:pPr>
            <w:r w:rsidRPr="00944E3F">
              <w:t>Kreminski et al., 2021</w:t>
            </w:r>
          </w:p>
          <w:p w14:paraId="509598E4" w14:textId="77777777" w:rsidR="00E66857" w:rsidRDefault="00E66857" w:rsidP="004F5221">
            <w:pPr>
              <w:jc w:val="both"/>
            </w:pPr>
          </w:p>
          <w:p w14:paraId="16174B5B" w14:textId="77777777" w:rsidR="00E66857" w:rsidRPr="00944E3F" w:rsidRDefault="00E66857" w:rsidP="004F5221">
            <w:pPr>
              <w:jc w:val="both"/>
            </w:pPr>
            <w:r>
              <w:t>Australia</w:t>
            </w:r>
          </w:p>
        </w:tc>
        <w:tc>
          <w:tcPr>
            <w:tcW w:w="2146" w:type="dxa"/>
          </w:tcPr>
          <w:p w14:paraId="49550567" w14:textId="77777777" w:rsidR="00E66857" w:rsidRDefault="00E66857" w:rsidP="00AD2BC5">
            <w:pPr>
              <w:pStyle w:val="NoSpacing"/>
            </w:pPr>
            <w:r w:rsidRPr="00944E3F">
              <w:t xml:space="preserve">Explaining PTSD through a hierarchical </w:t>
            </w:r>
            <w:r>
              <w:t>trans-diagnostic model.</w:t>
            </w:r>
          </w:p>
          <w:p w14:paraId="16B2A473" w14:textId="476358DE" w:rsidR="00E66857" w:rsidRDefault="00E66857" w:rsidP="004F5221">
            <w:pPr>
              <w:jc w:val="both"/>
            </w:pPr>
          </w:p>
        </w:tc>
        <w:tc>
          <w:tcPr>
            <w:tcW w:w="3274" w:type="dxa"/>
          </w:tcPr>
          <w:p w14:paraId="5E5B80B4" w14:textId="77777777" w:rsidR="00E66857" w:rsidRPr="00944E3F" w:rsidRDefault="00E66857" w:rsidP="004F5221">
            <w:pPr>
              <w:jc w:val="both"/>
            </w:pPr>
            <w:r w:rsidRPr="00944E3F">
              <w:t>Trauma-exposed (DSM-5 Criterion A), 58.95% above clinical cut-off for PTSD</w:t>
            </w:r>
          </w:p>
        </w:tc>
        <w:tc>
          <w:tcPr>
            <w:tcW w:w="6550" w:type="dxa"/>
          </w:tcPr>
          <w:p w14:paraId="77656AAE" w14:textId="77777777" w:rsidR="00E66857" w:rsidRPr="00944E3F" w:rsidRDefault="00E66857" w:rsidP="004F5221">
            <w:pPr>
              <w:jc w:val="both"/>
            </w:pPr>
            <w:r w:rsidRPr="00944E3F">
              <w:t xml:space="preserve">IU </w:t>
            </w:r>
            <w:r>
              <w:t xml:space="preserve">did </w:t>
            </w:r>
            <w:r w:rsidRPr="00944E3F">
              <w:t xml:space="preserve">not </w:t>
            </w:r>
            <w:r>
              <w:t xml:space="preserve">have a </w:t>
            </w:r>
            <w:r w:rsidRPr="00944E3F">
              <w:t>significant direct or indirect effect on PTSD clusters.</w:t>
            </w:r>
          </w:p>
        </w:tc>
      </w:tr>
      <w:tr w:rsidR="00456B3E" w14:paraId="4B0EF579" w14:textId="7DD712C6" w:rsidTr="00456B3E">
        <w:trPr>
          <w:trHeight w:val="1266"/>
        </w:trPr>
        <w:tc>
          <w:tcPr>
            <w:tcW w:w="1719" w:type="dxa"/>
            <w:tcBorders>
              <w:top w:val="single" w:sz="4" w:space="0" w:color="auto"/>
            </w:tcBorders>
          </w:tcPr>
          <w:p w14:paraId="45E7210B" w14:textId="77777777" w:rsidR="00456B3E" w:rsidRDefault="00456B3E" w:rsidP="00456B3E">
            <w:pPr>
              <w:jc w:val="both"/>
            </w:pPr>
          </w:p>
          <w:p w14:paraId="4EEB8D18" w14:textId="77777777" w:rsidR="00456B3E" w:rsidRDefault="00456B3E" w:rsidP="00456B3E">
            <w:pPr>
              <w:jc w:val="both"/>
            </w:pPr>
          </w:p>
          <w:p w14:paraId="3D90B35A" w14:textId="77777777" w:rsidR="00456B3E" w:rsidRDefault="00456B3E" w:rsidP="00456B3E">
            <w:pPr>
              <w:jc w:val="both"/>
            </w:pPr>
          </w:p>
          <w:p w14:paraId="733D512B" w14:textId="77777777" w:rsidR="00456B3E" w:rsidRDefault="00456B3E" w:rsidP="00456B3E">
            <w:pPr>
              <w:jc w:val="both"/>
            </w:pPr>
          </w:p>
          <w:p w14:paraId="32DF7F65" w14:textId="77777777" w:rsidR="00456B3E" w:rsidRDefault="00456B3E" w:rsidP="00456B3E">
            <w:pPr>
              <w:jc w:val="both"/>
            </w:pPr>
          </w:p>
          <w:p w14:paraId="6096F870" w14:textId="134DC5A2" w:rsidR="00456B3E" w:rsidRPr="00944E3F" w:rsidRDefault="00456B3E" w:rsidP="000D08C4">
            <w:pPr>
              <w:pStyle w:val="NoSpacing"/>
            </w:pPr>
            <w:r>
              <w:lastRenderedPageBreak/>
              <w:t>Authors,</w:t>
            </w:r>
            <w:r w:rsidR="000D08C4">
              <w:t xml:space="preserve"> </w:t>
            </w:r>
            <w:r w:rsidRPr="00944E3F">
              <w:t xml:space="preserve">Year </w:t>
            </w:r>
            <w:r>
              <w:t xml:space="preserve">and Country </w:t>
            </w:r>
            <w:r w:rsidRPr="00944E3F">
              <w:t>of Publication</w:t>
            </w:r>
          </w:p>
        </w:tc>
        <w:tc>
          <w:tcPr>
            <w:tcW w:w="2146" w:type="dxa"/>
            <w:tcBorders>
              <w:top w:val="single" w:sz="4" w:space="0" w:color="auto"/>
            </w:tcBorders>
          </w:tcPr>
          <w:p w14:paraId="01E5E28F" w14:textId="77777777" w:rsidR="00456B3E" w:rsidRDefault="00456B3E" w:rsidP="00456B3E">
            <w:pPr>
              <w:jc w:val="both"/>
            </w:pPr>
          </w:p>
          <w:p w14:paraId="6B3145B0" w14:textId="77777777" w:rsidR="00456B3E" w:rsidRDefault="00456B3E" w:rsidP="00456B3E">
            <w:pPr>
              <w:jc w:val="both"/>
            </w:pPr>
          </w:p>
          <w:p w14:paraId="5C4B648E" w14:textId="77777777" w:rsidR="00456B3E" w:rsidRDefault="00456B3E" w:rsidP="00456B3E">
            <w:pPr>
              <w:jc w:val="both"/>
            </w:pPr>
          </w:p>
          <w:p w14:paraId="535D707B" w14:textId="77777777" w:rsidR="00456B3E" w:rsidRDefault="00456B3E" w:rsidP="00456B3E">
            <w:pPr>
              <w:jc w:val="both"/>
            </w:pPr>
          </w:p>
          <w:p w14:paraId="42B0F0CE" w14:textId="77777777" w:rsidR="00456B3E" w:rsidRDefault="00456B3E" w:rsidP="00456B3E">
            <w:pPr>
              <w:jc w:val="both"/>
            </w:pPr>
          </w:p>
          <w:p w14:paraId="1912EBAD" w14:textId="77777777" w:rsidR="00456B3E" w:rsidRDefault="00456B3E" w:rsidP="00456B3E">
            <w:pPr>
              <w:jc w:val="both"/>
            </w:pPr>
          </w:p>
          <w:p w14:paraId="4162062B" w14:textId="77777777" w:rsidR="00456B3E" w:rsidRDefault="00456B3E" w:rsidP="00456B3E">
            <w:pPr>
              <w:jc w:val="both"/>
            </w:pPr>
          </w:p>
          <w:p w14:paraId="1AC5D128" w14:textId="64A24C9D" w:rsidR="00456B3E" w:rsidRDefault="00456B3E" w:rsidP="00456B3E">
            <w:pPr>
              <w:jc w:val="both"/>
            </w:pPr>
            <w:r>
              <w:lastRenderedPageBreak/>
              <w:t>Aims</w:t>
            </w:r>
          </w:p>
        </w:tc>
        <w:tc>
          <w:tcPr>
            <w:tcW w:w="3274" w:type="dxa"/>
            <w:tcBorders>
              <w:top w:val="single" w:sz="4" w:space="0" w:color="auto"/>
            </w:tcBorders>
          </w:tcPr>
          <w:p w14:paraId="30888155" w14:textId="77777777" w:rsidR="00456B3E" w:rsidRDefault="00456B3E" w:rsidP="00456B3E">
            <w:pPr>
              <w:jc w:val="both"/>
            </w:pPr>
          </w:p>
          <w:p w14:paraId="7FD67716" w14:textId="77777777" w:rsidR="00456B3E" w:rsidRDefault="00456B3E" w:rsidP="00456B3E">
            <w:pPr>
              <w:jc w:val="both"/>
            </w:pPr>
          </w:p>
          <w:p w14:paraId="61A385B2" w14:textId="77777777" w:rsidR="00456B3E" w:rsidRDefault="00456B3E" w:rsidP="00456B3E">
            <w:pPr>
              <w:jc w:val="both"/>
            </w:pPr>
          </w:p>
          <w:p w14:paraId="594CDD7F" w14:textId="77777777" w:rsidR="00456B3E" w:rsidRDefault="00456B3E" w:rsidP="00456B3E">
            <w:pPr>
              <w:jc w:val="both"/>
            </w:pPr>
          </w:p>
          <w:p w14:paraId="74DA3730" w14:textId="77777777" w:rsidR="00456B3E" w:rsidRDefault="00456B3E" w:rsidP="00456B3E">
            <w:pPr>
              <w:jc w:val="both"/>
            </w:pPr>
          </w:p>
          <w:p w14:paraId="72841569" w14:textId="77777777" w:rsidR="00456B3E" w:rsidRDefault="00456B3E" w:rsidP="00456B3E">
            <w:pPr>
              <w:jc w:val="both"/>
            </w:pPr>
          </w:p>
          <w:p w14:paraId="67498D04" w14:textId="77777777" w:rsidR="00456B3E" w:rsidRDefault="00456B3E" w:rsidP="00456B3E">
            <w:pPr>
              <w:jc w:val="both"/>
            </w:pPr>
          </w:p>
          <w:p w14:paraId="31F5B7A9" w14:textId="3E233232" w:rsidR="00456B3E" w:rsidRPr="00944E3F" w:rsidRDefault="00456B3E" w:rsidP="00456B3E">
            <w:pPr>
              <w:jc w:val="both"/>
            </w:pPr>
            <w:r>
              <w:lastRenderedPageBreak/>
              <w:t>Trauma description</w:t>
            </w:r>
          </w:p>
        </w:tc>
        <w:tc>
          <w:tcPr>
            <w:tcW w:w="6550" w:type="dxa"/>
            <w:tcBorders>
              <w:top w:val="single" w:sz="4" w:space="0" w:color="auto"/>
            </w:tcBorders>
          </w:tcPr>
          <w:p w14:paraId="4DAB537B" w14:textId="77777777" w:rsidR="00456B3E" w:rsidRDefault="00456B3E" w:rsidP="00456B3E">
            <w:pPr>
              <w:jc w:val="both"/>
            </w:pPr>
          </w:p>
          <w:p w14:paraId="40AE65B5" w14:textId="77777777" w:rsidR="00456B3E" w:rsidRDefault="00456B3E" w:rsidP="00456B3E">
            <w:pPr>
              <w:jc w:val="both"/>
            </w:pPr>
          </w:p>
          <w:p w14:paraId="7D80AA4A" w14:textId="77777777" w:rsidR="00456B3E" w:rsidRDefault="00456B3E" w:rsidP="00456B3E">
            <w:pPr>
              <w:jc w:val="both"/>
            </w:pPr>
          </w:p>
          <w:p w14:paraId="4C11DB68" w14:textId="77777777" w:rsidR="00456B3E" w:rsidRDefault="00456B3E" w:rsidP="00456B3E">
            <w:pPr>
              <w:jc w:val="both"/>
            </w:pPr>
          </w:p>
          <w:p w14:paraId="641B0ECE" w14:textId="77777777" w:rsidR="00456B3E" w:rsidRDefault="00456B3E" w:rsidP="00456B3E">
            <w:pPr>
              <w:jc w:val="both"/>
            </w:pPr>
          </w:p>
          <w:p w14:paraId="7D13CF7F" w14:textId="77777777" w:rsidR="00456B3E" w:rsidRDefault="00456B3E" w:rsidP="00456B3E">
            <w:pPr>
              <w:jc w:val="both"/>
            </w:pPr>
          </w:p>
          <w:p w14:paraId="633EE420" w14:textId="77777777" w:rsidR="00456B3E" w:rsidRDefault="00456B3E" w:rsidP="00456B3E">
            <w:pPr>
              <w:jc w:val="both"/>
            </w:pPr>
          </w:p>
          <w:p w14:paraId="3A9396DA" w14:textId="528C1643" w:rsidR="00456B3E" w:rsidRPr="00944E3F" w:rsidRDefault="00456B3E" w:rsidP="00456B3E">
            <w:pPr>
              <w:jc w:val="both"/>
            </w:pPr>
            <w:r>
              <w:lastRenderedPageBreak/>
              <w:t>Main findings</w:t>
            </w:r>
          </w:p>
        </w:tc>
        <w:tc>
          <w:tcPr>
            <w:tcW w:w="6550" w:type="dxa"/>
          </w:tcPr>
          <w:p w14:paraId="2E3CC433" w14:textId="77777777" w:rsidR="00456B3E" w:rsidRDefault="00456B3E" w:rsidP="00456B3E">
            <w:pPr>
              <w:jc w:val="both"/>
            </w:pPr>
          </w:p>
          <w:p w14:paraId="3EF83C5A" w14:textId="25588A51" w:rsidR="00456B3E" w:rsidRDefault="00456B3E" w:rsidP="00456B3E"/>
        </w:tc>
      </w:tr>
      <w:tr w:rsidR="00456B3E" w14:paraId="45F91DED" w14:textId="77777777" w:rsidTr="00456B3E">
        <w:trPr>
          <w:gridAfter w:val="1"/>
          <w:wAfter w:w="6550" w:type="dxa"/>
          <w:trHeight w:val="2826"/>
        </w:trPr>
        <w:tc>
          <w:tcPr>
            <w:tcW w:w="1719" w:type="dxa"/>
            <w:tcBorders>
              <w:top w:val="single" w:sz="4" w:space="0" w:color="auto"/>
            </w:tcBorders>
          </w:tcPr>
          <w:p w14:paraId="76F1ED0C" w14:textId="77777777" w:rsidR="00456B3E" w:rsidRDefault="00456B3E" w:rsidP="00456B3E">
            <w:pPr>
              <w:jc w:val="both"/>
            </w:pPr>
            <w:r w:rsidRPr="00944E3F">
              <w:t>O'Brien et al., 2021</w:t>
            </w:r>
          </w:p>
          <w:p w14:paraId="3A1FE317" w14:textId="77777777" w:rsidR="00456B3E" w:rsidRDefault="00456B3E" w:rsidP="00456B3E">
            <w:pPr>
              <w:jc w:val="both"/>
            </w:pPr>
          </w:p>
          <w:p w14:paraId="7457BB66" w14:textId="77777777" w:rsidR="00456B3E" w:rsidRDefault="00456B3E" w:rsidP="00456B3E">
            <w:pPr>
              <w:jc w:val="both"/>
            </w:pPr>
            <w:r>
              <w:t>USA</w:t>
            </w:r>
          </w:p>
        </w:tc>
        <w:tc>
          <w:tcPr>
            <w:tcW w:w="2146" w:type="dxa"/>
            <w:tcBorders>
              <w:top w:val="single" w:sz="4" w:space="0" w:color="auto"/>
            </w:tcBorders>
          </w:tcPr>
          <w:p w14:paraId="64BD3449" w14:textId="77777777" w:rsidR="00456B3E" w:rsidRDefault="00456B3E" w:rsidP="00AD2BC5">
            <w:pPr>
              <w:pStyle w:val="NoSpacing"/>
            </w:pPr>
            <w:r>
              <w:t xml:space="preserve">Predicting </w:t>
            </w:r>
            <w:r w:rsidRPr="00944E3F">
              <w:t>PPE use, trauma and physical symptoms in response to Covid</w:t>
            </w:r>
            <w:r>
              <w:t>-</w:t>
            </w:r>
            <w:r w:rsidRPr="00944E3F">
              <w:t>19 lockdown</w:t>
            </w:r>
          </w:p>
        </w:tc>
        <w:tc>
          <w:tcPr>
            <w:tcW w:w="3274" w:type="dxa"/>
            <w:tcBorders>
              <w:top w:val="single" w:sz="4" w:space="0" w:color="auto"/>
            </w:tcBorders>
          </w:tcPr>
          <w:p w14:paraId="7AA808DB" w14:textId="31D5F988" w:rsidR="00456B3E" w:rsidRDefault="00456B3E" w:rsidP="00AD2BC5">
            <w:r w:rsidRPr="00944E3F">
              <w:t>Covid related stressors assessed by reporting isolation/quarantine status, and Covid-19 exposure over last two-weeks. 40% reported exposure to Covid-19, 15% reported one or more serious medical conditions. IES-R cut-off suggested 70% participants experienced PTSD level symptoms.</w:t>
            </w:r>
          </w:p>
          <w:p w14:paraId="498BB4A7" w14:textId="6D914F9C" w:rsidR="00456B3E" w:rsidRDefault="00456B3E" w:rsidP="00456B3E">
            <w:pPr>
              <w:jc w:val="both"/>
            </w:pPr>
          </w:p>
        </w:tc>
        <w:tc>
          <w:tcPr>
            <w:tcW w:w="6550" w:type="dxa"/>
            <w:tcBorders>
              <w:top w:val="single" w:sz="4" w:space="0" w:color="auto"/>
            </w:tcBorders>
          </w:tcPr>
          <w:p w14:paraId="0F9E463C" w14:textId="0D951C56" w:rsidR="00456B3E" w:rsidRDefault="00456B3E" w:rsidP="00AD2BC5">
            <w:r w:rsidRPr="00944E3F">
              <w:t>IU signif</w:t>
            </w:r>
            <w:r>
              <w:t>icantly correlated with IESR (r=.75, p&lt;</w:t>
            </w:r>
            <w:r w:rsidRPr="00944E3F">
              <w:t xml:space="preserve">.001). Increases in </w:t>
            </w:r>
            <w:r w:rsidR="00AD2BC5">
              <w:t xml:space="preserve">intolerance of uncertainty were </w:t>
            </w:r>
            <w:r w:rsidRPr="00944E3F">
              <w:t>significantly associa</w:t>
            </w:r>
            <w:r>
              <w:t>ted with higher IES-R scores (β=</w:t>
            </w:r>
            <w:r w:rsidRPr="00944E3F">
              <w:t>0.32, p&lt;.001).</w:t>
            </w:r>
          </w:p>
        </w:tc>
      </w:tr>
      <w:tr w:rsidR="00456B3E" w14:paraId="442E46A8" w14:textId="77777777" w:rsidTr="00456B3E">
        <w:trPr>
          <w:gridAfter w:val="1"/>
          <w:wAfter w:w="6550" w:type="dxa"/>
          <w:trHeight w:val="1884"/>
        </w:trPr>
        <w:tc>
          <w:tcPr>
            <w:tcW w:w="1719" w:type="dxa"/>
          </w:tcPr>
          <w:p w14:paraId="00FDD46F" w14:textId="77777777" w:rsidR="00456B3E" w:rsidRDefault="00456B3E" w:rsidP="00456B3E">
            <w:pPr>
              <w:jc w:val="both"/>
            </w:pPr>
            <w:r w:rsidRPr="00944E3F">
              <w:t>Oglesby et al., 2016</w:t>
            </w:r>
          </w:p>
          <w:p w14:paraId="24CB56CE" w14:textId="77777777" w:rsidR="00456B3E" w:rsidRDefault="00456B3E" w:rsidP="00456B3E">
            <w:pPr>
              <w:jc w:val="both"/>
            </w:pPr>
          </w:p>
          <w:p w14:paraId="27CDE452" w14:textId="77777777" w:rsidR="00456B3E" w:rsidRDefault="00456B3E" w:rsidP="00456B3E">
            <w:pPr>
              <w:jc w:val="both"/>
            </w:pPr>
            <w:r>
              <w:t>USA</w:t>
            </w:r>
          </w:p>
        </w:tc>
        <w:tc>
          <w:tcPr>
            <w:tcW w:w="2146" w:type="dxa"/>
          </w:tcPr>
          <w:p w14:paraId="20BCE7B5" w14:textId="77777777" w:rsidR="00456B3E" w:rsidRDefault="00456B3E" w:rsidP="00AD2BC5">
            <w:r w:rsidRPr="00944E3F">
              <w:t>Whether pre-trauma IU predicts PTSS following exposure to a campus shooting</w:t>
            </w:r>
          </w:p>
        </w:tc>
        <w:tc>
          <w:tcPr>
            <w:tcW w:w="3274" w:type="dxa"/>
          </w:tcPr>
          <w:p w14:paraId="0A11D8A5" w14:textId="77777777" w:rsidR="00456B3E" w:rsidRDefault="00456B3E" w:rsidP="00AD2BC5">
            <w:r w:rsidRPr="00944E3F">
              <w:t>Average response time after shooting 17.19 day</w:t>
            </w:r>
            <w:r>
              <w:t xml:space="preserve">s </w:t>
            </w:r>
            <w:r w:rsidRPr="00944E3F">
              <w:t>(SD=6.36). Participants only included</w:t>
            </w:r>
            <w:r>
              <w:t xml:space="preserve"> with</w:t>
            </w:r>
            <w:r w:rsidRPr="00944E3F">
              <w:t xml:space="preserve"> moderate (50%) or high (50%) </w:t>
            </w:r>
            <w:r>
              <w:t>exposure to</w:t>
            </w:r>
            <w:r w:rsidRPr="00944E3F">
              <w:t xml:space="preserve"> campus shooting</w:t>
            </w:r>
          </w:p>
        </w:tc>
        <w:tc>
          <w:tcPr>
            <w:tcW w:w="6550" w:type="dxa"/>
          </w:tcPr>
          <w:p w14:paraId="065E744D" w14:textId="77777777" w:rsidR="00456B3E" w:rsidRDefault="00456B3E" w:rsidP="00456B3E">
            <w:pPr>
              <w:jc w:val="both"/>
            </w:pPr>
            <w:r>
              <w:t>Pre-trauma IUS-27</w:t>
            </w:r>
            <w:r w:rsidRPr="00944E3F">
              <w:t xml:space="preserve"> </w:t>
            </w:r>
            <w:r>
              <w:t xml:space="preserve">score </w:t>
            </w:r>
            <w:r w:rsidRPr="00944E3F">
              <w:t>correlated with all post-trauma PCL-C subscales. IUS</w:t>
            </w:r>
            <w:r>
              <w:t>-27</w:t>
            </w:r>
            <w:r w:rsidRPr="00944E3F">
              <w:t xml:space="preserve"> </w:t>
            </w:r>
            <w:r>
              <w:t>total correlated with</w:t>
            </w:r>
            <w:r w:rsidRPr="00944E3F">
              <w:t xml:space="preserve"> PCL-C total (r=.51, p&lt;.001). IU predicted higher PTSS following exposure to a traumatic event</w:t>
            </w:r>
            <w:r>
              <w:t xml:space="preserve"> (</w:t>
            </w:r>
            <w:r>
              <w:rPr>
                <w:rFonts w:cstheme="minorHAnsi"/>
              </w:rPr>
              <w:t>β=.32, p=.04)</w:t>
            </w:r>
            <w:r w:rsidRPr="00944E3F">
              <w:t>. IU predicted h</w:t>
            </w:r>
            <w:r>
              <w:t>igher post-trauma hyperarousal (</w:t>
            </w:r>
            <w:r>
              <w:rPr>
                <w:rFonts w:cstheme="minorHAnsi"/>
              </w:rPr>
              <w:t>β=.38, p=.02)</w:t>
            </w:r>
            <w:r>
              <w:t xml:space="preserve"> and </w:t>
            </w:r>
            <w:r w:rsidRPr="00944E3F">
              <w:t>re-experien</w:t>
            </w:r>
            <w:r>
              <w:t>cing (</w:t>
            </w:r>
            <w:r>
              <w:rPr>
                <w:rFonts w:cstheme="minorHAnsi"/>
              </w:rPr>
              <w:t>β=.33, p=.04)</w:t>
            </w:r>
            <w:r>
              <w:t xml:space="preserve"> but not </w:t>
            </w:r>
            <w:r w:rsidRPr="00944E3F">
              <w:t>av</w:t>
            </w:r>
            <w:r>
              <w:t>oidance, or emotional numbing.</w:t>
            </w:r>
          </w:p>
          <w:p w14:paraId="69B0F184" w14:textId="5CF6E28F" w:rsidR="00456B3E" w:rsidRDefault="00456B3E" w:rsidP="00456B3E">
            <w:pPr>
              <w:jc w:val="both"/>
            </w:pPr>
          </w:p>
        </w:tc>
      </w:tr>
      <w:tr w:rsidR="00456B3E" w14:paraId="6E6756E1" w14:textId="77777777" w:rsidTr="00456B3E">
        <w:trPr>
          <w:gridAfter w:val="1"/>
          <w:wAfter w:w="6550" w:type="dxa"/>
          <w:trHeight w:val="1873"/>
        </w:trPr>
        <w:tc>
          <w:tcPr>
            <w:tcW w:w="1719" w:type="dxa"/>
          </w:tcPr>
          <w:p w14:paraId="3E597A31" w14:textId="77777777" w:rsidR="00456B3E" w:rsidRDefault="00456B3E" w:rsidP="00456B3E">
            <w:pPr>
              <w:jc w:val="both"/>
            </w:pPr>
            <w:r w:rsidRPr="00944E3F">
              <w:t>Penney et al., 2020</w:t>
            </w:r>
          </w:p>
          <w:p w14:paraId="09B17781" w14:textId="77777777" w:rsidR="00456B3E" w:rsidRDefault="00456B3E" w:rsidP="00456B3E">
            <w:pPr>
              <w:jc w:val="both"/>
            </w:pPr>
          </w:p>
          <w:p w14:paraId="78425133" w14:textId="77777777" w:rsidR="00456B3E" w:rsidRDefault="00456B3E" w:rsidP="00456B3E">
            <w:pPr>
              <w:jc w:val="both"/>
            </w:pPr>
            <w:r>
              <w:t>Canada</w:t>
            </w:r>
          </w:p>
        </w:tc>
        <w:tc>
          <w:tcPr>
            <w:tcW w:w="2146" w:type="dxa"/>
          </w:tcPr>
          <w:p w14:paraId="4A8A50B2" w14:textId="77777777" w:rsidR="00456B3E" w:rsidRDefault="00456B3E" w:rsidP="00AD2BC5">
            <w:pPr>
              <w:pStyle w:val="NoSpacing"/>
            </w:pPr>
            <w:r w:rsidRPr="00944E3F">
              <w:t xml:space="preserve">IU and negative beliefs about worry across a range of mental health diagnoses including PTSD </w:t>
            </w:r>
          </w:p>
          <w:p w14:paraId="2331FA5B" w14:textId="01D7B012" w:rsidR="00456B3E" w:rsidRDefault="00456B3E" w:rsidP="00456B3E">
            <w:pPr>
              <w:jc w:val="both"/>
            </w:pPr>
          </w:p>
        </w:tc>
        <w:tc>
          <w:tcPr>
            <w:tcW w:w="3274" w:type="dxa"/>
          </w:tcPr>
          <w:p w14:paraId="4F5E2D08" w14:textId="77777777" w:rsidR="00456B3E" w:rsidRDefault="00456B3E" w:rsidP="00456B3E">
            <w:pPr>
              <w:jc w:val="both"/>
            </w:pPr>
            <w:r>
              <w:t>Undergraduate sample</w:t>
            </w:r>
          </w:p>
        </w:tc>
        <w:tc>
          <w:tcPr>
            <w:tcW w:w="6550" w:type="dxa"/>
          </w:tcPr>
          <w:p w14:paraId="6AF259AE" w14:textId="77777777" w:rsidR="00456B3E" w:rsidRDefault="00456B3E" w:rsidP="00456B3E">
            <w:pPr>
              <w:jc w:val="both"/>
            </w:pPr>
            <w:r w:rsidRPr="00944E3F">
              <w:t>IU total, Prospective, and Inhibitory correlated with PTSD subscale of IDAS</w:t>
            </w:r>
            <w:r>
              <w:t xml:space="preserve"> (p&lt;.001)</w:t>
            </w:r>
            <w:r w:rsidRPr="00944E3F">
              <w:t>. In regression analysis, IU did not account for unique variance in PTSD subscale</w:t>
            </w:r>
            <w:r>
              <w:t>.</w:t>
            </w:r>
          </w:p>
        </w:tc>
      </w:tr>
    </w:tbl>
    <w:p w14:paraId="11F57BB7" w14:textId="77777777" w:rsidR="004F5221" w:rsidRDefault="004F5221">
      <w:r>
        <w:br w:type="page"/>
      </w:r>
    </w:p>
    <w:tbl>
      <w:tblPr>
        <w:tblStyle w:val="TableGrid"/>
        <w:tblW w:w="13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9"/>
        <w:gridCol w:w="2146"/>
        <w:gridCol w:w="3274"/>
        <w:gridCol w:w="6550"/>
      </w:tblGrid>
      <w:tr w:rsidR="00E66857" w:rsidRPr="00944E3F" w14:paraId="08013A57" w14:textId="77777777" w:rsidTr="00E66857">
        <w:trPr>
          <w:trHeight w:val="993"/>
        </w:trPr>
        <w:tc>
          <w:tcPr>
            <w:tcW w:w="1719" w:type="dxa"/>
            <w:tcBorders>
              <w:bottom w:val="single" w:sz="4" w:space="0" w:color="auto"/>
            </w:tcBorders>
          </w:tcPr>
          <w:p w14:paraId="35A0ABC9" w14:textId="60901153" w:rsidR="00E66857" w:rsidRDefault="00E66857" w:rsidP="004F5221">
            <w:pPr>
              <w:jc w:val="both"/>
            </w:pPr>
          </w:p>
          <w:p w14:paraId="3B1DFCEA" w14:textId="77777777" w:rsidR="00E66857" w:rsidRDefault="00E66857" w:rsidP="004F5221">
            <w:pPr>
              <w:jc w:val="both"/>
            </w:pPr>
          </w:p>
          <w:p w14:paraId="10B85806" w14:textId="77777777" w:rsidR="00E66857" w:rsidRDefault="00E66857" w:rsidP="004F5221">
            <w:pPr>
              <w:jc w:val="both"/>
            </w:pPr>
          </w:p>
          <w:p w14:paraId="7DCE3CFF" w14:textId="2794C0E2" w:rsidR="00E66857" w:rsidRPr="00944E3F" w:rsidRDefault="00E66857" w:rsidP="000D08C4">
            <w:pPr>
              <w:pStyle w:val="NoSpacing"/>
            </w:pPr>
            <w:r w:rsidRPr="00944E3F">
              <w:t xml:space="preserve">Authors, Year </w:t>
            </w:r>
            <w:r>
              <w:t xml:space="preserve">and Country </w:t>
            </w:r>
            <w:r w:rsidRPr="00944E3F">
              <w:t>of Publication</w:t>
            </w:r>
          </w:p>
        </w:tc>
        <w:tc>
          <w:tcPr>
            <w:tcW w:w="2146" w:type="dxa"/>
            <w:tcBorders>
              <w:bottom w:val="single" w:sz="4" w:space="0" w:color="auto"/>
            </w:tcBorders>
          </w:tcPr>
          <w:p w14:paraId="312E3851" w14:textId="77777777" w:rsidR="00E66857" w:rsidRDefault="00E66857" w:rsidP="004F5221">
            <w:pPr>
              <w:jc w:val="both"/>
            </w:pPr>
          </w:p>
          <w:p w14:paraId="15D89159" w14:textId="77777777" w:rsidR="00E66857" w:rsidRDefault="00E66857" w:rsidP="004F5221">
            <w:pPr>
              <w:jc w:val="both"/>
            </w:pPr>
          </w:p>
          <w:p w14:paraId="173BEC9D" w14:textId="77777777" w:rsidR="00E66857" w:rsidRDefault="00E66857" w:rsidP="004F5221">
            <w:pPr>
              <w:jc w:val="both"/>
            </w:pPr>
          </w:p>
          <w:p w14:paraId="7B4F08EA" w14:textId="77777777" w:rsidR="00E66857" w:rsidRDefault="00E66857" w:rsidP="004F5221">
            <w:pPr>
              <w:jc w:val="both"/>
            </w:pPr>
          </w:p>
          <w:p w14:paraId="6C070A8E" w14:textId="512E6113" w:rsidR="00E66857" w:rsidRPr="00944E3F" w:rsidRDefault="00E66857" w:rsidP="004F5221">
            <w:pPr>
              <w:jc w:val="both"/>
            </w:pPr>
            <w:r>
              <w:t>Aims</w:t>
            </w:r>
          </w:p>
        </w:tc>
        <w:tc>
          <w:tcPr>
            <w:tcW w:w="3274" w:type="dxa"/>
            <w:tcBorders>
              <w:bottom w:val="single" w:sz="4" w:space="0" w:color="auto"/>
            </w:tcBorders>
          </w:tcPr>
          <w:p w14:paraId="3EE26D9B" w14:textId="77777777" w:rsidR="00E66857" w:rsidRDefault="00E66857" w:rsidP="004F5221">
            <w:pPr>
              <w:jc w:val="both"/>
            </w:pPr>
          </w:p>
          <w:p w14:paraId="3741C661" w14:textId="77777777" w:rsidR="00E66857" w:rsidRDefault="00E66857" w:rsidP="004F5221">
            <w:pPr>
              <w:jc w:val="both"/>
            </w:pPr>
          </w:p>
          <w:p w14:paraId="393029AC" w14:textId="77777777" w:rsidR="00E66857" w:rsidRDefault="00E66857" w:rsidP="004F5221">
            <w:pPr>
              <w:jc w:val="both"/>
            </w:pPr>
          </w:p>
          <w:p w14:paraId="7AEF07E4" w14:textId="77777777" w:rsidR="00E66857" w:rsidRDefault="00E66857" w:rsidP="004F5221">
            <w:pPr>
              <w:jc w:val="both"/>
            </w:pPr>
          </w:p>
          <w:p w14:paraId="652CD69B" w14:textId="148CDC60" w:rsidR="00E66857" w:rsidRPr="00944E3F" w:rsidRDefault="00E66857" w:rsidP="004F5221">
            <w:pPr>
              <w:jc w:val="both"/>
            </w:pPr>
            <w:r>
              <w:t>Trauma description</w:t>
            </w:r>
          </w:p>
        </w:tc>
        <w:tc>
          <w:tcPr>
            <w:tcW w:w="6550" w:type="dxa"/>
            <w:tcBorders>
              <w:bottom w:val="single" w:sz="4" w:space="0" w:color="auto"/>
            </w:tcBorders>
          </w:tcPr>
          <w:p w14:paraId="01436CA1" w14:textId="77777777" w:rsidR="00E66857" w:rsidRDefault="00E66857" w:rsidP="004F5221">
            <w:pPr>
              <w:jc w:val="both"/>
            </w:pPr>
          </w:p>
          <w:p w14:paraId="670F5F7B" w14:textId="77777777" w:rsidR="00E66857" w:rsidRDefault="00E66857" w:rsidP="004F5221">
            <w:pPr>
              <w:jc w:val="both"/>
            </w:pPr>
          </w:p>
          <w:p w14:paraId="39CDBF86" w14:textId="77777777" w:rsidR="00E66857" w:rsidRDefault="00E66857" w:rsidP="004F5221">
            <w:pPr>
              <w:jc w:val="both"/>
            </w:pPr>
          </w:p>
          <w:p w14:paraId="2FFB9AAE" w14:textId="77777777" w:rsidR="00E66857" w:rsidRDefault="00E66857" w:rsidP="004F5221">
            <w:pPr>
              <w:jc w:val="both"/>
            </w:pPr>
          </w:p>
          <w:p w14:paraId="0431DD3E" w14:textId="6948FC15" w:rsidR="00E66857" w:rsidRPr="00944E3F" w:rsidRDefault="00E66857" w:rsidP="004F5221">
            <w:pPr>
              <w:jc w:val="both"/>
            </w:pPr>
            <w:r>
              <w:t>Main findings</w:t>
            </w:r>
          </w:p>
        </w:tc>
      </w:tr>
      <w:tr w:rsidR="00E66857" w:rsidRPr="00944E3F" w14:paraId="27D126E6" w14:textId="77777777" w:rsidTr="00E66857">
        <w:trPr>
          <w:trHeight w:val="2259"/>
        </w:trPr>
        <w:tc>
          <w:tcPr>
            <w:tcW w:w="1719" w:type="dxa"/>
            <w:tcBorders>
              <w:top w:val="single" w:sz="4" w:space="0" w:color="auto"/>
            </w:tcBorders>
          </w:tcPr>
          <w:p w14:paraId="0D7CDA85" w14:textId="77777777" w:rsidR="00E66857" w:rsidRDefault="00E66857" w:rsidP="004F5221">
            <w:pPr>
              <w:jc w:val="both"/>
            </w:pPr>
            <w:r w:rsidRPr="00944E3F">
              <w:t>Price et al., 2020</w:t>
            </w:r>
          </w:p>
          <w:p w14:paraId="09D7DFA2" w14:textId="77777777" w:rsidR="00E66857" w:rsidRDefault="00E66857" w:rsidP="004F5221">
            <w:pPr>
              <w:jc w:val="both"/>
            </w:pPr>
          </w:p>
          <w:p w14:paraId="3C3B011F" w14:textId="3C80FEE3" w:rsidR="00E66857" w:rsidRDefault="00E66857" w:rsidP="004F5221">
            <w:pPr>
              <w:jc w:val="both"/>
            </w:pPr>
            <w:r>
              <w:t>UK</w:t>
            </w:r>
          </w:p>
          <w:p w14:paraId="6BD66AD9" w14:textId="77777777" w:rsidR="00E66857" w:rsidRDefault="00E66857" w:rsidP="004F5221">
            <w:pPr>
              <w:jc w:val="both"/>
            </w:pPr>
          </w:p>
          <w:p w14:paraId="4B83F3AC" w14:textId="77777777" w:rsidR="00E66857" w:rsidRDefault="00E66857" w:rsidP="004F5221">
            <w:pPr>
              <w:jc w:val="both"/>
            </w:pPr>
          </w:p>
          <w:p w14:paraId="26CE0086" w14:textId="77777777" w:rsidR="00E66857" w:rsidRDefault="00E66857" w:rsidP="004F5221">
            <w:pPr>
              <w:jc w:val="both"/>
            </w:pPr>
          </w:p>
          <w:p w14:paraId="15203720" w14:textId="77777777" w:rsidR="00E66857" w:rsidRDefault="00E66857" w:rsidP="004F5221">
            <w:pPr>
              <w:jc w:val="both"/>
            </w:pPr>
          </w:p>
          <w:p w14:paraId="1C5727BF" w14:textId="77777777" w:rsidR="00E66857" w:rsidRDefault="00E66857" w:rsidP="004F5221">
            <w:pPr>
              <w:jc w:val="both"/>
            </w:pPr>
          </w:p>
          <w:p w14:paraId="39AB0FFC" w14:textId="037BBC75" w:rsidR="00E66857" w:rsidRPr="00944E3F" w:rsidRDefault="00E66857" w:rsidP="004F5221">
            <w:pPr>
              <w:jc w:val="both"/>
            </w:pPr>
          </w:p>
        </w:tc>
        <w:tc>
          <w:tcPr>
            <w:tcW w:w="2146" w:type="dxa"/>
            <w:tcBorders>
              <w:top w:val="single" w:sz="4" w:space="0" w:color="auto"/>
            </w:tcBorders>
          </w:tcPr>
          <w:p w14:paraId="729110FC" w14:textId="77777777" w:rsidR="00E66857" w:rsidRPr="00944E3F" w:rsidRDefault="00E66857" w:rsidP="00AD2BC5">
            <w:pPr>
              <w:pStyle w:val="NoSpacing"/>
            </w:pPr>
            <w:r w:rsidRPr="00944E3F">
              <w:t>Understanding vulnerability factors</w:t>
            </w:r>
            <w:r>
              <w:t xml:space="preserve"> </w:t>
            </w:r>
            <w:r w:rsidRPr="00944E3F">
              <w:t xml:space="preserve">for new mothers developing PTSS </w:t>
            </w:r>
            <w:r>
              <w:t>following</w:t>
            </w:r>
            <w:r w:rsidRPr="00944E3F">
              <w:t xml:space="preserve"> birth</w:t>
            </w:r>
          </w:p>
        </w:tc>
        <w:tc>
          <w:tcPr>
            <w:tcW w:w="3274" w:type="dxa"/>
            <w:tcBorders>
              <w:top w:val="single" w:sz="4" w:space="0" w:color="auto"/>
            </w:tcBorders>
          </w:tcPr>
          <w:p w14:paraId="4245769A" w14:textId="77777777" w:rsidR="00E66857" w:rsidRPr="00944E3F" w:rsidRDefault="00E66857" w:rsidP="00AD2BC5">
            <w:pPr>
              <w:pStyle w:val="NoSpacing"/>
            </w:pPr>
            <w:r w:rsidRPr="00944E3F">
              <w:t>Completed measures at 32-42 week's gestation and the</w:t>
            </w:r>
            <w:r>
              <w:t>n</w:t>
            </w:r>
            <w:r w:rsidRPr="00944E3F">
              <w:t xml:space="preserve"> 6-12 weeks post-partum.  42% of the sample experienced horror or helplessness, 33.2% felt frightened for themselves or their baby, and 23.7% experienced both</w:t>
            </w:r>
            <w:r>
              <w:t xml:space="preserve"> </w:t>
            </w:r>
            <w:r w:rsidRPr="00944E3F">
              <w:t>of these trauma factors.</w:t>
            </w:r>
          </w:p>
        </w:tc>
        <w:tc>
          <w:tcPr>
            <w:tcW w:w="6550" w:type="dxa"/>
            <w:tcBorders>
              <w:top w:val="single" w:sz="4" w:space="0" w:color="auto"/>
            </w:tcBorders>
          </w:tcPr>
          <w:p w14:paraId="7DE3D0E0" w14:textId="77777777" w:rsidR="00E66857" w:rsidRPr="00944E3F" w:rsidRDefault="00E66857" w:rsidP="004F5221">
            <w:pPr>
              <w:jc w:val="both"/>
            </w:pPr>
            <w:r w:rsidRPr="00944E3F">
              <w:t xml:space="preserve">IU at T1 </w:t>
            </w:r>
            <w:r>
              <w:t>correlated</w:t>
            </w:r>
            <w:r w:rsidRPr="00944E3F">
              <w:t xml:space="preserve"> with PTSS after birth (r=0.21, p &lt; .01). In regression, IU and perfectionism predicted more negative birth appraisal but only perfectionism predicted PTSS.</w:t>
            </w:r>
          </w:p>
        </w:tc>
      </w:tr>
      <w:tr w:rsidR="00E66857" w14:paraId="6CF71EC8" w14:textId="77777777" w:rsidTr="009427A4">
        <w:trPr>
          <w:trHeight w:val="3225"/>
        </w:trPr>
        <w:tc>
          <w:tcPr>
            <w:tcW w:w="1719" w:type="dxa"/>
          </w:tcPr>
          <w:p w14:paraId="1DCE1368" w14:textId="77777777" w:rsidR="00E66857" w:rsidRDefault="00E66857" w:rsidP="004F5221">
            <w:pPr>
              <w:jc w:val="both"/>
            </w:pPr>
            <w:r w:rsidRPr="00944E3F">
              <w:t>Roberts et al., 2021</w:t>
            </w:r>
          </w:p>
          <w:p w14:paraId="05CB4C0F" w14:textId="77777777" w:rsidR="00E66857" w:rsidRDefault="00E66857" w:rsidP="004F5221">
            <w:pPr>
              <w:jc w:val="both"/>
            </w:pPr>
          </w:p>
          <w:p w14:paraId="633195AB" w14:textId="77777777" w:rsidR="00E66857" w:rsidRDefault="00E66857" w:rsidP="004F5221">
            <w:pPr>
              <w:jc w:val="both"/>
            </w:pPr>
            <w:r>
              <w:t>UK</w:t>
            </w:r>
          </w:p>
        </w:tc>
        <w:tc>
          <w:tcPr>
            <w:tcW w:w="2146" w:type="dxa"/>
          </w:tcPr>
          <w:p w14:paraId="0047A022" w14:textId="77777777" w:rsidR="00E66857" w:rsidRDefault="00E66857" w:rsidP="00AD2BC5">
            <w:pPr>
              <w:pStyle w:val="NoSpacing"/>
            </w:pPr>
            <w:r w:rsidRPr="00944E3F">
              <w:t xml:space="preserve">Parental anxiety </w:t>
            </w:r>
            <w:r>
              <w:t xml:space="preserve">factors </w:t>
            </w:r>
            <w:r w:rsidRPr="00944E3F">
              <w:t>contributing to PTSS in parents of children with food allergies</w:t>
            </w:r>
          </w:p>
        </w:tc>
        <w:tc>
          <w:tcPr>
            <w:tcW w:w="3274" w:type="dxa"/>
          </w:tcPr>
          <w:p w14:paraId="7A0FA170" w14:textId="77777777" w:rsidR="00E66857" w:rsidRDefault="00E66857" w:rsidP="00AD2BC5">
            <w:pPr>
              <w:pStyle w:val="NoSpacing"/>
            </w:pPr>
            <w:r w:rsidRPr="00944E3F">
              <w:t>Mean IES-R 22.28 (SD=20.34), 42.3% scored above PTSS cut-off of 24, 33.7% scored above cut off for PTSD of 33. Reported events include witnessing anaphylactic reactions (51%), witnes</w:t>
            </w:r>
            <w:r>
              <w:t xml:space="preserve">sing allergic reactions (39.4%). </w:t>
            </w:r>
            <w:r w:rsidRPr="00944E3F">
              <w:t>For PTSS cut-off and above, time since event was less than one week to ten years (Median = 11 months)</w:t>
            </w:r>
          </w:p>
          <w:p w14:paraId="56D6F81D" w14:textId="1F9A35D3" w:rsidR="00E66857" w:rsidRDefault="00E66857" w:rsidP="004F5221">
            <w:pPr>
              <w:jc w:val="both"/>
            </w:pPr>
          </w:p>
        </w:tc>
        <w:tc>
          <w:tcPr>
            <w:tcW w:w="6550" w:type="dxa"/>
          </w:tcPr>
          <w:p w14:paraId="0FF9607C" w14:textId="77777777" w:rsidR="00E66857" w:rsidRDefault="00E66857" w:rsidP="004F5221">
            <w:pPr>
              <w:jc w:val="both"/>
            </w:pPr>
            <w:r>
              <w:t>IU correlated with PTSS (r</w:t>
            </w:r>
            <w:r w:rsidRPr="00944E3F">
              <w:t>=.47, p&lt;.01). When IU and food allergy self-efficacy were added to the model of an adrenalin auto-injector being administered, IU was a significant predictor of PTSS symptoms</w:t>
            </w:r>
            <w:r>
              <w:t xml:space="preserve"> (</w:t>
            </w:r>
            <w:r>
              <w:rPr>
                <w:rFonts w:cstheme="minorHAnsi"/>
              </w:rPr>
              <w:t>β=.07, p=.006)</w:t>
            </w:r>
            <w:r w:rsidRPr="00944E3F">
              <w:t>. Overall model correctly classified 76.9% of participants.</w:t>
            </w:r>
          </w:p>
        </w:tc>
      </w:tr>
      <w:tr w:rsidR="00E66857" w14:paraId="2C8824F8" w14:textId="77777777" w:rsidTr="009427A4">
        <w:trPr>
          <w:trHeight w:val="993"/>
        </w:trPr>
        <w:tc>
          <w:tcPr>
            <w:tcW w:w="1719" w:type="dxa"/>
            <w:tcBorders>
              <w:bottom w:val="single" w:sz="4" w:space="0" w:color="auto"/>
            </w:tcBorders>
          </w:tcPr>
          <w:p w14:paraId="26A50E97" w14:textId="77777777" w:rsidR="00E66857" w:rsidRDefault="00E66857" w:rsidP="004F5221">
            <w:pPr>
              <w:jc w:val="both"/>
            </w:pPr>
          </w:p>
          <w:p w14:paraId="7BFBBC3A" w14:textId="77777777" w:rsidR="00E66857" w:rsidRDefault="00E66857" w:rsidP="004F5221">
            <w:pPr>
              <w:jc w:val="both"/>
            </w:pPr>
          </w:p>
          <w:p w14:paraId="0574A7C4" w14:textId="77777777" w:rsidR="00E66857" w:rsidRDefault="00E66857" w:rsidP="004F5221">
            <w:pPr>
              <w:jc w:val="both"/>
            </w:pPr>
          </w:p>
          <w:p w14:paraId="4865D857" w14:textId="77777777" w:rsidR="00E66857" w:rsidRDefault="00E66857" w:rsidP="004F5221">
            <w:pPr>
              <w:jc w:val="both"/>
            </w:pPr>
          </w:p>
          <w:p w14:paraId="4662F0EF" w14:textId="77777777" w:rsidR="00E66857" w:rsidRDefault="00E66857" w:rsidP="004F5221">
            <w:pPr>
              <w:jc w:val="both"/>
            </w:pPr>
          </w:p>
          <w:p w14:paraId="39EC4328" w14:textId="77777777" w:rsidR="00E66857" w:rsidRDefault="00E66857" w:rsidP="004F5221">
            <w:pPr>
              <w:jc w:val="both"/>
            </w:pPr>
          </w:p>
          <w:p w14:paraId="1EB16387" w14:textId="19AA6B8A" w:rsidR="00E66857" w:rsidRPr="00944E3F" w:rsidRDefault="00E66857" w:rsidP="000D08C4">
            <w:pPr>
              <w:pStyle w:val="NoSpacing"/>
            </w:pPr>
            <w:r w:rsidRPr="00944E3F">
              <w:lastRenderedPageBreak/>
              <w:t xml:space="preserve">Authors, Year </w:t>
            </w:r>
            <w:r>
              <w:t xml:space="preserve">and Country </w:t>
            </w:r>
            <w:r w:rsidRPr="00944E3F">
              <w:t>of Publication</w:t>
            </w:r>
          </w:p>
        </w:tc>
        <w:tc>
          <w:tcPr>
            <w:tcW w:w="2146" w:type="dxa"/>
            <w:tcBorders>
              <w:bottom w:val="single" w:sz="4" w:space="0" w:color="auto"/>
            </w:tcBorders>
          </w:tcPr>
          <w:p w14:paraId="64436516" w14:textId="77777777" w:rsidR="00E66857" w:rsidRDefault="00E66857" w:rsidP="004F5221">
            <w:pPr>
              <w:jc w:val="both"/>
            </w:pPr>
          </w:p>
          <w:p w14:paraId="4BD88CE7" w14:textId="77777777" w:rsidR="00E66857" w:rsidRDefault="00E66857" w:rsidP="004F5221">
            <w:pPr>
              <w:jc w:val="both"/>
            </w:pPr>
          </w:p>
          <w:p w14:paraId="6BE2369B" w14:textId="77777777" w:rsidR="00E66857" w:rsidRDefault="00E66857" w:rsidP="004F5221">
            <w:pPr>
              <w:jc w:val="both"/>
            </w:pPr>
          </w:p>
          <w:p w14:paraId="2D60EE3C" w14:textId="77777777" w:rsidR="00E66857" w:rsidRDefault="00E66857" w:rsidP="004F5221">
            <w:pPr>
              <w:jc w:val="both"/>
            </w:pPr>
          </w:p>
          <w:p w14:paraId="5BC822F9" w14:textId="77777777" w:rsidR="00E66857" w:rsidRDefault="00E66857" w:rsidP="004F5221">
            <w:pPr>
              <w:jc w:val="both"/>
            </w:pPr>
          </w:p>
          <w:p w14:paraId="4BE5246F" w14:textId="77777777" w:rsidR="00E66857" w:rsidRDefault="00E66857" w:rsidP="004F5221">
            <w:pPr>
              <w:jc w:val="both"/>
            </w:pPr>
          </w:p>
          <w:p w14:paraId="1E3C0E60" w14:textId="77777777" w:rsidR="00E66857" w:rsidRDefault="00E66857" w:rsidP="004F5221">
            <w:pPr>
              <w:jc w:val="both"/>
            </w:pPr>
          </w:p>
          <w:p w14:paraId="4121DE47" w14:textId="77777777" w:rsidR="00E66857" w:rsidRDefault="00E66857" w:rsidP="004F5221">
            <w:pPr>
              <w:jc w:val="both"/>
            </w:pPr>
          </w:p>
          <w:p w14:paraId="16440537" w14:textId="75F7DE8E" w:rsidR="00E66857" w:rsidRPr="00944E3F" w:rsidRDefault="00E66857" w:rsidP="004F5221">
            <w:pPr>
              <w:jc w:val="both"/>
            </w:pPr>
            <w:r>
              <w:t>Aims</w:t>
            </w:r>
          </w:p>
        </w:tc>
        <w:tc>
          <w:tcPr>
            <w:tcW w:w="3274" w:type="dxa"/>
            <w:tcBorders>
              <w:bottom w:val="single" w:sz="4" w:space="0" w:color="auto"/>
            </w:tcBorders>
          </w:tcPr>
          <w:p w14:paraId="05DC0EA5" w14:textId="77777777" w:rsidR="00E66857" w:rsidRDefault="00E66857" w:rsidP="004F5221">
            <w:pPr>
              <w:jc w:val="both"/>
            </w:pPr>
          </w:p>
          <w:p w14:paraId="381D2F65" w14:textId="77777777" w:rsidR="00E66857" w:rsidRDefault="00E66857" w:rsidP="004F5221">
            <w:pPr>
              <w:jc w:val="both"/>
            </w:pPr>
          </w:p>
          <w:p w14:paraId="109B1B1D" w14:textId="77777777" w:rsidR="00E66857" w:rsidRDefault="00E66857" w:rsidP="004F5221">
            <w:pPr>
              <w:jc w:val="both"/>
            </w:pPr>
          </w:p>
          <w:p w14:paraId="2367B632" w14:textId="77777777" w:rsidR="00E66857" w:rsidRDefault="00E66857" w:rsidP="004F5221">
            <w:pPr>
              <w:jc w:val="both"/>
            </w:pPr>
          </w:p>
          <w:p w14:paraId="19A11082" w14:textId="77777777" w:rsidR="00E66857" w:rsidRDefault="00E66857" w:rsidP="004F5221">
            <w:pPr>
              <w:jc w:val="both"/>
            </w:pPr>
          </w:p>
          <w:p w14:paraId="0C2D3065" w14:textId="77777777" w:rsidR="00E66857" w:rsidRDefault="00E66857" w:rsidP="004F5221">
            <w:pPr>
              <w:jc w:val="both"/>
            </w:pPr>
          </w:p>
          <w:p w14:paraId="354206D8" w14:textId="77777777" w:rsidR="00E66857" w:rsidRDefault="00E66857" w:rsidP="004F5221">
            <w:pPr>
              <w:jc w:val="both"/>
            </w:pPr>
          </w:p>
          <w:p w14:paraId="38F26D81" w14:textId="77777777" w:rsidR="00E66857" w:rsidRDefault="00E66857" w:rsidP="004F5221">
            <w:pPr>
              <w:jc w:val="both"/>
            </w:pPr>
          </w:p>
          <w:p w14:paraId="4A88DA48" w14:textId="17ABE810" w:rsidR="00E66857" w:rsidRPr="00944E3F" w:rsidRDefault="00E66857" w:rsidP="004F5221">
            <w:pPr>
              <w:jc w:val="both"/>
            </w:pPr>
            <w:r>
              <w:t>Trauma description</w:t>
            </w:r>
          </w:p>
        </w:tc>
        <w:tc>
          <w:tcPr>
            <w:tcW w:w="6550" w:type="dxa"/>
            <w:tcBorders>
              <w:bottom w:val="single" w:sz="4" w:space="0" w:color="auto"/>
            </w:tcBorders>
          </w:tcPr>
          <w:p w14:paraId="47772F41" w14:textId="77777777" w:rsidR="00E66857" w:rsidRDefault="00E66857" w:rsidP="004F5221">
            <w:pPr>
              <w:jc w:val="both"/>
            </w:pPr>
          </w:p>
          <w:p w14:paraId="03681C1E" w14:textId="77777777" w:rsidR="00E66857" w:rsidRDefault="00E66857" w:rsidP="004F5221">
            <w:pPr>
              <w:jc w:val="both"/>
            </w:pPr>
          </w:p>
          <w:p w14:paraId="066F5F39" w14:textId="77777777" w:rsidR="00E66857" w:rsidRDefault="00E66857" w:rsidP="004F5221">
            <w:pPr>
              <w:jc w:val="both"/>
            </w:pPr>
          </w:p>
          <w:p w14:paraId="3C637B84" w14:textId="77777777" w:rsidR="00E66857" w:rsidRDefault="00E66857" w:rsidP="004F5221">
            <w:pPr>
              <w:jc w:val="both"/>
            </w:pPr>
          </w:p>
          <w:p w14:paraId="5881E63B" w14:textId="77777777" w:rsidR="00E66857" w:rsidRDefault="00E66857" w:rsidP="004F5221">
            <w:pPr>
              <w:jc w:val="both"/>
            </w:pPr>
          </w:p>
          <w:p w14:paraId="760FFB21" w14:textId="77777777" w:rsidR="00E66857" w:rsidRDefault="00E66857" w:rsidP="004F5221">
            <w:pPr>
              <w:jc w:val="both"/>
            </w:pPr>
          </w:p>
          <w:p w14:paraId="77E8E625" w14:textId="77777777" w:rsidR="00E66857" w:rsidRDefault="00E66857" w:rsidP="004F5221">
            <w:pPr>
              <w:jc w:val="both"/>
            </w:pPr>
          </w:p>
          <w:p w14:paraId="62ACF8C4" w14:textId="77777777" w:rsidR="00E66857" w:rsidRDefault="00E66857" w:rsidP="004F5221">
            <w:pPr>
              <w:jc w:val="both"/>
            </w:pPr>
          </w:p>
          <w:p w14:paraId="7F2AEB0C" w14:textId="18146D2C" w:rsidR="00E66857" w:rsidRPr="00944E3F" w:rsidRDefault="00E66857" w:rsidP="004F5221">
            <w:pPr>
              <w:jc w:val="both"/>
            </w:pPr>
            <w:r>
              <w:t>Main findings</w:t>
            </w:r>
          </w:p>
        </w:tc>
      </w:tr>
      <w:tr w:rsidR="00E66857" w14:paraId="2AC20A65" w14:textId="77777777" w:rsidTr="009427A4">
        <w:trPr>
          <w:trHeight w:val="2542"/>
        </w:trPr>
        <w:tc>
          <w:tcPr>
            <w:tcW w:w="1719" w:type="dxa"/>
            <w:tcBorders>
              <w:top w:val="single" w:sz="4" w:space="0" w:color="auto"/>
            </w:tcBorders>
          </w:tcPr>
          <w:p w14:paraId="5F64BF2A" w14:textId="77777777" w:rsidR="00E66857" w:rsidRDefault="00E66857" w:rsidP="00E66857">
            <w:r w:rsidRPr="00944E3F">
              <w:lastRenderedPageBreak/>
              <w:t>Shapiro et al., 2022</w:t>
            </w:r>
          </w:p>
          <w:p w14:paraId="3706864D" w14:textId="77777777" w:rsidR="00E66857" w:rsidRDefault="00E66857" w:rsidP="00E66857"/>
          <w:p w14:paraId="105AFBDC" w14:textId="77777777" w:rsidR="00E66857" w:rsidRDefault="00E66857" w:rsidP="00E66857">
            <w:r>
              <w:t>USA</w:t>
            </w:r>
          </w:p>
        </w:tc>
        <w:tc>
          <w:tcPr>
            <w:tcW w:w="2146" w:type="dxa"/>
            <w:tcBorders>
              <w:top w:val="single" w:sz="4" w:space="0" w:color="auto"/>
            </w:tcBorders>
          </w:tcPr>
          <w:p w14:paraId="0D7CF021" w14:textId="77777777" w:rsidR="00E66857" w:rsidRDefault="00E66857" w:rsidP="00E66857">
            <w:r w:rsidRPr="00944E3F">
              <w:t>IU and PTSD in those with and without experience of sexual violence</w:t>
            </w:r>
          </w:p>
        </w:tc>
        <w:tc>
          <w:tcPr>
            <w:tcW w:w="3274" w:type="dxa"/>
            <w:tcBorders>
              <w:top w:val="single" w:sz="4" w:space="0" w:color="auto"/>
            </w:tcBorders>
          </w:tcPr>
          <w:p w14:paraId="5A37BFFF" w14:textId="1B4B1FAA" w:rsidR="00E66857" w:rsidRDefault="00E66857" w:rsidP="00E66857">
            <w:r w:rsidRPr="00944E3F">
              <w:t>DSM-5 PTSD criteria met by 49.3% of sexual violence group and 22% in other group. In non-sexual violence trauma group -25% physical assault, 21% serious accident, 9% life threatening illness, 8% combat, 7% disaster, 5% imprisonment, 2% torture, and 23% as other</w:t>
            </w:r>
            <w:r w:rsidR="009427A4">
              <w:t>.</w:t>
            </w:r>
          </w:p>
          <w:p w14:paraId="0D14E73A" w14:textId="1A76CA33" w:rsidR="00E66857" w:rsidRDefault="00E66857" w:rsidP="00E66857"/>
        </w:tc>
        <w:tc>
          <w:tcPr>
            <w:tcW w:w="6550" w:type="dxa"/>
            <w:tcBorders>
              <w:top w:val="single" w:sz="4" w:space="0" w:color="auto"/>
            </w:tcBorders>
          </w:tcPr>
          <w:p w14:paraId="38A00E8A" w14:textId="77777777" w:rsidR="00E66857" w:rsidRDefault="00E66857" w:rsidP="00E66857">
            <w:r w:rsidRPr="00944E3F">
              <w:t>IU levels were not significantly d</w:t>
            </w:r>
            <w:r>
              <w:t>ifferent between sexual and non-</w:t>
            </w:r>
            <w:r w:rsidRPr="00944E3F">
              <w:t>sexual tra</w:t>
            </w:r>
            <w:r>
              <w:t>uma groups, F (1, 243) = .04, p</w:t>
            </w:r>
            <w:r w:rsidRPr="00944E3F">
              <w:t>=.84</w:t>
            </w:r>
            <w:r>
              <w:t xml:space="preserve">. </w:t>
            </w:r>
            <w:r w:rsidRPr="00944E3F">
              <w:t>IU total significantly correlated with PCL-C total (</w:t>
            </w:r>
            <w:r>
              <w:t>r=</w:t>
            </w:r>
            <w:r w:rsidRPr="00944E3F">
              <w:t>51, p&lt;.001) and all PCL-C subscales. Regression analysis in sexual assault group</w:t>
            </w:r>
            <w:r>
              <w:t xml:space="preserve"> showed</w:t>
            </w:r>
            <w:r w:rsidRPr="00944E3F">
              <w:t xml:space="preserve"> IU associated with PCL-C total (</w:t>
            </w:r>
            <w:r>
              <w:rPr>
                <w:rFonts w:cstheme="minorHAnsi"/>
              </w:rPr>
              <w:t>β</w:t>
            </w:r>
            <w:r>
              <w:t xml:space="preserve">=.32, </w:t>
            </w:r>
            <w:r w:rsidRPr="00944E3F">
              <w:t>p&lt;.001), Avoidance (</w:t>
            </w:r>
            <w:r>
              <w:rPr>
                <w:rFonts w:cstheme="minorHAnsi"/>
              </w:rPr>
              <w:t>β</w:t>
            </w:r>
            <w:r>
              <w:t xml:space="preserve">=.35, </w:t>
            </w:r>
            <w:r w:rsidRPr="00944E3F">
              <w:t>p=.004), cognitions/mood (</w:t>
            </w:r>
            <w:r>
              <w:rPr>
                <w:rFonts w:cstheme="minorHAnsi"/>
              </w:rPr>
              <w:t>β</w:t>
            </w:r>
            <w:r>
              <w:t xml:space="preserve">=.39, </w:t>
            </w:r>
            <w:r w:rsidRPr="00944E3F">
              <w:t>p&lt;.001), arousal (</w:t>
            </w:r>
            <w:r>
              <w:rPr>
                <w:rFonts w:cstheme="minorHAnsi"/>
              </w:rPr>
              <w:t>β</w:t>
            </w:r>
            <w:r>
              <w:t xml:space="preserve">=.33, </w:t>
            </w:r>
            <w:r w:rsidRPr="00944E3F">
              <w:t xml:space="preserve">p&lt;.001) but not </w:t>
            </w:r>
            <w:r>
              <w:t>re-experiencing</w:t>
            </w:r>
            <w:r w:rsidRPr="00944E3F">
              <w:t>. In Non-sexual assault regression, IU associated with total (</w:t>
            </w:r>
            <w:r>
              <w:rPr>
                <w:rFonts w:cstheme="minorHAnsi"/>
              </w:rPr>
              <w:t>β</w:t>
            </w:r>
            <w:r>
              <w:t xml:space="preserve">=.17, </w:t>
            </w:r>
            <w:r w:rsidRPr="00944E3F">
              <w:t>p=.02) and arousal (</w:t>
            </w:r>
            <w:r>
              <w:rPr>
                <w:rFonts w:cstheme="minorHAnsi"/>
              </w:rPr>
              <w:t>β</w:t>
            </w:r>
            <w:r>
              <w:t xml:space="preserve">=.16, </w:t>
            </w:r>
            <w:r w:rsidRPr="00944E3F">
              <w:t>p=.03) but not with re-experiencing (p=.06), avoidance (p=.16), or cognitions/mood (p=.06).</w:t>
            </w:r>
          </w:p>
          <w:p w14:paraId="75F74940" w14:textId="56027DC7" w:rsidR="00E66857" w:rsidRDefault="00E66857" w:rsidP="00E66857"/>
        </w:tc>
      </w:tr>
      <w:tr w:rsidR="00E66857" w:rsidRPr="00944E3F" w14:paraId="46DA8748" w14:textId="77777777" w:rsidTr="009427A4">
        <w:trPr>
          <w:trHeight w:val="1884"/>
        </w:trPr>
        <w:tc>
          <w:tcPr>
            <w:tcW w:w="1719" w:type="dxa"/>
          </w:tcPr>
          <w:p w14:paraId="71159F21" w14:textId="77777777" w:rsidR="00E66857" w:rsidRDefault="00E66857" w:rsidP="00E66857">
            <w:r w:rsidRPr="00944E3F">
              <w:t>Taylor et al. 2007</w:t>
            </w:r>
          </w:p>
          <w:p w14:paraId="6586980B" w14:textId="77777777" w:rsidR="00E66857" w:rsidRDefault="00E66857" w:rsidP="00E66857"/>
          <w:p w14:paraId="7783BCED" w14:textId="77777777" w:rsidR="00E66857" w:rsidRPr="00944E3F" w:rsidRDefault="00E66857" w:rsidP="00E66857">
            <w:r>
              <w:t>Canada</w:t>
            </w:r>
          </w:p>
        </w:tc>
        <w:tc>
          <w:tcPr>
            <w:tcW w:w="2146" w:type="dxa"/>
          </w:tcPr>
          <w:p w14:paraId="13F3D59F" w14:textId="77777777" w:rsidR="00E66857" w:rsidRPr="00944E3F" w:rsidRDefault="00E66857" w:rsidP="00E66857">
            <w:r>
              <w:t>Predictors</w:t>
            </w:r>
            <w:r w:rsidRPr="00944E3F">
              <w:t xml:space="preserve"> of PTSS </w:t>
            </w:r>
            <w:r>
              <w:t>following an air show disaster</w:t>
            </w:r>
          </w:p>
        </w:tc>
        <w:tc>
          <w:tcPr>
            <w:tcW w:w="3274" w:type="dxa"/>
          </w:tcPr>
          <w:p w14:paraId="21C930CE" w14:textId="77777777" w:rsidR="00E66857" w:rsidRDefault="00E66857" w:rsidP="00E66857">
            <w:r>
              <w:t xml:space="preserve">All participants exposed to disaster. </w:t>
            </w:r>
            <w:r w:rsidRPr="00944E3F">
              <w:t xml:space="preserve">Used a PCL-C cut-off of 30 to screen for PTSD.  </w:t>
            </w:r>
            <w:r>
              <w:t>Measures completed</w:t>
            </w:r>
            <w:r w:rsidRPr="00944E3F">
              <w:t xml:space="preserve"> within 5 weeks after disaster (M=15 days, SD = 5 days).</w:t>
            </w:r>
          </w:p>
          <w:p w14:paraId="0C57029E" w14:textId="67B83B56" w:rsidR="00E66857" w:rsidRPr="00944E3F" w:rsidRDefault="00E66857" w:rsidP="00E66857"/>
        </w:tc>
        <w:tc>
          <w:tcPr>
            <w:tcW w:w="6550" w:type="dxa"/>
          </w:tcPr>
          <w:p w14:paraId="010C1050" w14:textId="77777777" w:rsidR="00E66857" w:rsidRPr="00944E3F" w:rsidRDefault="00E66857" w:rsidP="00E66857">
            <w:r>
              <w:t>Dis</w:t>
            </w:r>
            <w:r w:rsidRPr="00944E3F">
              <w:t>criminant function analysis of groups with significant PTSS and/or depression scores</w:t>
            </w:r>
            <w:r>
              <w:t xml:space="preserve">. </w:t>
            </w:r>
            <w:r w:rsidRPr="00944E3F">
              <w:t xml:space="preserve">IU was a </w:t>
            </w:r>
            <w:r>
              <w:t>significant</w:t>
            </w:r>
            <w:r w:rsidRPr="00944E3F">
              <w:t xml:space="preserve"> variable</w:t>
            </w:r>
            <w:r>
              <w:t xml:space="preserve"> (0.39)</w:t>
            </w:r>
            <w:r w:rsidRPr="00944E3F">
              <w:t xml:space="preserve"> in determining difference between those ab</w:t>
            </w:r>
            <w:r>
              <w:t>ove and below PCL-C cut-off.</w:t>
            </w:r>
          </w:p>
        </w:tc>
      </w:tr>
      <w:tr w:rsidR="00E66857" w14:paraId="20DFE2B5" w14:textId="77777777" w:rsidTr="004062A6">
        <w:trPr>
          <w:trHeight w:val="1607"/>
        </w:trPr>
        <w:tc>
          <w:tcPr>
            <w:tcW w:w="1719" w:type="dxa"/>
          </w:tcPr>
          <w:p w14:paraId="4884B42B" w14:textId="77777777" w:rsidR="00E66857" w:rsidRDefault="00E66857" w:rsidP="00E66857">
            <w:r w:rsidRPr="00944E3F">
              <w:t>Vazquez et al., 2021</w:t>
            </w:r>
          </w:p>
          <w:p w14:paraId="2600A0DA" w14:textId="77777777" w:rsidR="00E66857" w:rsidRDefault="00E66857" w:rsidP="00E66857"/>
          <w:p w14:paraId="01278CC3" w14:textId="77777777" w:rsidR="00E66857" w:rsidRPr="00944E3F" w:rsidRDefault="00E66857" w:rsidP="00E66857">
            <w:r>
              <w:t>Spain</w:t>
            </w:r>
          </w:p>
        </w:tc>
        <w:tc>
          <w:tcPr>
            <w:tcW w:w="2146" w:type="dxa"/>
          </w:tcPr>
          <w:p w14:paraId="654FC5D7" w14:textId="77777777" w:rsidR="00E66857" w:rsidRPr="00944E3F" w:rsidRDefault="00E66857" w:rsidP="00E66857">
            <w:r>
              <w:t>E</w:t>
            </w:r>
            <w:r w:rsidRPr="00944E3F">
              <w:t xml:space="preserve">xplanatory model of </w:t>
            </w:r>
            <w:r>
              <w:t>PTSS</w:t>
            </w:r>
            <w:r w:rsidRPr="00944E3F">
              <w:t xml:space="preserve"> </w:t>
            </w:r>
            <w:r>
              <w:t>and growth following Covid-</w:t>
            </w:r>
            <w:r w:rsidRPr="00944E3F">
              <w:t xml:space="preserve">19. </w:t>
            </w:r>
          </w:p>
        </w:tc>
        <w:tc>
          <w:tcPr>
            <w:tcW w:w="3274" w:type="dxa"/>
          </w:tcPr>
          <w:p w14:paraId="7A3CC137" w14:textId="77777777" w:rsidR="00E66857" w:rsidRDefault="00E66857" w:rsidP="00E66857">
            <w:r w:rsidRPr="00944E3F">
              <w:t>2.8% had been infect</w:t>
            </w:r>
            <w:r>
              <w:t>ed</w:t>
            </w:r>
            <w:r w:rsidRPr="00944E3F">
              <w:t xml:space="preserve"> by Covid-19, 30.1% knew someone close who had. 19.7% had significant stress related symptoms </w:t>
            </w:r>
            <w:r>
              <w:t xml:space="preserve">over last month </w:t>
            </w:r>
          </w:p>
          <w:p w14:paraId="4065C15E" w14:textId="7C5594DC" w:rsidR="00E66857" w:rsidRDefault="00E66857" w:rsidP="00E66857"/>
        </w:tc>
        <w:tc>
          <w:tcPr>
            <w:tcW w:w="6550" w:type="dxa"/>
          </w:tcPr>
          <w:p w14:paraId="1AB8068C" w14:textId="77777777" w:rsidR="00E66857" w:rsidRDefault="00E66857" w:rsidP="00E66857">
            <w:r w:rsidRPr="00944E3F">
              <w:t>Generated an overall model to explain PTG and PTS</w:t>
            </w:r>
            <w:r>
              <w:t>S</w:t>
            </w:r>
            <w:r w:rsidRPr="00944E3F">
              <w:t>. IU contributed directly to PTS</w:t>
            </w:r>
            <w:r>
              <w:t>S (</w:t>
            </w:r>
            <w:r>
              <w:rPr>
                <w:rFonts w:cstheme="minorHAnsi"/>
              </w:rPr>
              <w:t>β=</w:t>
            </w:r>
            <w:r>
              <w:t xml:space="preserve">.06, p&lt;.001) </w:t>
            </w:r>
            <w:r w:rsidRPr="00944E3F">
              <w:t>and via mediation through death anxiety.</w:t>
            </w:r>
          </w:p>
        </w:tc>
      </w:tr>
      <w:tr w:rsidR="00E66857" w:rsidRPr="00944E3F" w14:paraId="7E804BEC" w14:textId="77777777" w:rsidTr="004062A6">
        <w:trPr>
          <w:trHeight w:val="1074"/>
        </w:trPr>
        <w:tc>
          <w:tcPr>
            <w:tcW w:w="1719" w:type="dxa"/>
            <w:tcBorders>
              <w:bottom w:val="single" w:sz="4" w:space="0" w:color="auto"/>
            </w:tcBorders>
          </w:tcPr>
          <w:p w14:paraId="4808F5EC" w14:textId="77777777" w:rsidR="00E66857" w:rsidRDefault="00E66857" w:rsidP="00E66857">
            <w:r w:rsidRPr="00944E3F">
              <w:t>Zerach &amp; Magal, 2016</w:t>
            </w:r>
          </w:p>
          <w:p w14:paraId="1ACF331B" w14:textId="77777777" w:rsidR="00E66857" w:rsidRDefault="00E66857" w:rsidP="00E66857"/>
          <w:p w14:paraId="19E85A85" w14:textId="77777777" w:rsidR="00E66857" w:rsidRPr="00944E3F" w:rsidRDefault="00E66857" w:rsidP="00E66857">
            <w:r>
              <w:t>Israel</w:t>
            </w:r>
          </w:p>
        </w:tc>
        <w:tc>
          <w:tcPr>
            <w:tcW w:w="2146" w:type="dxa"/>
            <w:tcBorders>
              <w:bottom w:val="single" w:sz="4" w:space="0" w:color="auto"/>
            </w:tcBorders>
          </w:tcPr>
          <w:p w14:paraId="01E54D47" w14:textId="77777777" w:rsidR="00E66857" w:rsidRPr="00944E3F" w:rsidRDefault="00E66857" w:rsidP="00E66857">
            <w:r>
              <w:t>S</w:t>
            </w:r>
            <w:r w:rsidRPr="00944E3F">
              <w:t xml:space="preserve">tress </w:t>
            </w:r>
            <w:r>
              <w:t xml:space="preserve">factors </w:t>
            </w:r>
            <w:r w:rsidRPr="00944E3F">
              <w:t>during birth, and PTSS in first time fathers</w:t>
            </w:r>
          </w:p>
        </w:tc>
        <w:tc>
          <w:tcPr>
            <w:tcW w:w="3274" w:type="dxa"/>
            <w:tcBorders>
              <w:bottom w:val="single" w:sz="4" w:space="0" w:color="auto"/>
            </w:tcBorders>
          </w:tcPr>
          <w:p w14:paraId="54D24FAB" w14:textId="77777777" w:rsidR="00E66857" w:rsidRPr="00944E3F" w:rsidRDefault="00E66857" w:rsidP="00E66857">
            <w:r>
              <w:t>All present at birth.</w:t>
            </w:r>
            <w:r w:rsidRPr="00944E3F">
              <w:t xml:space="preserve"> 29% </w:t>
            </w:r>
            <w:r>
              <w:t xml:space="preserve"> experienced </w:t>
            </w:r>
            <w:r w:rsidRPr="00944E3F">
              <w:t xml:space="preserve">delivery complications, 4.7% emergency caesarean. </w:t>
            </w:r>
          </w:p>
        </w:tc>
        <w:tc>
          <w:tcPr>
            <w:tcW w:w="6550" w:type="dxa"/>
            <w:tcBorders>
              <w:bottom w:val="single" w:sz="4" w:space="0" w:color="auto"/>
            </w:tcBorders>
          </w:tcPr>
          <w:p w14:paraId="234739C7" w14:textId="77777777" w:rsidR="00E66857" w:rsidRPr="00944E3F" w:rsidRDefault="00E66857" w:rsidP="00E66857">
            <w:r w:rsidRPr="00944E3F">
              <w:t>T1 total (</w:t>
            </w:r>
            <w:r>
              <w:t>r=</w:t>
            </w:r>
            <w:r w:rsidRPr="00944E3F">
              <w:t>0.31, p&lt;0.001), prospective (</w:t>
            </w:r>
            <w:r>
              <w:t>r=</w:t>
            </w:r>
            <w:r w:rsidRPr="00944E3F">
              <w:t>0.25, p&lt;0.01), inhibitory (</w:t>
            </w:r>
            <w:r>
              <w:t>r=</w:t>
            </w:r>
            <w:r w:rsidRPr="00944E3F">
              <w:t>0.35</w:t>
            </w:r>
            <w:r>
              <w:t>, p&lt;0.001) correlated with T2 PCL-5</w:t>
            </w:r>
            <w:r w:rsidRPr="00944E3F">
              <w:t xml:space="preserve">. In the regression model IU did not predict </w:t>
            </w:r>
            <w:r>
              <w:t>PCL-5.</w:t>
            </w:r>
          </w:p>
        </w:tc>
      </w:tr>
    </w:tbl>
    <w:p w14:paraId="1AEDABA0" w14:textId="77777777" w:rsidR="005B760F" w:rsidRDefault="005B760F" w:rsidP="00A53770">
      <w:pPr>
        <w:pStyle w:val="Heading2"/>
      </w:pPr>
    </w:p>
    <w:p w14:paraId="2ADDDB97" w14:textId="77777777" w:rsidR="008933A6" w:rsidRDefault="008933A6" w:rsidP="00A53770">
      <w:pPr>
        <w:pStyle w:val="Heading2"/>
        <w:sectPr w:rsidR="008933A6" w:rsidSect="008933A6">
          <w:pgSz w:w="16838" w:h="11906" w:orient="landscape"/>
          <w:pgMar w:top="1440" w:right="1440" w:bottom="1440" w:left="1440" w:header="709" w:footer="709" w:gutter="0"/>
          <w:cols w:space="708"/>
          <w:docGrid w:linePitch="360"/>
        </w:sectPr>
      </w:pPr>
    </w:p>
    <w:p w14:paraId="62E73329" w14:textId="376C3D14" w:rsidR="005B760F" w:rsidRDefault="005B760F" w:rsidP="00A53770">
      <w:pPr>
        <w:pStyle w:val="Heading2"/>
      </w:pPr>
      <w:bookmarkStart w:id="86" w:name="_Toc133141516"/>
      <w:bookmarkStart w:id="87" w:name="_Toc133144174"/>
      <w:bookmarkStart w:id="88" w:name="_Toc133487789"/>
      <w:r>
        <w:lastRenderedPageBreak/>
        <w:t>Study Samples</w:t>
      </w:r>
      <w:bookmarkEnd w:id="86"/>
      <w:bookmarkEnd w:id="87"/>
      <w:bookmarkEnd w:id="88"/>
    </w:p>
    <w:p w14:paraId="5AA29039" w14:textId="77777777" w:rsidR="005B760F" w:rsidRPr="006F6DDE" w:rsidRDefault="005B760F" w:rsidP="004F5221">
      <w:pPr>
        <w:spacing w:line="360" w:lineRule="auto"/>
        <w:ind w:firstLine="720"/>
        <w:jc w:val="both"/>
        <w:rPr>
          <w:rFonts w:ascii="Calibri" w:eastAsia="Times New Roman" w:hAnsi="Calibri" w:cs="Calibri"/>
          <w:color w:val="000000"/>
          <w:lang w:eastAsia="en-GB"/>
        </w:rPr>
      </w:pPr>
      <w:r>
        <w:rPr>
          <w:rFonts w:cstheme="minorHAnsi"/>
          <w:szCs w:val="24"/>
        </w:rPr>
        <w:t>Two studies were published in Canada (</w:t>
      </w:r>
      <w:r w:rsidRPr="00F96BF0">
        <w:rPr>
          <w:rFonts w:ascii="Calibri" w:eastAsia="Times New Roman" w:hAnsi="Calibri" w:cs="Calibri"/>
          <w:color w:val="000000"/>
          <w:lang w:eastAsia="en-GB"/>
        </w:rPr>
        <w:t>Penney et al., 2020</w:t>
      </w:r>
      <w:r>
        <w:rPr>
          <w:rFonts w:ascii="Calibri" w:eastAsia="Times New Roman" w:hAnsi="Calibri" w:cs="Calibri"/>
          <w:color w:val="000000"/>
          <w:lang w:eastAsia="en-GB"/>
        </w:rPr>
        <w:t xml:space="preserve">; </w:t>
      </w:r>
      <w:r>
        <w:rPr>
          <w:rFonts w:cstheme="minorHAnsi"/>
          <w:szCs w:val="24"/>
        </w:rPr>
        <w:t xml:space="preserve">Taylor at al., 2007), seven in the USA (Arbona et al., 2021; Bardeen et al., 2012; Fetzner et al., 2013; O’Brien et al., 2021; Oglesby et al., 2016; Kreminski et al., 2021; </w:t>
      </w:r>
      <w:r>
        <w:rPr>
          <w:rFonts w:ascii="Calibri" w:eastAsia="Times New Roman" w:hAnsi="Calibri" w:cs="Calibri"/>
          <w:color w:val="000000"/>
          <w:lang w:eastAsia="en-GB"/>
        </w:rPr>
        <w:t>Shapiro et al., 2022</w:t>
      </w:r>
      <w:r>
        <w:rPr>
          <w:rFonts w:cstheme="minorHAnsi"/>
          <w:szCs w:val="24"/>
        </w:rPr>
        <w:t xml:space="preserve">), three in Holland (Boelen, 2010 &amp; 2019; Boelen et al., 2016), two in the UK (Price et al. 2020; Roberts et al., 2021), one in Spain (Vazquez et al., 2021) one in Israel (Zerach &amp; Magal, 2016) and one in Australia (Clarke et al, 2021). The online nature of studies meant that participants could vary in nationality. For example, </w:t>
      </w:r>
      <w:r>
        <w:rPr>
          <w:rFonts w:ascii="Calibri" w:eastAsia="Times New Roman" w:hAnsi="Calibri" w:cs="Calibri"/>
          <w:color w:val="000000"/>
          <w:lang w:eastAsia="en-GB"/>
        </w:rPr>
        <w:t xml:space="preserve">only 51% of Clarke et al.’s (2021) participants identified as living in Australia. 15 studies included majority white participants. </w:t>
      </w:r>
    </w:p>
    <w:p w14:paraId="48666F4B" w14:textId="25F283A3" w:rsidR="00E66857" w:rsidRPr="00E66857" w:rsidRDefault="005B760F" w:rsidP="004F5221">
      <w:pPr>
        <w:spacing w:line="360" w:lineRule="auto"/>
        <w:ind w:firstLine="720"/>
        <w:jc w:val="both"/>
        <w:rPr>
          <w:rFonts w:cstheme="minorHAnsi"/>
          <w:szCs w:val="24"/>
        </w:rPr>
      </w:pPr>
      <w:r>
        <w:rPr>
          <w:rFonts w:cstheme="minorHAnsi"/>
          <w:szCs w:val="24"/>
        </w:rPr>
        <w:t xml:space="preserve">Sample size ranged from 50 (Oglesby et al., 2016) to 1951 (Vazquez et al. 2021). The majority of studies aimed to recruit both men and women but female participants dominated samples. </w:t>
      </w:r>
      <w:r>
        <w:rPr>
          <w:rFonts w:ascii="Calibri" w:eastAsia="Times New Roman" w:hAnsi="Calibri" w:cs="Calibri"/>
          <w:color w:val="000000"/>
          <w:lang w:eastAsia="en-GB"/>
        </w:rPr>
        <w:t>Samples were drawn from student (</w:t>
      </w:r>
      <w:r>
        <w:rPr>
          <w:rFonts w:cstheme="minorHAnsi"/>
          <w:szCs w:val="24"/>
        </w:rPr>
        <w:t xml:space="preserve">Arbona et al., 2021; Bardeen et al., 2012; Boelen, 2019; </w:t>
      </w:r>
      <w:r w:rsidRPr="006C61B1">
        <w:rPr>
          <w:rFonts w:cstheme="minorHAnsi"/>
          <w:szCs w:val="24"/>
        </w:rPr>
        <w:t>Oglesby et al., 2016</w:t>
      </w:r>
      <w:r>
        <w:rPr>
          <w:rFonts w:cstheme="minorHAnsi"/>
          <w:szCs w:val="24"/>
        </w:rPr>
        <w:t>; Penney et al., 2020; Shapiro et al., 2022</w:t>
      </w:r>
      <w:r w:rsidRPr="006C61B1">
        <w:rPr>
          <w:rFonts w:cstheme="minorHAnsi"/>
          <w:szCs w:val="24"/>
        </w:rPr>
        <w:t>)</w:t>
      </w:r>
      <w:r>
        <w:rPr>
          <w:rFonts w:cstheme="minorHAnsi"/>
          <w:szCs w:val="24"/>
        </w:rPr>
        <w:t>,</w:t>
      </w:r>
      <w:r>
        <w:rPr>
          <w:rFonts w:ascii="Calibri" w:eastAsia="Times New Roman" w:hAnsi="Calibri" w:cs="Calibri"/>
          <w:color w:val="000000"/>
          <w:lang w:eastAsia="en-GB"/>
        </w:rPr>
        <w:t xml:space="preserve"> parent (</w:t>
      </w:r>
      <w:r>
        <w:rPr>
          <w:rFonts w:cstheme="minorHAnsi"/>
          <w:szCs w:val="24"/>
        </w:rPr>
        <w:t>Price et al., 2020, Roberts et al, 2021; Zerach &amp; Magal, 2016),</w:t>
      </w:r>
      <w:r>
        <w:rPr>
          <w:rFonts w:ascii="Calibri" w:eastAsia="Times New Roman" w:hAnsi="Calibri" w:cs="Calibri"/>
          <w:color w:val="000000"/>
          <w:lang w:eastAsia="en-GB"/>
        </w:rPr>
        <w:t xml:space="preserve"> and general populations </w:t>
      </w:r>
      <w:r>
        <w:rPr>
          <w:rFonts w:cstheme="minorHAnsi"/>
          <w:szCs w:val="24"/>
        </w:rPr>
        <w:t xml:space="preserve">(Boelen, 2010; Boelen et al., 2016; Clarke et al., 2021; </w:t>
      </w:r>
      <w:r w:rsidRPr="006C61B1">
        <w:rPr>
          <w:rFonts w:cstheme="minorHAnsi"/>
          <w:szCs w:val="24"/>
        </w:rPr>
        <w:t>Fetzner et al., 2013</w:t>
      </w:r>
      <w:r>
        <w:rPr>
          <w:rFonts w:cstheme="minorHAnsi"/>
          <w:szCs w:val="24"/>
        </w:rPr>
        <w:t>; Kreminski et al., 2021; O’Brien et al., 2021; Taylor et al., 2007;</w:t>
      </w:r>
      <w:r w:rsidRPr="0057256A">
        <w:rPr>
          <w:rFonts w:cstheme="minorHAnsi"/>
          <w:szCs w:val="24"/>
        </w:rPr>
        <w:t xml:space="preserve"> </w:t>
      </w:r>
      <w:r>
        <w:rPr>
          <w:rFonts w:cstheme="minorHAnsi"/>
          <w:szCs w:val="24"/>
        </w:rPr>
        <w:t>Vazquez et al., 2021).</w:t>
      </w:r>
    </w:p>
    <w:p w14:paraId="3DF1422D" w14:textId="77777777" w:rsidR="005B760F" w:rsidRPr="00F96BF0" w:rsidRDefault="005B760F" w:rsidP="00A53770">
      <w:pPr>
        <w:pStyle w:val="Heading2"/>
        <w:rPr>
          <w:rFonts w:eastAsia="Times New Roman"/>
          <w:lang w:eastAsia="en-GB"/>
        </w:rPr>
      </w:pPr>
      <w:bookmarkStart w:id="89" w:name="_Toc133141517"/>
      <w:bookmarkStart w:id="90" w:name="_Toc133144175"/>
      <w:bookmarkStart w:id="91" w:name="_Toc133487790"/>
      <w:r>
        <w:rPr>
          <w:rFonts w:eastAsia="Times New Roman"/>
          <w:lang w:eastAsia="en-GB"/>
        </w:rPr>
        <w:t>Trauma exposure</w:t>
      </w:r>
      <w:bookmarkEnd w:id="89"/>
      <w:bookmarkEnd w:id="90"/>
      <w:bookmarkEnd w:id="91"/>
    </w:p>
    <w:p w14:paraId="6B8494A8" w14:textId="77777777" w:rsidR="005B760F" w:rsidRDefault="005B760F" w:rsidP="004F5221">
      <w:pPr>
        <w:spacing w:line="360" w:lineRule="auto"/>
        <w:ind w:firstLine="720"/>
        <w:jc w:val="both"/>
        <w:rPr>
          <w:rFonts w:ascii="Calibri" w:eastAsia="Times New Roman" w:hAnsi="Calibri" w:cs="Calibri"/>
          <w:color w:val="000000"/>
          <w:lang w:eastAsia="en-GB"/>
        </w:rPr>
      </w:pPr>
      <w:r>
        <w:rPr>
          <w:rFonts w:cstheme="minorHAnsi"/>
          <w:szCs w:val="24"/>
        </w:rPr>
        <w:t xml:space="preserve">Trauma exposure type differed across studies. This included exposure to a campus shooting </w:t>
      </w:r>
      <w:r w:rsidRPr="006C61B1">
        <w:rPr>
          <w:rFonts w:cstheme="minorHAnsi"/>
          <w:szCs w:val="24"/>
        </w:rPr>
        <w:t>(Oglesby et al., 2016)</w:t>
      </w:r>
      <w:r>
        <w:rPr>
          <w:rFonts w:cstheme="minorHAnsi"/>
          <w:szCs w:val="24"/>
        </w:rPr>
        <w:t xml:space="preserve">, an air-show disaster (Taylor et al., 2007), negative life events (Boelen, 2019), birth trauma (Price et al., 2020; Zerach &amp; Magal, 2016), bereavement (Boelen, 2010; Boelen et al., 2016), negative events involving child’s food allergy (Roberts et al, 2021), Covid-19 related trauma (O’Brien et al., 2021; Vazquez et al., 2021) and heterogeneous exposure </w:t>
      </w:r>
      <w:r w:rsidRPr="006C61B1">
        <w:rPr>
          <w:rFonts w:cstheme="minorHAnsi"/>
          <w:szCs w:val="24"/>
        </w:rPr>
        <w:t>(</w:t>
      </w:r>
      <w:r>
        <w:rPr>
          <w:rFonts w:cstheme="minorHAnsi"/>
          <w:szCs w:val="24"/>
        </w:rPr>
        <w:t xml:space="preserve">Arbona et al., 2021; Bardeen et al., 2012; Clarke et al., 2021; </w:t>
      </w:r>
      <w:r w:rsidRPr="006C61B1">
        <w:rPr>
          <w:rFonts w:cstheme="minorHAnsi"/>
          <w:szCs w:val="24"/>
        </w:rPr>
        <w:t>Fetzner et al., 2013</w:t>
      </w:r>
      <w:r>
        <w:rPr>
          <w:rFonts w:cstheme="minorHAnsi"/>
          <w:szCs w:val="24"/>
        </w:rPr>
        <w:t>; Kreminski et al., 2021; Penney et al., 2020</w:t>
      </w:r>
      <w:r w:rsidRPr="006C61B1">
        <w:rPr>
          <w:rFonts w:cstheme="minorHAnsi"/>
          <w:szCs w:val="24"/>
        </w:rPr>
        <w:t>)</w:t>
      </w:r>
      <w:r>
        <w:rPr>
          <w:rFonts w:cstheme="minorHAnsi"/>
          <w:szCs w:val="24"/>
        </w:rPr>
        <w:t>. Shapiro et al., (2022) compared those with exposure to sexual violence to those with non-sexual violence related trauma</w:t>
      </w:r>
      <w:r>
        <w:rPr>
          <w:rFonts w:ascii="Calibri" w:eastAsia="Times New Roman" w:hAnsi="Calibri" w:cs="Calibri"/>
          <w:color w:val="000000"/>
          <w:lang w:eastAsia="en-GB"/>
        </w:rPr>
        <w:t>.</w:t>
      </w:r>
    </w:p>
    <w:p w14:paraId="5847E8D7" w14:textId="77777777" w:rsidR="005B760F" w:rsidRDefault="005B760F" w:rsidP="004F5221">
      <w:pPr>
        <w:spacing w:line="360" w:lineRule="auto"/>
        <w:ind w:firstLine="720"/>
        <w:jc w:val="both"/>
        <w:rPr>
          <w:rFonts w:ascii="Calibri" w:eastAsia="Times New Roman" w:hAnsi="Calibri" w:cs="Calibri"/>
          <w:color w:val="000000"/>
          <w:lang w:eastAsia="en-GB"/>
        </w:rPr>
      </w:pPr>
      <w:r>
        <w:rPr>
          <w:rFonts w:ascii="Calibri" w:eastAsia="Times New Roman" w:hAnsi="Calibri" w:cs="Calibri"/>
          <w:color w:val="000000"/>
          <w:lang w:eastAsia="en-GB"/>
        </w:rPr>
        <w:t xml:space="preserve">Studies differed in severity of PTSS in their samples. For example, O’Brien et al. (2021) and Vazquez et al. (2021) both considered Covid-19 related trauma. Whilst </w:t>
      </w:r>
      <w:r>
        <w:rPr>
          <w:rFonts w:cstheme="minorHAnsi"/>
          <w:szCs w:val="24"/>
        </w:rPr>
        <w:t>70% of participants in the former study met a cut-off for PTSD level symptoms, just 19.7% did in the latter.</w:t>
      </w:r>
    </w:p>
    <w:p w14:paraId="59BC6B07" w14:textId="77777777" w:rsidR="005B760F" w:rsidRDefault="005B760F" w:rsidP="004F5221">
      <w:pPr>
        <w:spacing w:line="360" w:lineRule="auto"/>
        <w:ind w:firstLine="720"/>
        <w:jc w:val="both"/>
        <w:rPr>
          <w:rFonts w:cstheme="minorHAnsi"/>
          <w:szCs w:val="24"/>
        </w:rPr>
      </w:pPr>
      <w:r>
        <w:rPr>
          <w:rFonts w:cstheme="minorHAnsi"/>
          <w:szCs w:val="24"/>
        </w:rPr>
        <w:t>Time since trauma varied across studies. This ranged from current and ongoing exposure (O’Brien et al., 2021; Vazquez et al., 2021), to consideration of life-time exposure (Arbona et al., 2021; Bardeen et al., 2012; Kreminski et al., 2020; Shapiro et al., 2022).</w:t>
      </w:r>
    </w:p>
    <w:p w14:paraId="2C62CD1A" w14:textId="77777777" w:rsidR="005B760F" w:rsidRDefault="005B760F" w:rsidP="00A53770">
      <w:pPr>
        <w:pStyle w:val="Heading2"/>
      </w:pPr>
      <w:bookmarkStart w:id="92" w:name="_Toc133141518"/>
      <w:bookmarkStart w:id="93" w:name="_Toc133144176"/>
      <w:bookmarkStart w:id="94" w:name="_Toc133487791"/>
      <w:r w:rsidRPr="00572D4B">
        <w:t>Procedure</w:t>
      </w:r>
      <w:bookmarkEnd w:id="92"/>
      <w:bookmarkEnd w:id="93"/>
      <w:bookmarkEnd w:id="94"/>
    </w:p>
    <w:p w14:paraId="656324F3" w14:textId="77777777" w:rsidR="005B760F" w:rsidRDefault="005B760F" w:rsidP="004F5221">
      <w:pPr>
        <w:spacing w:line="360" w:lineRule="auto"/>
        <w:ind w:firstLine="720"/>
        <w:jc w:val="both"/>
        <w:rPr>
          <w:rFonts w:cstheme="minorHAnsi"/>
          <w:szCs w:val="24"/>
        </w:rPr>
      </w:pPr>
      <w:r>
        <w:rPr>
          <w:rFonts w:cstheme="minorHAnsi"/>
          <w:szCs w:val="24"/>
        </w:rPr>
        <w:t xml:space="preserve">Most studies involved completing online measures. Shapiro et al., (2022) were the only exception, using clinician and self-report measures that had been administered on site. Shapiro et al. </w:t>
      </w:r>
      <w:r>
        <w:rPr>
          <w:rFonts w:cstheme="minorHAnsi"/>
          <w:szCs w:val="24"/>
        </w:rPr>
        <w:lastRenderedPageBreak/>
        <w:t>(2022), along with Boelen et al. (2019) were the only two studies to use second-hand data collected for pre-existing studies. The vast majority of measures used were previously published, validated and had good psychometric properties, with this being entirely true for measures of IU and PTSS.</w:t>
      </w:r>
    </w:p>
    <w:p w14:paraId="278D7B8F" w14:textId="77777777" w:rsidR="005B760F" w:rsidRDefault="005B760F" w:rsidP="00A53770">
      <w:pPr>
        <w:pStyle w:val="Heading2"/>
      </w:pPr>
      <w:bookmarkStart w:id="95" w:name="_Toc133141519"/>
      <w:bookmarkStart w:id="96" w:name="_Toc133144177"/>
      <w:bookmarkStart w:id="97" w:name="_Toc133487792"/>
      <w:r w:rsidRPr="00D45C35">
        <w:t>Measures</w:t>
      </w:r>
      <w:bookmarkEnd w:id="95"/>
      <w:bookmarkEnd w:id="96"/>
      <w:bookmarkEnd w:id="97"/>
    </w:p>
    <w:p w14:paraId="79C9EB65" w14:textId="77777777" w:rsidR="005B760F" w:rsidRDefault="005B760F" w:rsidP="004F5221">
      <w:pPr>
        <w:spacing w:line="360" w:lineRule="auto"/>
        <w:ind w:firstLine="720"/>
        <w:jc w:val="both"/>
        <w:rPr>
          <w:rFonts w:cstheme="minorHAnsi"/>
          <w:szCs w:val="24"/>
        </w:rPr>
      </w:pPr>
      <w:r>
        <w:rPr>
          <w:rFonts w:cstheme="minorHAnsi"/>
          <w:szCs w:val="24"/>
        </w:rPr>
        <w:t xml:space="preserve">The majority of studies (14) used the Intolerance of Uncertainty Scale-12, (IUS-12; Carleton et al., 2007) as a measure of IU. The IUS-12 is a 12-item scale with two factors, one for prospective IU (7 questions), and one for Inhibitory IU (5 questions). The only alternative IU measure was the Intolerance of Uncertainty Scale-27 </w:t>
      </w:r>
      <w:r w:rsidRPr="00816393">
        <w:rPr>
          <w:rFonts w:cstheme="minorHAnsi"/>
          <w:szCs w:val="24"/>
        </w:rPr>
        <w:t>(Freeston et al., 1994)</w:t>
      </w:r>
      <w:r>
        <w:rPr>
          <w:rFonts w:cstheme="minorHAnsi"/>
          <w:szCs w:val="24"/>
        </w:rPr>
        <w:t xml:space="preserve">, used in three studies (Boelen, 2010; </w:t>
      </w:r>
      <w:r w:rsidRPr="00D45C35">
        <w:rPr>
          <w:rFonts w:ascii="Calibri" w:eastAsia="Times New Roman" w:hAnsi="Calibri" w:cs="Calibri"/>
          <w:color w:val="000000"/>
          <w:lang w:eastAsia="en-GB"/>
        </w:rPr>
        <w:t>Clarke et al., 2021</w:t>
      </w:r>
      <w:r>
        <w:rPr>
          <w:rFonts w:ascii="Calibri" w:eastAsia="Times New Roman" w:hAnsi="Calibri" w:cs="Calibri"/>
          <w:color w:val="000000"/>
          <w:lang w:eastAsia="en-GB"/>
        </w:rPr>
        <w:t>;</w:t>
      </w:r>
      <w:r>
        <w:rPr>
          <w:rFonts w:cstheme="minorHAnsi"/>
          <w:szCs w:val="24"/>
        </w:rPr>
        <w:t xml:space="preserve"> Oglesby et al., 2016). The IUS-27 has been demonstrated to have excellent internal validity (</w:t>
      </w:r>
      <w:r w:rsidRPr="00920F1E">
        <w:rPr>
          <w:rFonts w:cstheme="minorHAnsi"/>
          <w:szCs w:val="24"/>
        </w:rPr>
        <w:t>α</w:t>
      </w:r>
      <w:r>
        <w:rPr>
          <w:rFonts w:cstheme="minorHAnsi"/>
          <w:szCs w:val="24"/>
        </w:rPr>
        <w:t xml:space="preserve"> = .91) and good test-retest </w:t>
      </w:r>
      <w:r w:rsidRPr="00920F1E">
        <w:rPr>
          <w:rFonts w:cstheme="minorHAnsi"/>
        </w:rPr>
        <w:t>reliability (</w:t>
      </w:r>
      <w:r w:rsidRPr="00920F1E">
        <w:rPr>
          <w:rStyle w:val="Emphasis"/>
          <w:rFonts w:cstheme="minorHAnsi"/>
          <w:color w:val="2E2E2E"/>
        </w:rPr>
        <w:t xml:space="preserve">r </w:t>
      </w:r>
      <w:r>
        <w:rPr>
          <w:rStyle w:val="Emphasis"/>
          <w:rFonts w:cstheme="minorHAnsi"/>
          <w:color w:val="2E2E2E"/>
        </w:rPr>
        <w:t xml:space="preserve">= .74; </w:t>
      </w:r>
      <w:r w:rsidRPr="00816393">
        <w:rPr>
          <w:rFonts w:cstheme="minorHAnsi"/>
          <w:szCs w:val="24"/>
        </w:rPr>
        <w:t>Freeston et al., 1994)</w:t>
      </w:r>
      <w:r>
        <w:rPr>
          <w:rFonts w:cstheme="minorHAnsi"/>
          <w:szCs w:val="24"/>
        </w:rPr>
        <w:t>.</w:t>
      </w:r>
      <w:r>
        <w:rPr>
          <w:rStyle w:val="Emphasis"/>
          <w:rFonts w:cstheme="minorHAnsi"/>
          <w:color w:val="2E2E2E"/>
        </w:rPr>
        <w:t xml:space="preserve"> </w:t>
      </w:r>
      <w:r w:rsidRPr="00920F1E">
        <w:rPr>
          <w:rFonts w:cstheme="minorHAnsi"/>
        </w:rPr>
        <w:t>The</w:t>
      </w:r>
      <w:r>
        <w:rPr>
          <w:rFonts w:cstheme="minorHAnsi"/>
          <w:szCs w:val="24"/>
        </w:rPr>
        <w:t xml:space="preserve"> IUS-12 significantly correlates with the IUS-27 (</w:t>
      </w:r>
      <w:r>
        <w:rPr>
          <w:rFonts w:cstheme="minorHAnsi"/>
          <w:i/>
          <w:szCs w:val="24"/>
        </w:rPr>
        <w:t xml:space="preserve">r </w:t>
      </w:r>
      <w:r>
        <w:rPr>
          <w:rFonts w:cstheme="minorHAnsi"/>
          <w:szCs w:val="24"/>
        </w:rPr>
        <w:t xml:space="preserve">= .96, </w:t>
      </w:r>
      <w:r>
        <w:rPr>
          <w:rFonts w:cstheme="minorHAnsi"/>
          <w:i/>
          <w:szCs w:val="24"/>
        </w:rPr>
        <w:t>p</w:t>
      </w:r>
      <w:r>
        <w:rPr>
          <w:rFonts w:cstheme="minorHAnsi"/>
          <w:szCs w:val="24"/>
        </w:rPr>
        <w:t xml:space="preserve"> &lt; .001; </w:t>
      </w:r>
      <w:r w:rsidRPr="00BB3820">
        <w:rPr>
          <w:rFonts w:cstheme="minorHAnsi"/>
          <w:szCs w:val="24"/>
        </w:rPr>
        <w:t>McEvoy &amp; Mahoney, 2011)</w:t>
      </w:r>
      <w:r>
        <w:rPr>
          <w:rFonts w:cstheme="minorHAnsi"/>
          <w:szCs w:val="24"/>
        </w:rPr>
        <w:t>. The IUS-12 tends to be used more frequently than the original, longer version partly because of its brevity and partly because of concerns over the factor structure of the IUS-27 (Hale et al., 2015,). Whilst there is general consensus that the two-factor structure of the IUS-12 is more stable than the potential multi-factor structures of the IUS-27, researchers have also questioned the validity of these sub-factor scales, suggesting that the IUS-12 total score should be favoured (</w:t>
      </w:r>
      <w:r w:rsidRPr="00985389">
        <w:rPr>
          <w:rFonts w:cstheme="minorHAnsi"/>
          <w:szCs w:val="24"/>
        </w:rPr>
        <w:t>Shihata et al., 2018)</w:t>
      </w:r>
      <w:r>
        <w:rPr>
          <w:rFonts w:cstheme="minorHAnsi"/>
          <w:szCs w:val="24"/>
        </w:rPr>
        <w:t xml:space="preserve">. The IUS-12 has demonstrated good psychometric properties in clinical and non-clinical samples </w:t>
      </w:r>
      <w:r w:rsidRPr="00E87A7B">
        <w:rPr>
          <w:rFonts w:cstheme="minorHAnsi"/>
          <w:szCs w:val="24"/>
        </w:rPr>
        <w:t>(Khawaja &amp; Yu, 2010)</w:t>
      </w:r>
      <w:r>
        <w:rPr>
          <w:rFonts w:cstheme="minorHAnsi"/>
          <w:szCs w:val="24"/>
        </w:rPr>
        <w:t>.</w:t>
      </w:r>
    </w:p>
    <w:p w14:paraId="525888B6" w14:textId="77777777" w:rsidR="005B760F" w:rsidRDefault="005B760F" w:rsidP="004F5221">
      <w:pPr>
        <w:spacing w:line="360" w:lineRule="auto"/>
        <w:ind w:firstLine="720"/>
        <w:jc w:val="both"/>
        <w:rPr>
          <w:rFonts w:cstheme="minorHAnsi"/>
          <w:szCs w:val="24"/>
        </w:rPr>
      </w:pPr>
      <w:r>
        <w:rPr>
          <w:rFonts w:cstheme="minorHAnsi"/>
          <w:szCs w:val="24"/>
        </w:rPr>
        <w:t>All 17 studies included a standardised measure of PTSS. The Posttraumatic Stress Disorder Checklist-Civilian (PCL-C; Weathers et al. 1994) was used in five studies (</w:t>
      </w:r>
      <w:r w:rsidRPr="00665068">
        <w:rPr>
          <w:rFonts w:ascii="Calibri" w:eastAsia="Times New Roman" w:hAnsi="Calibri" w:cs="Calibri"/>
          <w:color w:val="000000"/>
          <w:lang w:eastAsia="en-GB"/>
        </w:rPr>
        <w:t>Bardeen et al., 2012</w:t>
      </w:r>
      <w:r>
        <w:rPr>
          <w:rFonts w:ascii="Calibri" w:eastAsia="Times New Roman" w:hAnsi="Calibri" w:cs="Calibri"/>
          <w:color w:val="000000"/>
          <w:lang w:eastAsia="en-GB"/>
        </w:rPr>
        <w:t xml:space="preserve">: </w:t>
      </w:r>
      <w:r w:rsidRPr="00665068">
        <w:rPr>
          <w:rFonts w:ascii="Calibri" w:eastAsia="Times New Roman" w:hAnsi="Calibri" w:cs="Calibri"/>
          <w:color w:val="000000"/>
          <w:lang w:eastAsia="en-GB"/>
        </w:rPr>
        <w:t>Fetzner et al., 2013</w:t>
      </w:r>
      <w:r>
        <w:rPr>
          <w:rFonts w:ascii="Calibri" w:eastAsia="Times New Roman" w:hAnsi="Calibri" w:cs="Calibri"/>
          <w:color w:val="000000"/>
          <w:lang w:eastAsia="en-GB"/>
        </w:rPr>
        <w:t xml:space="preserve">; </w:t>
      </w:r>
      <w:r w:rsidRPr="00665068">
        <w:rPr>
          <w:rFonts w:ascii="Calibri" w:eastAsia="Times New Roman" w:hAnsi="Calibri" w:cs="Calibri"/>
          <w:color w:val="000000"/>
          <w:lang w:eastAsia="en-GB"/>
        </w:rPr>
        <w:t>Oglesby et al., 2016</w:t>
      </w:r>
      <w:r>
        <w:rPr>
          <w:rFonts w:cstheme="minorHAnsi"/>
          <w:szCs w:val="24"/>
        </w:rPr>
        <w:t xml:space="preserve">; </w:t>
      </w:r>
      <w:r>
        <w:rPr>
          <w:rFonts w:ascii="Calibri" w:eastAsia="Times New Roman" w:hAnsi="Calibri" w:cs="Calibri"/>
          <w:color w:val="000000"/>
          <w:lang w:eastAsia="en-GB"/>
        </w:rPr>
        <w:t xml:space="preserve">Shapiro et al., 2022; </w:t>
      </w:r>
      <w:r w:rsidRPr="00665068">
        <w:rPr>
          <w:rFonts w:ascii="Calibri" w:eastAsia="Times New Roman" w:hAnsi="Calibri" w:cs="Calibri"/>
          <w:color w:val="000000"/>
          <w:lang w:eastAsia="en-GB"/>
        </w:rPr>
        <w:t>Taylor et al. 2007</w:t>
      </w:r>
      <w:r>
        <w:rPr>
          <w:rFonts w:ascii="Calibri" w:eastAsia="Times New Roman" w:hAnsi="Calibri" w:cs="Calibri"/>
          <w:color w:val="000000"/>
          <w:lang w:eastAsia="en-GB"/>
        </w:rPr>
        <w:t xml:space="preserve">). </w:t>
      </w:r>
      <w:r>
        <w:rPr>
          <w:rFonts w:cstheme="minorHAnsi"/>
          <w:szCs w:val="24"/>
        </w:rPr>
        <w:t>This is a 17-item standardised measure of symptoms relevant to DSM-IV PTSD criteria. The PCL-C was designed to have three subscales corresponding to the DSM-IV clusters of re-experiencing, avoidance/numbing, and arousal.  It has been demonstrated to have excellent internal validity for total score (</w:t>
      </w:r>
      <w:r w:rsidRPr="00920F1E">
        <w:rPr>
          <w:rFonts w:cstheme="minorHAnsi"/>
          <w:szCs w:val="24"/>
        </w:rPr>
        <w:t>α</w:t>
      </w:r>
      <w:r>
        <w:rPr>
          <w:rFonts w:cstheme="minorHAnsi"/>
          <w:szCs w:val="24"/>
        </w:rPr>
        <w:t xml:space="preserve">=.94) and subscales, along with good test-retest reliability and convergent and discriminant validity </w:t>
      </w:r>
      <w:r w:rsidRPr="002E7420">
        <w:rPr>
          <w:rFonts w:cstheme="minorHAnsi"/>
          <w:szCs w:val="24"/>
        </w:rPr>
        <w:t>(Ruggiero et al., 2003)</w:t>
      </w:r>
      <w:r>
        <w:rPr>
          <w:rFonts w:cstheme="minorHAnsi"/>
          <w:szCs w:val="24"/>
        </w:rPr>
        <w:t>.</w:t>
      </w:r>
    </w:p>
    <w:p w14:paraId="2981943F" w14:textId="77777777" w:rsidR="005B760F" w:rsidRPr="003300F3" w:rsidRDefault="005B760F" w:rsidP="004F5221">
      <w:pPr>
        <w:spacing w:line="360" w:lineRule="auto"/>
        <w:ind w:firstLine="720"/>
        <w:jc w:val="both"/>
        <w:rPr>
          <w:rFonts w:ascii="Calibri" w:eastAsia="Times New Roman" w:hAnsi="Calibri" w:cs="Calibri"/>
          <w:color w:val="000000"/>
          <w:lang w:eastAsia="en-GB"/>
        </w:rPr>
      </w:pPr>
      <w:r>
        <w:rPr>
          <w:rFonts w:cstheme="minorHAnsi"/>
          <w:szCs w:val="24"/>
        </w:rPr>
        <w:t xml:space="preserve">The Post Traumatic Stress Disorder Checklist-5 (PCL-5; Weathers et al., 2013) is the PCL updated for the DSM-V. There are different versions of the PCL for civilian, military, and specific use, whereas the PCL-5 can be used across groups. The PCL-5 has 20 items reflecting changes in criteria between DSM editions. The self-report scale for the PCL-5 is 0-4 rather than 1-5. It has good psychometric properties </w:t>
      </w:r>
      <w:r w:rsidRPr="002E7420">
        <w:rPr>
          <w:rFonts w:cstheme="minorHAnsi"/>
          <w:szCs w:val="24"/>
        </w:rPr>
        <w:t>(Blevins et al., 2015)</w:t>
      </w:r>
      <w:r>
        <w:rPr>
          <w:rFonts w:cstheme="minorHAnsi"/>
          <w:szCs w:val="24"/>
        </w:rPr>
        <w:t xml:space="preserve">. The PCL-5 was used in four studies (Arbona et al., 2021; </w:t>
      </w:r>
      <w:r w:rsidRPr="003300F3">
        <w:rPr>
          <w:rFonts w:ascii="Calibri" w:eastAsia="Times New Roman" w:hAnsi="Calibri" w:cs="Calibri"/>
          <w:color w:val="000000"/>
          <w:lang w:eastAsia="en-GB"/>
        </w:rPr>
        <w:t>Clarke et al., 2021</w:t>
      </w:r>
      <w:r>
        <w:rPr>
          <w:rFonts w:ascii="Calibri" w:eastAsia="Times New Roman" w:hAnsi="Calibri" w:cs="Calibri"/>
          <w:color w:val="000000"/>
          <w:lang w:eastAsia="en-GB"/>
        </w:rPr>
        <w:t xml:space="preserve">; </w:t>
      </w:r>
      <w:r w:rsidRPr="003300F3">
        <w:rPr>
          <w:rFonts w:ascii="Calibri" w:eastAsia="Times New Roman" w:hAnsi="Calibri" w:cs="Calibri"/>
          <w:color w:val="000000"/>
          <w:lang w:eastAsia="en-GB"/>
        </w:rPr>
        <w:t>Kreminski et al., 2021</w:t>
      </w:r>
      <w:r>
        <w:rPr>
          <w:rFonts w:ascii="Calibri" w:eastAsia="Times New Roman" w:hAnsi="Calibri" w:cs="Calibri"/>
          <w:color w:val="000000"/>
          <w:lang w:eastAsia="en-GB"/>
        </w:rPr>
        <w:t xml:space="preserve">; </w:t>
      </w:r>
      <w:r w:rsidRPr="003300F3">
        <w:rPr>
          <w:rFonts w:ascii="Calibri" w:eastAsia="Times New Roman" w:hAnsi="Calibri" w:cs="Calibri"/>
          <w:color w:val="000000"/>
          <w:lang w:eastAsia="en-GB"/>
        </w:rPr>
        <w:t>Zerach &amp; Magal, 2016</w:t>
      </w:r>
      <w:r>
        <w:rPr>
          <w:rFonts w:ascii="Calibri" w:eastAsia="Times New Roman" w:hAnsi="Calibri" w:cs="Calibri"/>
          <w:color w:val="000000"/>
          <w:lang w:eastAsia="en-GB"/>
        </w:rPr>
        <w:t>).</w:t>
      </w:r>
    </w:p>
    <w:p w14:paraId="6B20FE77" w14:textId="77777777" w:rsidR="005B760F" w:rsidRDefault="005B760F" w:rsidP="004F5221">
      <w:pPr>
        <w:spacing w:line="360" w:lineRule="auto"/>
        <w:ind w:firstLine="720"/>
        <w:jc w:val="both"/>
        <w:rPr>
          <w:rFonts w:cstheme="minorHAnsi"/>
          <w:szCs w:val="24"/>
        </w:rPr>
      </w:pPr>
      <w:r>
        <w:rPr>
          <w:rFonts w:cstheme="minorHAnsi"/>
          <w:szCs w:val="24"/>
        </w:rPr>
        <w:t xml:space="preserve">The Posttraumatic symptom scale self-report version (PSS-SR) </w:t>
      </w:r>
      <w:r w:rsidRPr="007A7AD0">
        <w:rPr>
          <w:rFonts w:cstheme="minorHAnsi"/>
          <w:szCs w:val="24"/>
        </w:rPr>
        <w:t>(Foa et al., 1993)</w:t>
      </w:r>
      <w:r>
        <w:rPr>
          <w:rFonts w:cstheme="minorHAnsi"/>
          <w:szCs w:val="24"/>
        </w:rPr>
        <w:t xml:space="preserve"> was used by Boelen (2010 &amp; 2019) and Boelen et al. (2016) to measure PTSS symptoms. This is a 17-item scale with factors relating to the three DSM-IV subscales of PTSD, along with a total score. Participants score </w:t>
      </w:r>
      <w:r>
        <w:rPr>
          <w:rFonts w:cstheme="minorHAnsi"/>
          <w:szCs w:val="24"/>
        </w:rPr>
        <w:lastRenderedPageBreak/>
        <w:t xml:space="preserve">relative to their experience over the last month. There is a recommended threshold of 13 or higher indicating expected PTSD. It has been shown to have good internal consistency and reliability </w:t>
      </w:r>
      <w:r w:rsidRPr="002E7420">
        <w:rPr>
          <w:rFonts w:cstheme="minorHAnsi"/>
          <w:szCs w:val="24"/>
        </w:rPr>
        <w:t>(Foa et al., 1993)</w:t>
      </w:r>
      <w:r>
        <w:rPr>
          <w:rFonts w:cstheme="minorHAnsi"/>
          <w:szCs w:val="24"/>
        </w:rPr>
        <w:t>.</w:t>
      </w:r>
    </w:p>
    <w:p w14:paraId="6BCF034E" w14:textId="77777777" w:rsidR="005B760F" w:rsidRDefault="005B760F" w:rsidP="004F5221">
      <w:pPr>
        <w:spacing w:line="360" w:lineRule="auto"/>
        <w:ind w:firstLine="720"/>
        <w:jc w:val="both"/>
        <w:rPr>
          <w:rFonts w:cstheme="minorHAnsi"/>
          <w:szCs w:val="24"/>
        </w:rPr>
      </w:pPr>
      <w:r>
        <w:rPr>
          <w:rFonts w:cstheme="minorHAnsi"/>
          <w:szCs w:val="24"/>
        </w:rPr>
        <w:t xml:space="preserve">The Impact of Events Scale-Revised (IES-R; Weiss, 2007) consists of 22 questions relating to a specific traumatic event that cover hyperarousal, intrusive thoughts, and avoidance behaviours. The clinical cut-off indicating PTSD is 37 or higher. The IES-R was used in three studies (O’Brien et al., 2021, Price et al. 2020; </w:t>
      </w:r>
      <w:r w:rsidRPr="005B2054">
        <w:rPr>
          <w:rFonts w:ascii="Calibri" w:eastAsia="Times New Roman" w:hAnsi="Calibri" w:cs="Calibri"/>
          <w:color w:val="000000"/>
          <w:lang w:eastAsia="en-GB"/>
        </w:rPr>
        <w:t>Roberts et al., 2021</w:t>
      </w:r>
      <w:r>
        <w:rPr>
          <w:rFonts w:cstheme="minorHAnsi"/>
          <w:szCs w:val="24"/>
        </w:rPr>
        <w:t>). It has been demonstrated to have good psychometric properties (Weiss &amp; Marmar, 1997).</w:t>
      </w:r>
    </w:p>
    <w:p w14:paraId="7FBEACB6" w14:textId="77777777" w:rsidR="005B760F" w:rsidRPr="005B2054" w:rsidRDefault="005B760F" w:rsidP="004F5221">
      <w:pPr>
        <w:spacing w:line="360" w:lineRule="auto"/>
        <w:ind w:firstLine="720"/>
        <w:jc w:val="both"/>
        <w:rPr>
          <w:rFonts w:ascii="Calibri" w:eastAsia="Times New Roman" w:hAnsi="Calibri" w:cs="Calibri"/>
          <w:color w:val="000000"/>
          <w:lang w:eastAsia="en-GB"/>
        </w:rPr>
      </w:pPr>
      <w:r>
        <w:rPr>
          <w:rFonts w:cstheme="minorHAnsi"/>
          <w:szCs w:val="24"/>
        </w:rPr>
        <w:t>The</w:t>
      </w:r>
      <w:r w:rsidRPr="005F4222">
        <w:rPr>
          <w:rFonts w:cstheme="minorHAnsi"/>
          <w:szCs w:val="24"/>
        </w:rPr>
        <w:t xml:space="preserve"> International Trauma Questionnaire (ITQ; Cloitre et al. 2018),</w:t>
      </w:r>
      <w:r>
        <w:rPr>
          <w:rFonts w:cstheme="minorHAnsi"/>
          <w:szCs w:val="24"/>
        </w:rPr>
        <w:t xml:space="preserve"> contains 12 questions on trauma symptoms and six questions about their impact on functioning over the last month. It is designed to corroborate with International Classification of Diseases-11 (ICD-11) criteria for PTSD, which covers three symptom clusters of re-experiencing, avoidance, and sense of current threat (World Health Organistion, 2019). The ITQ was adapted for use with Covid-19 related trauma by Vazquez et al., (2021) who reported high Cronbach’s alphas for both PTSD symptoms (</w:t>
      </w:r>
      <w:r w:rsidRPr="00920F1E">
        <w:rPr>
          <w:rFonts w:cstheme="minorHAnsi"/>
          <w:szCs w:val="24"/>
        </w:rPr>
        <w:t>α</w:t>
      </w:r>
      <w:r>
        <w:rPr>
          <w:rFonts w:cstheme="minorHAnsi"/>
          <w:szCs w:val="24"/>
        </w:rPr>
        <w:t xml:space="preserve">  = 0.89) and severity (</w:t>
      </w:r>
      <w:r w:rsidRPr="00920F1E">
        <w:rPr>
          <w:rFonts w:cstheme="minorHAnsi"/>
          <w:szCs w:val="24"/>
        </w:rPr>
        <w:t>α</w:t>
      </w:r>
      <w:r>
        <w:rPr>
          <w:rFonts w:cstheme="minorHAnsi"/>
          <w:szCs w:val="24"/>
        </w:rPr>
        <w:t xml:space="preserve">  = 0.86).</w:t>
      </w:r>
    </w:p>
    <w:p w14:paraId="50F4B92D" w14:textId="77777777" w:rsidR="005B760F" w:rsidRDefault="005B760F" w:rsidP="004F5221">
      <w:pPr>
        <w:spacing w:line="360" w:lineRule="auto"/>
        <w:ind w:firstLine="720"/>
        <w:jc w:val="both"/>
        <w:rPr>
          <w:rFonts w:cstheme="minorHAnsi"/>
          <w:szCs w:val="24"/>
        </w:rPr>
      </w:pPr>
      <w:r>
        <w:rPr>
          <w:rFonts w:cstheme="minorHAnsi"/>
          <w:szCs w:val="24"/>
        </w:rPr>
        <w:t xml:space="preserve">Penney et al. (2020) used the Inventory of Depression and Anxiety Symptoms-PTSD subscale </w:t>
      </w:r>
      <w:r w:rsidRPr="007F3B42">
        <w:rPr>
          <w:rFonts w:cstheme="minorHAnsi"/>
          <w:szCs w:val="24"/>
        </w:rPr>
        <w:t>(</w:t>
      </w:r>
      <w:r>
        <w:rPr>
          <w:rFonts w:cstheme="minorHAnsi"/>
          <w:szCs w:val="24"/>
        </w:rPr>
        <w:t xml:space="preserve">IDAS; </w:t>
      </w:r>
      <w:r w:rsidRPr="007F3B42">
        <w:rPr>
          <w:rFonts w:cstheme="minorHAnsi"/>
          <w:szCs w:val="24"/>
        </w:rPr>
        <w:t>Watson et al., 2007)</w:t>
      </w:r>
      <w:r>
        <w:rPr>
          <w:rFonts w:cstheme="minorHAnsi"/>
          <w:szCs w:val="24"/>
        </w:rPr>
        <w:t>. The IDAS consists of 64-items and 12 symptoms subscales such as social anxiety, suicidality, and appetite gain. The PTSD subscale consists of four items. It has been shown to have excellent psychometric properties (</w:t>
      </w:r>
      <w:r w:rsidRPr="006F425A">
        <w:rPr>
          <w:rFonts w:cstheme="minorHAnsi"/>
          <w:szCs w:val="24"/>
        </w:rPr>
        <w:t>Watson et al., 2007</w:t>
      </w:r>
      <w:r>
        <w:rPr>
          <w:rFonts w:cstheme="minorHAnsi"/>
          <w:szCs w:val="24"/>
        </w:rPr>
        <w:t>).</w:t>
      </w:r>
    </w:p>
    <w:p w14:paraId="5770E550" w14:textId="77777777" w:rsidR="005B760F" w:rsidRPr="00FD6B93" w:rsidRDefault="005B760F" w:rsidP="004F5221">
      <w:pPr>
        <w:spacing w:line="360" w:lineRule="auto"/>
        <w:ind w:firstLine="720"/>
        <w:jc w:val="both"/>
        <w:rPr>
          <w:rFonts w:cstheme="minorHAnsi"/>
          <w:szCs w:val="24"/>
        </w:rPr>
      </w:pPr>
      <w:r>
        <w:rPr>
          <w:rFonts w:cstheme="minorHAnsi"/>
          <w:szCs w:val="24"/>
        </w:rPr>
        <w:t xml:space="preserve">One study (Shapiro et al., 2022) used a clinician administered diagnostic tool, the </w:t>
      </w:r>
      <w:r w:rsidRPr="00E77677">
        <w:rPr>
          <w:rFonts w:cstheme="minorHAnsi"/>
          <w:szCs w:val="24"/>
        </w:rPr>
        <w:t>Structured Clinical Interview for DSM</w:t>
      </w:r>
      <w:r w:rsidRPr="00E77677">
        <w:rPr>
          <w:rFonts w:ascii="Cambria Math" w:hAnsi="Cambria Math" w:cs="Cambria Math"/>
          <w:szCs w:val="24"/>
        </w:rPr>
        <w:t>‑</w:t>
      </w:r>
      <w:r>
        <w:rPr>
          <w:rFonts w:cstheme="minorHAnsi"/>
          <w:szCs w:val="24"/>
        </w:rPr>
        <w:t xml:space="preserve">5 (SCID; First et al., 2015). This semi-structured clinical interview can be used to assess a range of DSM-5 disorders including PTSD. In Shapiro et al.’s (2022) research, the interviews were conducted by trainee clinical psychologists, with SCID training and then reviewed by a qualified psychologist. </w:t>
      </w:r>
    </w:p>
    <w:p w14:paraId="211A1278" w14:textId="6F4ECEDC" w:rsidR="005B760F" w:rsidRDefault="005B760F" w:rsidP="004F5221">
      <w:pPr>
        <w:spacing w:line="360" w:lineRule="auto"/>
        <w:ind w:firstLine="720"/>
        <w:jc w:val="both"/>
        <w:rPr>
          <w:rFonts w:cstheme="minorHAnsi"/>
          <w:szCs w:val="24"/>
        </w:rPr>
      </w:pPr>
      <w:r>
        <w:rPr>
          <w:rFonts w:cstheme="minorHAnsi"/>
          <w:szCs w:val="24"/>
        </w:rPr>
        <w:t>In some studies, the PTSD measure was modified to specify the type of trauma being considered. Oglesby et al. (2016) adapted the PCL-C to focus on a campus shooting. Taylor et al., (2007) adapted the PCL-C to refer to a specific air-show disaster. Price et al. (2020) asked participants to complete the IES-R based on their recent childbirth. O’Brien et al. (2021) asked the same but in relation to Covid-19. Vazquez et al., (2021) adapted the ITQ to focus on Covid-19 related trauma. Boelen (2010) and Boelen et al., (2016) requested the index trauma</w:t>
      </w:r>
      <w:r w:rsidR="009427A4">
        <w:rPr>
          <w:rFonts w:cstheme="minorHAnsi"/>
          <w:szCs w:val="24"/>
        </w:rPr>
        <w:t xml:space="preserve"> be considered in relation</w:t>
      </w:r>
      <w:r>
        <w:rPr>
          <w:rFonts w:cstheme="minorHAnsi"/>
          <w:szCs w:val="24"/>
        </w:rPr>
        <w:t xml:space="preserve"> to a bereavement.</w:t>
      </w:r>
    </w:p>
    <w:p w14:paraId="0043485C" w14:textId="77777777" w:rsidR="005B760F" w:rsidRDefault="005B760F" w:rsidP="00A53770">
      <w:pPr>
        <w:pStyle w:val="Heading2"/>
      </w:pPr>
      <w:bookmarkStart w:id="98" w:name="_Toc133141520"/>
      <w:bookmarkStart w:id="99" w:name="_Toc133144178"/>
      <w:bookmarkStart w:id="100" w:name="_Toc133487793"/>
      <w:r>
        <w:lastRenderedPageBreak/>
        <w:t>Assessing Trauma exposure</w:t>
      </w:r>
      <w:bookmarkEnd w:id="98"/>
      <w:bookmarkEnd w:id="99"/>
      <w:bookmarkEnd w:id="100"/>
    </w:p>
    <w:p w14:paraId="303B9ED4" w14:textId="77777777" w:rsidR="005B760F" w:rsidRDefault="005B760F" w:rsidP="004F5221">
      <w:pPr>
        <w:spacing w:line="360" w:lineRule="auto"/>
        <w:ind w:firstLine="720"/>
        <w:jc w:val="both"/>
        <w:rPr>
          <w:rFonts w:cstheme="minorHAnsi"/>
          <w:szCs w:val="24"/>
        </w:rPr>
      </w:pPr>
      <w:r>
        <w:rPr>
          <w:rFonts w:cstheme="minorHAnsi"/>
          <w:szCs w:val="24"/>
        </w:rPr>
        <w:t xml:space="preserve">Nine studies made use of further measures to assess type and degree of trauma exposure (Arbona et al., 2021; Bardeen et al., 2012; Boelen, 2019; </w:t>
      </w:r>
      <w:r w:rsidRPr="003C334A">
        <w:rPr>
          <w:rFonts w:cstheme="minorHAnsi"/>
          <w:szCs w:val="24"/>
        </w:rPr>
        <w:t>Fetzner et al., 2013</w:t>
      </w:r>
      <w:r>
        <w:rPr>
          <w:rFonts w:cstheme="minorHAnsi"/>
          <w:szCs w:val="24"/>
        </w:rPr>
        <w:t xml:space="preserve">; Kreminski et al., 2021; Oglesby et al. 2016; Price et al. 2020; Taylor et al. 2007; Zerach &amp; Magal, 2016). These vary in specificity. For example, Oglesby et al. (2016) made use of the Physical Exposure Questionnaire </w:t>
      </w:r>
      <w:r w:rsidRPr="003C334A">
        <w:rPr>
          <w:rFonts w:cstheme="minorHAnsi"/>
          <w:szCs w:val="24"/>
        </w:rPr>
        <w:t>(Littleton et al., 2009)</w:t>
      </w:r>
      <w:r>
        <w:rPr>
          <w:rFonts w:cstheme="minorHAnsi"/>
          <w:szCs w:val="24"/>
        </w:rPr>
        <w:t xml:space="preserve"> to screen for participants who had considerable exposure to a campus shooting. Alternatively, Fetzner et al. (2013) used the List of Traumatic Experiences (Carleton, 2006), which allows users to report on exposure to up to 16 different types of trauma. A number of these measures are unpublished and/or constructed by study authors; however, they were all used in conjunction with validated, reliable PTSS measures.</w:t>
      </w:r>
    </w:p>
    <w:p w14:paraId="7A4907B3" w14:textId="77777777" w:rsidR="005B760F" w:rsidRPr="00141810" w:rsidRDefault="005B760F" w:rsidP="00A53770">
      <w:pPr>
        <w:pStyle w:val="Heading2"/>
      </w:pPr>
      <w:bookmarkStart w:id="101" w:name="_Toc133141521"/>
      <w:bookmarkStart w:id="102" w:name="_Toc133144179"/>
      <w:bookmarkStart w:id="103" w:name="_Toc133487794"/>
      <w:r>
        <w:t>Associated personality factors</w:t>
      </w:r>
      <w:bookmarkEnd w:id="101"/>
      <w:bookmarkEnd w:id="102"/>
      <w:bookmarkEnd w:id="103"/>
    </w:p>
    <w:p w14:paraId="5EB960B3" w14:textId="77777777" w:rsidR="005B760F" w:rsidRDefault="005B760F" w:rsidP="004F5221">
      <w:pPr>
        <w:spacing w:line="360" w:lineRule="auto"/>
        <w:ind w:firstLine="720"/>
        <w:jc w:val="both"/>
        <w:rPr>
          <w:rFonts w:cstheme="minorHAnsi"/>
          <w:szCs w:val="24"/>
        </w:rPr>
      </w:pPr>
      <w:r>
        <w:rPr>
          <w:rFonts w:cstheme="minorHAnsi"/>
          <w:szCs w:val="24"/>
        </w:rPr>
        <w:t xml:space="preserve">A range of personality factors were considered alongside IU as potential variables influencing PTSS. Anxiety sensitivity (AS) was considered as a possible covariant predictor of PTSS in six studies </w:t>
      </w:r>
      <w:r w:rsidRPr="003C334A">
        <w:rPr>
          <w:rFonts w:cstheme="minorHAnsi"/>
          <w:szCs w:val="24"/>
        </w:rPr>
        <w:t>(</w:t>
      </w:r>
      <w:r>
        <w:rPr>
          <w:rFonts w:cstheme="minorHAnsi"/>
          <w:szCs w:val="24"/>
        </w:rPr>
        <w:t xml:space="preserve">Arbona et al. 2021; Boelen et al., 2019; </w:t>
      </w:r>
      <w:r w:rsidRPr="003C334A">
        <w:rPr>
          <w:rFonts w:cstheme="minorHAnsi"/>
          <w:szCs w:val="24"/>
        </w:rPr>
        <w:t>Fetzner et al., 2013</w:t>
      </w:r>
      <w:r>
        <w:rPr>
          <w:rFonts w:cstheme="minorHAnsi"/>
          <w:szCs w:val="24"/>
        </w:rPr>
        <w:t>; Oglesby et al. 2016; Shapiro et al., 2022; Taylor et al., 2007</w:t>
      </w:r>
      <w:r w:rsidRPr="003C334A">
        <w:rPr>
          <w:rFonts w:cstheme="minorHAnsi"/>
          <w:szCs w:val="24"/>
        </w:rPr>
        <w:t>)</w:t>
      </w:r>
      <w:r>
        <w:rPr>
          <w:rFonts w:cstheme="minorHAnsi"/>
          <w:szCs w:val="24"/>
        </w:rPr>
        <w:t>. AS is a construct used to define the level to which an individual notices and fears anxiety symptoms.</w:t>
      </w:r>
    </w:p>
    <w:p w14:paraId="08BFAAD7" w14:textId="77777777" w:rsidR="005B760F" w:rsidRDefault="005B760F" w:rsidP="004F5221">
      <w:pPr>
        <w:spacing w:line="360" w:lineRule="auto"/>
        <w:ind w:firstLine="720"/>
        <w:jc w:val="both"/>
        <w:rPr>
          <w:rFonts w:cstheme="minorHAnsi"/>
          <w:szCs w:val="24"/>
        </w:rPr>
      </w:pPr>
      <w:r>
        <w:rPr>
          <w:rFonts w:cstheme="minorHAnsi"/>
          <w:szCs w:val="24"/>
        </w:rPr>
        <w:t>Neuroticism was considered as a potential covariant in four studies (Boelen, 2010; Boelen et al., 2016; Clarke et al., 2021; Fetzner et al., 2013).</w:t>
      </w:r>
    </w:p>
    <w:p w14:paraId="3C09BE97" w14:textId="18618734" w:rsidR="005B760F" w:rsidRDefault="005B760F" w:rsidP="004F5221">
      <w:pPr>
        <w:spacing w:after="0" w:line="360" w:lineRule="auto"/>
        <w:ind w:firstLine="720"/>
        <w:jc w:val="both"/>
        <w:rPr>
          <w:rFonts w:ascii="Calibri" w:eastAsia="Times New Roman" w:hAnsi="Calibri" w:cs="Calibri"/>
          <w:color w:val="000000"/>
          <w:lang w:eastAsia="en-GB"/>
        </w:rPr>
      </w:pPr>
      <w:r>
        <w:rPr>
          <w:rFonts w:ascii="Calibri" w:eastAsia="Times New Roman" w:hAnsi="Calibri" w:cs="Calibri"/>
          <w:color w:val="000000"/>
          <w:lang w:eastAsia="en-GB"/>
        </w:rPr>
        <w:t>Various forms of optimism and pessimism were measured by Vazquez et al.</w:t>
      </w:r>
      <w:r w:rsidRPr="00CB1305">
        <w:rPr>
          <w:rFonts w:ascii="Calibri" w:eastAsia="Times New Roman" w:hAnsi="Calibri" w:cs="Calibri"/>
          <w:color w:val="000000"/>
          <w:lang w:eastAsia="en-GB"/>
        </w:rPr>
        <w:t xml:space="preserve"> </w:t>
      </w:r>
      <w:r>
        <w:rPr>
          <w:rFonts w:ascii="Calibri" w:eastAsia="Times New Roman" w:hAnsi="Calibri" w:cs="Calibri"/>
          <w:color w:val="000000"/>
          <w:lang w:eastAsia="en-GB"/>
        </w:rPr>
        <w:t>(</w:t>
      </w:r>
      <w:r w:rsidRPr="00CB1305">
        <w:rPr>
          <w:rFonts w:ascii="Calibri" w:eastAsia="Times New Roman" w:hAnsi="Calibri" w:cs="Calibri"/>
          <w:color w:val="000000"/>
          <w:lang w:eastAsia="en-GB"/>
        </w:rPr>
        <w:t>2021</w:t>
      </w:r>
      <w:r>
        <w:rPr>
          <w:rFonts w:ascii="Calibri" w:eastAsia="Times New Roman" w:hAnsi="Calibri" w:cs="Calibri"/>
          <w:color w:val="000000"/>
          <w:lang w:eastAsia="en-GB"/>
        </w:rPr>
        <w:t>); namely</w:t>
      </w:r>
      <w:r>
        <w:rPr>
          <w:rFonts w:cstheme="minorHAnsi"/>
          <w:szCs w:val="24"/>
        </w:rPr>
        <w:t xml:space="preserve"> suspiciousness, death anxiety, primal world beliefs, and identification with humanity. Price et al. (2020) considered the role of perfectionism. O’Brien et al. (2021) measured psychological flexibility. Boelen (2010), Boelen et al. (2016)</w:t>
      </w:r>
      <w:r w:rsidR="009427A4">
        <w:rPr>
          <w:rFonts w:cstheme="minorHAnsi"/>
          <w:szCs w:val="24"/>
        </w:rPr>
        <w:t>,</w:t>
      </w:r>
      <w:r>
        <w:rPr>
          <w:rFonts w:cstheme="minorHAnsi"/>
          <w:szCs w:val="24"/>
        </w:rPr>
        <w:t xml:space="preserve"> Penney et al. (2020), and Roberts (2021) measured proclivity to worry. Taylor et al., (2007) assessed tendency towards absorption in events.</w:t>
      </w:r>
    </w:p>
    <w:p w14:paraId="522FBD0B" w14:textId="77777777" w:rsidR="005B760F" w:rsidRPr="00141810" w:rsidRDefault="005B760F" w:rsidP="00A53770">
      <w:pPr>
        <w:pStyle w:val="Heading2"/>
      </w:pPr>
      <w:bookmarkStart w:id="104" w:name="_Toc133141522"/>
      <w:bookmarkStart w:id="105" w:name="_Toc133144180"/>
      <w:bookmarkStart w:id="106" w:name="_Toc133487795"/>
      <w:r>
        <w:t>Associated mental health difficulties</w:t>
      </w:r>
      <w:bookmarkEnd w:id="104"/>
      <w:bookmarkEnd w:id="105"/>
      <w:bookmarkEnd w:id="106"/>
    </w:p>
    <w:p w14:paraId="0C74258B" w14:textId="77777777" w:rsidR="005B760F" w:rsidRPr="006C61B1" w:rsidRDefault="005B760F" w:rsidP="004F5221">
      <w:pPr>
        <w:spacing w:line="360" w:lineRule="auto"/>
        <w:ind w:firstLine="720"/>
        <w:jc w:val="both"/>
        <w:rPr>
          <w:rFonts w:cstheme="minorHAnsi"/>
          <w:szCs w:val="24"/>
        </w:rPr>
      </w:pPr>
      <w:r>
        <w:rPr>
          <w:rFonts w:cstheme="minorHAnsi"/>
          <w:szCs w:val="24"/>
        </w:rPr>
        <w:t>Associated mental health difficulties were assessed through a range of measures. Key variables considered were affect (Kreminski et al., 2021 &amp; Shapiro et al., 2022) depression (Boelen, 2019; Price et al. 2020;</w:t>
      </w:r>
      <w:r w:rsidRPr="00936545">
        <w:rPr>
          <w:rFonts w:cstheme="minorHAnsi"/>
          <w:szCs w:val="24"/>
        </w:rPr>
        <w:t xml:space="preserve"> </w:t>
      </w:r>
      <w:r>
        <w:rPr>
          <w:rFonts w:cstheme="minorHAnsi"/>
          <w:szCs w:val="24"/>
        </w:rPr>
        <w:t xml:space="preserve">Taylor et al., 2007), anxiety (Clarke et al., 2021; Penney et al., 2020; </w:t>
      </w:r>
      <w:r>
        <w:t>Roberts et al. 2021;</w:t>
      </w:r>
      <w:r w:rsidRPr="001021D5">
        <w:rPr>
          <w:rFonts w:cstheme="minorHAnsi"/>
          <w:szCs w:val="24"/>
        </w:rPr>
        <w:t xml:space="preserve"> </w:t>
      </w:r>
      <w:r>
        <w:rPr>
          <w:rFonts w:cstheme="minorHAnsi"/>
          <w:szCs w:val="24"/>
        </w:rPr>
        <w:t>Zerach &amp; Magal, 2016), obsessive compulsive disorder (Penney et al., 2020), social phobia (Clarke et al., 2021), panic disorder (Clarke et al., 2021), eating disorder (Clarke et al., 2021) and health anxiety (Penney et al., 2020). Boelen (2010) and Boelen et al. (2016) assessed complicated and prolonged grief. Taylor et al. (2007) considered dissociative reactions, O’Brien et al., (2021) assessed somatisation.</w:t>
      </w:r>
    </w:p>
    <w:p w14:paraId="5ED0F11A" w14:textId="77777777" w:rsidR="005B760F" w:rsidRPr="0022615D" w:rsidRDefault="005B760F" w:rsidP="00027769">
      <w:pPr>
        <w:pStyle w:val="Heading1"/>
      </w:pPr>
      <w:bookmarkStart w:id="107" w:name="_Toc133487796"/>
      <w:r>
        <w:lastRenderedPageBreak/>
        <w:t>Quality Appraisal</w:t>
      </w:r>
      <w:bookmarkEnd w:id="107"/>
    </w:p>
    <w:p w14:paraId="10BE67B6" w14:textId="77777777" w:rsidR="005B760F" w:rsidRDefault="005B760F" w:rsidP="004F5221">
      <w:pPr>
        <w:spacing w:line="360" w:lineRule="auto"/>
        <w:ind w:firstLine="720"/>
        <w:jc w:val="both"/>
      </w:pPr>
      <w:r>
        <w:t>The aims of all included studies were clear, with designs that suited the research question. Most studies did not provide justification of sample sizes, which appeared to be determined by response rates. Two studies justified sample sizes with power calculations</w:t>
      </w:r>
      <w:r w:rsidRPr="00AC70C3">
        <w:rPr>
          <w:rFonts w:ascii="Calibri" w:hAnsi="Calibri" w:cs="Calibri"/>
          <w:color w:val="000000"/>
        </w:rPr>
        <w:t xml:space="preserve"> </w:t>
      </w:r>
      <w:r>
        <w:rPr>
          <w:rFonts w:ascii="Calibri" w:hAnsi="Calibri" w:cs="Calibri"/>
          <w:color w:val="000000"/>
        </w:rPr>
        <w:t>(</w:t>
      </w:r>
      <w:r w:rsidRPr="00AC70C3">
        <w:rPr>
          <w:rFonts w:ascii="Calibri" w:eastAsia="Times New Roman" w:hAnsi="Calibri" w:cs="Calibri"/>
          <w:color w:val="000000"/>
          <w:lang w:eastAsia="en-GB"/>
        </w:rPr>
        <w:t>Price et al., 2020</w:t>
      </w:r>
      <w:r>
        <w:rPr>
          <w:rFonts w:ascii="Calibri" w:eastAsia="Times New Roman" w:hAnsi="Calibri" w:cs="Calibri"/>
          <w:color w:val="000000"/>
          <w:lang w:eastAsia="en-GB"/>
        </w:rPr>
        <w:t xml:space="preserve"> &amp; </w:t>
      </w:r>
      <w:r w:rsidRPr="00AC70C3">
        <w:rPr>
          <w:rFonts w:ascii="Calibri" w:eastAsia="Times New Roman" w:hAnsi="Calibri" w:cs="Calibri"/>
          <w:color w:val="000000"/>
          <w:lang w:eastAsia="en-GB"/>
        </w:rPr>
        <w:t>Roberts et al., 2021)</w:t>
      </w:r>
      <w:r>
        <w:t xml:space="preserve"> and one with quota stratified sampling </w:t>
      </w:r>
      <w:r>
        <w:rPr>
          <w:rFonts w:ascii="Calibri" w:eastAsia="Times New Roman" w:hAnsi="Calibri" w:cs="Calibri"/>
          <w:color w:val="000000"/>
          <w:lang w:eastAsia="en-GB"/>
        </w:rPr>
        <w:t>(Vazquez et al., 2021)</w:t>
      </w:r>
      <w:r>
        <w:t xml:space="preserve">. All sample populations were defined, some more clearly than others were. For example, the majority of studies clarified ethnicity, whereas, Boelen (2019) did not. With that said, Boelen (2019), along with most included authors, did provide thorough information relating to the sample’s potentially traumatic experiences, whereas Penney et al. (2020) and Clarke et al. (2021) did not. These two studies considered PTSD as one outcome among many, explaining why they might have spent less time considering these factors. </w:t>
      </w:r>
    </w:p>
    <w:p w14:paraId="739D6EDB" w14:textId="46DECF94" w:rsidR="005B760F" w:rsidRDefault="005B760F" w:rsidP="004F5221">
      <w:pPr>
        <w:spacing w:line="360" w:lineRule="auto"/>
        <w:ind w:firstLine="720"/>
        <w:jc w:val="both"/>
        <w:rPr>
          <w:rFonts w:ascii="Calibri" w:eastAsia="Times New Roman" w:hAnsi="Calibri" w:cs="Calibri"/>
          <w:color w:val="000000"/>
          <w:lang w:eastAsia="en-GB"/>
        </w:rPr>
      </w:pPr>
      <w:r>
        <w:t xml:space="preserve">Multiple studies struggled to find representative samples. Most of the studies designed to consider men and women in the general population, were majority women </w:t>
      </w:r>
      <w:r>
        <w:rPr>
          <w:rFonts w:ascii="Calibri" w:eastAsia="Times New Roman" w:hAnsi="Calibri" w:cs="Calibri"/>
          <w:color w:val="000000"/>
          <w:lang w:eastAsia="en-GB"/>
        </w:rPr>
        <w:t>with eight mixed-gender studies recruiting over 70% female participation: Roberts et al.</w:t>
      </w:r>
      <w:r w:rsidRPr="00CF2A70">
        <w:rPr>
          <w:rFonts w:ascii="Calibri" w:eastAsia="Times New Roman" w:hAnsi="Calibri" w:cs="Calibri"/>
          <w:color w:val="000000"/>
          <w:lang w:eastAsia="en-GB"/>
        </w:rPr>
        <w:t xml:space="preserve"> </w:t>
      </w:r>
      <w:r>
        <w:rPr>
          <w:rFonts w:ascii="Calibri" w:eastAsia="Times New Roman" w:hAnsi="Calibri" w:cs="Calibri"/>
          <w:color w:val="000000"/>
          <w:lang w:eastAsia="en-GB"/>
        </w:rPr>
        <w:t>(</w:t>
      </w:r>
      <w:r w:rsidRPr="00CF2A70">
        <w:rPr>
          <w:rFonts w:ascii="Calibri" w:eastAsia="Times New Roman" w:hAnsi="Calibri" w:cs="Calibri"/>
          <w:color w:val="000000"/>
          <w:lang w:eastAsia="en-GB"/>
        </w:rPr>
        <w:t>2021</w:t>
      </w:r>
      <w:r>
        <w:rPr>
          <w:rFonts w:ascii="Calibri" w:eastAsia="Times New Roman" w:hAnsi="Calibri" w:cs="Calibri"/>
          <w:color w:val="000000"/>
          <w:lang w:eastAsia="en-GB"/>
        </w:rPr>
        <w:t xml:space="preserve">; 97%), </w:t>
      </w:r>
      <w:r w:rsidRPr="00C83090">
        <w:rPr>
          <w:rFonts w:ascii="Calibri" w:eastAsia="Times New Roman" w:hAnsi="Calibri" w:cs="Calibri"/>
          <w:color w:val="000000"/>
          <w:lang w:eastAsia="en-GB"/>
        </w:rPr>
        <w:t xml:space="preserve">Taylor et al. </w:t>
      </w:r>
      <w:r>
        <w:rPr>
          <w:rFonts w:ascii="Calibri" w:eastAsia="Times New Roman" w:hAnsi="Calibri" w:cs="Calibri"/>
          <w:color w:val="000000"/>
          <w:lang w:eastAsia="en-GB"/>
        </w:rPr>
        <w:t>(</w:t>
      </w:r>
      <w:r w:rsidRPr="00C83090">
        <w:rPr>
          <w:rFonts w:ascii="Calibri" w:eastAsia="Times New Roman" w:hAnsi="Calibri" w:cs="Calibri"/>
          <w:color w:val="000000"/>
          <w:lang w:eastAsia="en-GB"/>
        </w:rPr>
        <w:t>2007</w:t>
      </w:r>
      <w:r>
        <w:rPr>
          <w:rFonts w:ascii="Calibri" w:eastAsia="Times New Roman" w:hAnsi="Calibri" w:cs="Calibri"/>
          <w:color w:val="000000"/>
          <w:lang w:eastAsia="en-GB"/>
        </w:rPr>
        <w:t xml:space="preserve">; 96%), Boelen (2010; 89.6%), Boelen (2019; 89.6%) </w:t>
      </w:r>
      <w:r w:rsidRPr="00C83090">
        <w:rPr>
          <w:rFonts w:ascii="Calibri" w:eastAsia="Times New Roman" w:hAnsi="Calibri" w:cs="Calibri"/>
          <w:color w:val="000000"/>
          <w:lang w:eastAsia="en-GB"/>
        </w:rPr>
        <w:t xml:space="preserve">Fetzner et al., </w:t>
      </w:r>
      <w:r>
        <w:rPr>
          <w:rFonts w:ascii="Calibri" w:eastAsia="Times New Roman" w:hAnsi="Calibri" w:cs="Calibri"/>
          <w:color w:val="000000"/>
          <w:lang w:eastAsia="en-GB"/>
        </w:rPr>
        <w:t>(</w:t>
      </w:r>
      <w:r w:rsidRPr="00C83090">
        <w:rPr>
          <w:rFonts w:ascii="Calibri" w:eastAsia="Times New Roman" w:hAnsi="Calibri" w:cs="Calibri"/>
          <w:color w:val="000000"/>
          <w:lang w:eastAsia="en-GB"/>
        </w:rPr>
        <w:t>2013</w:t>
      </w:r>
      <w:r>
        <w:rPr>
          <w:rFonts w:ascii="Calibri" w:eastAsia="Times New Roman" w:hAnsi="Calibri" w:cs="Calibri"/>
          <w:color w:val="000000"/>
          <w:lang w:eastAsia="en-GB"/>
        </w:rPr>
        <w:t>; 81%),</w:t>
      </w:r>
      <w:r w:rsidRPr="00CF2A70">
        <w:rPr>
          <w:rFonts w:ascii="Calibri" w:eastAsia="Times New Roman" w:hAnsi="Calibri" w:cs="Calibri"/>
          <w:color w:val="000000"/>
          <w:lang w:eastAsia="en-GB"/>
        </w:rPr>
        <w:t xml:space="preserve"> Oglesby et al., </w:t>
      </w:r>
      <w:r>
        <w:rPr>
          <w:rFonts w:ascii="Calibri" w:eastAsia="Times New Roman" w:hAnsi="Calibri" w:cs="Calibri"/>
          <w:color w:val="000000"/>
          <w:lang w:eastAsia="en-GB"/>
        </w:rPr>
        <w:t>(</w:t>
      </w:r>
      <w:r w:rsidRPr="00CF2A70">
        <w:rPr>
          <w:rFonts w:ascii="Calibri" w:eastAsia="Times New Roman" w:hAnsi="Calibri" w:cs="Calibri"/>
          <w:color w:val="000000"/>
          <w:lang w:eastAsia="en-GB"/>
        </w:rPr>
        <w:t>2016</w:t>
      </w:r>
      <w:r>
        <w:rPr>
          <w:rFonts w:ascii="Calibri" w:eastAsia="Times New Roman" w:hAnsi="Calibri" w:cs="Calibri"/>
          <w:color w:val="000000"/>
          <w:lang w:eastAsia="en-GB"/>
        </w:rPr>
        <w:t xml:space="preserve">; 78%), </w:t>
      </w:r>
      <w:r w:rsidRPr="00C83090">
        <w:rPr>
          <w:rFonts w:ascii="Calibri" w:eastAsia="Times New Roman" w:hAnsi="Calibri" w:cs="Calibri"/>
          <w:color w:val="000000"/>
          <w:lang w:eastAsia="en-GB"/>
        </w:rPr>
        <w:t xml:space="preserve">Penney </w:t>
      </w:r>
      <w:r>
        <w:rPr>
          <w:rFonts w:ascii="Calibri" w:eastAsia="Times New Roman" w:hAnsi="Calibri" w:cs="Calibri"/>
          <w:color w:val="000000"/>
          <w:lang w:eastAsia="en-GB"/>
        </w:rPr>
        <w:t xml:space="preserve">et al., (2020; 77%), </w:t>
      </w:r>
      <w:r w:rsidRPr="00CF2A70">
        <w:rPr>
          <w:rFonts w:ascii="Calibri" w:eastAsia="Times New Roman" w:hAnsi="Calibri" w:cs="Calibri"/>
          <w:color w:val="000000"/>
          <w:lang w:eastAsia="en-GB"/>
        </w:rPr>
        <w:t xml:space="preserve">Boelen et al., </w:t>
      </w:r>
      <w:r>
        <w:rPr>
          <w:rFonts w:ascii="Calibri" w:eastAsia="Times New Roman" w:hAnsi="Calibri" w:cs="Calibri"/>
          <w:color w:val="000000"/>
          <w:lang w:eastAsia="en-GB"/>
        </w:rPr>
        <w:t>(</w:t>
      </w:r>
      <w:r w:rsidRPr="00CF2A70">
        <w:rPr>
          <w:rFonts w:ascii="Calibri" w:eastAsia="Times New Roman" w:hAnsi="Calibri" w:cs="Calibri"/>
          <w:color w:val="000000"/>
          <w:lang w:eastAsia="en-GB"/>
        </w:rPr>
        <w:t>2016</w:t>
      </w:r>
      <w:r>
        <w:rPr>
          <w:rFonts w:ascii="Calibri" w:eastAsia="Times New Roman" w:hAnsi="Calibri" w:cs="Calibri"/>
          <w:color w:val="000000"/>
          <w:lang w:eastAsia="en-GB"/>
        </w:rPr>
        <w:t xml:space="preserve">; 70.9%). Whilst these populations are not equally gender distributed, this is likely to be partially reflective of higher prevalence rates of PTSD in women, estimated at two to three times that of men </w:t>
      </w:r>
      <w:r w:rsidRPr="006D13FE">
        <w:rPr>
          <w:rFonts w:ascii="Calibri" w:eastAsia="Times New Roman" w:hAnsi="Calibri" w:cs="Calibri"/>
          <w:color w:val="000000"/>
          <w:lang w:eastAsia="en-GB"/>
        </w:rPr>
        <w:t>(Olff, 2017)</w:t>
      </w:r>
      <w:r>
        <w:rPr>
          <w:rFonts w:ascii="Calibri" w:eastAsia="Times New Roman" w:hAnsi="Calibri" w:cs="Calibri"/>
          <w:color w:val="000000"/>
          <w:lang w:eastAsia="en-GB"/>
        </w:rPr>
        <w:t xml:space="preserve">. Not all studies reported ethnicity but for those that did, there tended to be mostly white participants. Overall, student samples and social media recruited samples tended to be more populated by white, female participants except for Arbona et al., (2020) who narrowed their research criteria to consider only Latina women. </w:t>
      </w:r>
      <w:r w:rsidRPr="00876F83">
        <w:rPr>
          <w:rFonts w:ascii="Calibri" w:eastAsia="Times New Roman" w:hAnsi="Calibri" w:cs="Calibri"/>
          <w:color w:val="000000"/>
          <w:lang w:eastAsia="en-GB"/>
        </w:rPr>
        <w:t>Bardeen et al.</w:t>
      </w:r>
      <w:r>
        <w:rPr>
          <w:rFonts w:ascii="Calibri" w:eastAsia="Times New Roman" w:hAnsi="Calibri" w:cs="Calibri"/>
          <w:color w:val="000000"/>
          <w:lang w:eastAsia="en-GB"/>
        </w:rPr>
        <w:t>’s</w:t>
      </w:r>
      <w:r w:rsidRPr="00876F83">
        <w:rPr>
          <w:rFonts w:ascii="Calibri" w:eastAsia="Times New Roman" w:hAnsi="Calibri" w:cs="Calibri"/>
          <w:color w:val="000000"/>
          <w:lang w:eastAsia="en-GB"/>
        </w:rPr>
        <w:t xml:space="preserve"> </w:t>
      </w:r>
      <w:r>
        <w:rPr>
          <w:rFonts w:ascii="Calibri" w:eastAsia="Times New Roman" w:hAnsi="Calibri" w:cs="Calibri"/>
          <w:color w:val="000000"/>
          <w:lang w:eastAsia="en-GB"/>
        </w:rPr>
        <w:t>(</w:t>
      </w:r>
      <w:r w:rsidRPr="00876F83">
        <w:rPr>
          <w:rFonts w:ascii="Calibri" w:eastAsia="Times New Roman" w:hAnsi="Calibri" w:cs="Calibri"/>
          <w:color w:val="000000"/>
          <w:lang w:eastAsia="en-GB"/>
        </w:rPr>
        <w:t>2012</w:t>
      </w:r>
      <w:r>
        <w:rPr>
          <w:rFonts w:ascii="Calibri" w:eastAsia="Times New Roman" w:hAnsi="Calibri" w:cs="Calibri"/>
          <w:color w:val="000000"/>
          <w:lang w:eastAsia="en-GB"/>
        </w:rPr>
        <w:t>)</w:t>
      </w:r>
      <w:r w:rsidRPr="00876F83">
        <w:rPr>
          <w:rFonts w:ascii="Calibri" w:eastAsia="Times New Roman" w:hAnsi="Calibri" w:cs="Calibri"/>
          <w:color w:val="000000"/>
          <w:lang w:eastAsia="en-GB"/>
        </w:rPr>
        <w:t xml:space="preserve"> </w:t>
      </w:r>
      <w:r>
        <w:rPr>
          <w:rFonts w:ascii="Calibri" w:eastAsia="Times New Roman" w:hAnsi="Calibri" w:cs="Calibri"/>
          <w:color w:val="000000"/>
          <w:lang w:eastAsia="en-GB"/>
        </w:rPr>
        <w:t>student sample was more evenly distributed by gender and ethnicity. Studies recruiting using Amazon’s Mechanical Turk (M’Turk) crowdsourcing resource tended to lead to more diverse samples (</w:t>
      </w:r>
      <w:r w:rsidRPr="00876F83">
        <w:rPr>
          <w:rFonts w:ascii="Calibri" w:eastAsia="Times New Roman" w:hAnsi="Calibri" w:cs="Calibri"/>
          <w:color w:val="000000"/>
          <w:lang w:eastAsia="en-GB"/>
        </w:rPr>
        <w:t xml:space="preserve">O'Brien et al., </w:t>
      </w:r>
      <w:r>
        <w:rPr>
          <w:rFonts w:ascii="Calibri" w:eastAsia="Times New Roman" w:hAnsi="Calibri" w:cs="Calibri"/>
          <w:color w:val="000000"/>
          <w:lang w:eastAsia="en-GB"/>
        </w:rPr>
        <w:t>2</w:t>
      </w:r>
      <w:r w:rsidRPr="00876F83">
        <w:rPr>
          <w:rFonts w:ascii="Calibri" w:eastAsia="Times New Roman" w:hAnsi="Calibri" w:cs="Calibri"/>
          <w:color w:val="000000"/>
          <w:lang w:eastAsia="en-GB"/>
        </w:rPr>
        <w:t>021</w:t>
      </w:r>
      <w:r>
        <w:rPr>
          <w:rFonts w:ascii="Calibri" w:eastAsia="Times New Roman" w:hAnsi="Calibri" w:cs="Calibri"/>
          <w:color w:val="000000"/>
          <w:lang w:eastAsia="en-GB"/>
        </w:rPr>
        <w:t xml:space="preserve"> &amp; </w:t>
      </w:r>
      <w:r w:rsidRPr="00876F83">
        <w:rPr>
          <w:rFonts w:ascii="Calibri" w:eastAsia="Times New Roman" w:hAnsi="Calibri" w:cs="Calibri"/>
          <w:color w:val="000000"/>
          <w:lang w:eastAsia="en-GB"/>
        </w:rPr>
        <w:t>Kreminski et al., 2021</w:t>
      </w:r>
      <w:r>
        <w:rPr>
          <w:rFonts w:ascii="Calibri" w:eastAsia="Times New Roman" w:hAnsi="Calibri" w:cs="Calibri"/>
          <w:color w:val="000000"/>
          <w:lang w:eastAsia="en-GB"/>
        </w:rPr>
        <w:t>). Clarke et al.’s</w:t>
      </w:r>
      <w:r w:rsidRPr="00876F83">
        <w:rPr>
          <w:rFonts w:ascii="Calibri" w:eastAsia="Times New Roman" w:hAnsi="Calibri" w:cs="Calibri"/>
          <w:color w:val="000000"/>
          <w:lang w:eastAsia="en-GB"/>
        </w:rPr>
        <w:t xml:space="preserve"> </w:t>
      </w:r>
      <w:r>
        <w:rPr>
          <w:rFonts w:ascii="Calibri" w:eastAsia="Times New Roman" w:hAnsi="Calibri" w:cs="Calibri"/>
          <w:color w:val="000000"/>
          <w:lang w:eastAsia="en-GB"/>
        </w:rPr>
        <w:t>(</w:t>
      </w:r>
      <w:r w:rsidRPr="00876F83">
        <w:rPr>
          <w:rFonts w:ascii="Calibri" w:eastAsia="Times New Roman" w:hAnsi="Calibri" w:cs="Calibri"/>
          <w:color w:val="000000"/>
          <w:lang w:eastAsia="en-GB"/>
        </w:rPr>
        <w:t>2021</w:t>
      </w:r>
      <w:r>
        <w:rPr>
          <w:rFonts w:ascii="Calibri" w:eastAsia="Times New Roman" w:hAnsi="Calibri" w:cs="Calibri"/>
          <w:color w:val="000000"/>
          <w:lang w:eastAsia="en-GB"/>
        </w:rPr>
        <w:t xml:space="preserve">) mixed method of recruiting students, M’Turk, and a treatment-seeking </w:t>
      </w:r>
      <w:r w:rsidR="003C1F79">
        <w:rPr>
          <w:rFonts w:ascii="Calibri" w:eastAsia="Times New Roman" w:hAnsi="Calibri" w:cs="Calibri"/>
          <w:color w:val="000000"/>
          <w:lang w:eastAsia="en-GB"/>
        </w:rPr>
        <w:t>group</w:t>
      </w:r>
      <w:r>
        <w:rPr>
          <w:rFonts w:ascii="Calibri" w:eastAsia="Times New Roman" w:hAnsi="Calibri" w:cs="Calibri"/>
          <w:color w:val="000000"/>
          <w:lang w:eastAsia="en-GB"/>
        </w:rPr>
        <w:t xml:space="preserve"> provided a diverse sample. Vazquez et al. (2021) recruited a national representative sample of the Spanish population, and this improved diversity. Overall, the reliance on online recruitment and surveys would be expected to deprive samples of those with limited online access and increase the likelihood of self-selection bias.</w:t>
      </w:r>
    </w:p>
    <w:p w14:paraId="79B2BB2B" w14:textId="77777777" w:rsidR="005B760F" w:rsidRDefault="005B760F" w:rsidP="004F5221">
      <w:pPr>
        <w:spacing w:line="360" w:lineRule="auto"/>
        <w:ind w:firstLine="720"/>
        <w:jc w:val="both"/>
        <w:rPr>
          <w:rFonts w:ascii="Calibri" w:eastAsia="Times New Roman" w:hAnsi="Calibri" w:cs="Calibri"/>
          <w:color w:val="000000"/>
          <w:lang w:eastAsia="en-GB"/>
        </w:rPr>
      </w:pPr>
      <w:r>
        <w:rPr>
          <w:rFonts w:ascii="Calibri" w:eastAsia="Times New Roman" w:hAnsi="Calibri" w:cs="Calibri"/>
          <w:color w:val="000000"/>
          <w:lang w:eastAsia="en-GB"/>
        </w:rPr>
        <w:t xml:space="preserve">Secondary selection took place in some studies that selected for specific trauma exposure. There was some idiosyncrasy in what was considered an appropriate level of exposure for different studies. For example, Bardeen et al. (2012) and </w:t>
      </w:r>
      <w:r w:rsidRPr="0044382E">
        <w:rPr>
          <w:rFonts w:ascii="Calibri" w:eastAsia="Times New Roman" w:hAnsi="Calibri" w:cs="Calibri"/>
          <w:color w:val="000000"/>
          <w:lang w:eastAsia="en-GB"/>
        </w:rPr>
        <w:t xml:space="preserve">Kreminski et al., </w:t>
      </w:r>
      <w:r>
        <w:rPr>
          <w:rFonts w:ascii="Calibri" w:eastAsia="Times New Roman" w:hAnsi="Calibri" w:cs="Calibri"/>
          <w:color w:val="000000"/>
          <w:lang w:eastAsia="en-GB"/>
        </w:rPr>
        <w:t>(</w:t>
      </w:r>
      <w:r w:rsidRPr="0044382E">
        <w:rPr>
          <w:rFonts w:ascii="Calibri" w:eastAsia="Times New Roman" w:hAnsi="Calibri" w:cs="Calibri"/>
          <w:color w:val="000000"/>
          <w:lang w:eastAsia="en-GB"/>
        </w:rPr>
        <w:t>2021</w:t>
      </w:r>
      <w:r>
        <w:rPr>
          <w:rFonts w:ascii="Calibri" w:eastAsia="Times New Roman" w:hAnsi="Calibri" w:cs="Calibri"/>
          <w:color w:val="000000"/>
          <w:lang w:eastAsia="en-GB"/>
        </w:rPr>
        <w:t xml:space="preserve">) only included participants with experience of trauma meeting the specificities of DSM-5 criterion A, whereas Boelen (2019) selected participants with more general negative life experiences. Studies involving increased trauma selection specificity used trauma exposure measures discussed above which reduced the potential for bias. </w:t>
      </w:r>
    </w:p>
    <w:p w14:paraId="58C36B50" w14:textId="77777777" w:rsidR="005B760F" w:rsidRDefault="005B760F" w:rsidP="004F5221">
      <w:pPr>
        <w:spacing w:line="360" w:lineRule="auto"/>
        <w:ind w:firstLine="720"/>
        <w:jc w:val="both"/>
        <w:rPr>
          <w:rFonts w:ascii="Calibri" w:eastAsia="Times New Roman" w:hAnsi="Calibri" w:cs="Calibri"/>
          <w:color w:val="000000"/>
          <w:lang w:eastAsia="en-GB"/>
        </w:rPr>
      </w:pPr>
      <w:r>
        <w:rPr>
          <w:rFonts w:ascii="Calibri" w:eastAsia="Times New Roman" w:hAnsi="Calibri" w:cs="Calibri"/>
          <w:color w:val="000000"/>
          <w:lang w:eastAsia="en-GB"/>
        </w:rPr>
        <w:lastRenderedPageBreak/>
        <w:t xml:space="preserve">Non-responders were addressed in seven studies but with varying levels of detail. All papers included validated and appropriate measures of IU and PTSS. All standardised measures of IU and PTSS were reported to have good psychometric properties. All six cohort studies provided adequate time-frames between primary and secondary data collection and reported high enough retention to undertake longitudinal analysis. All studies made use of p-values in data reported. Overall, the quality of reporting of methodology was very good. </w:t>
      </w:r>
    </w:p>
    <w:p w14:paraId="5BF8BE4B" w14:textId="77777777" w:rsidR="005B760F" w:rsidRDefault="005B760F" w:rsidP="004F5221">
      <w:pPr>
        <w:spacing w:line="360" w:lineRule="auto"/>
        <w:ind w:firstLine="720"/>
        <w:jc w:val="both"/>
        <w:rPr>
          <w:rFonts w:ascii="Calibri" w:eastAsia="Times New Roman" w:hAnsi="Calibri" w:cs="Calibri"/>
          <w:color w:val="000000"/>
          <w:lang w:eastAsia="en-GB"/>
        </w:rPr>
      </w:pPr>
      <w:r>
        <w:rPr>
          <w:rFonts w:ascii="Calibri" w:eastAsia="Times New Roman" w:hAnsi="Calibri" w:cs="Calibri"/>
          <w:color w:val="000000"/>
          <w:lang w:eastAsia="en-GB"/>
        </w:rPr>
        <w:t>Results reporting was to a high standard across studies. Basic data were adequately described in all papers with appropriate use of figures and tables. Results were internally consistent and provided for all analyses presented in method sections. Similar to the methodology section, a weakness of many studies were that they did not adequately explain response rates and reasons for non-responders, which could introduce non-response bias. Price et al. (2020) included a thorough participant flow-chart which categorised dropout between time-points. Moreover, they compared demographic information between completers and those who dropped out at time two. Tests suggested that retained participants scored higher in perfectionism, were more likely to be married, have higher educational attainment, and to be in paid employment. Non-responders to initial recruitment can be extremely difficult to account for. Roberts et al. (2020), for example, provided a percentage explanation of where participants were recruited from and explained reasons for not including certain responders. Similar to most other studies, they could not account for why people who may have seen their advertisement on social media chose not to respond. Vazquez et al.’s (</w:t>
      </w:r>
      <w:r w:rsidRPr="00FF28E2">
        <w:rPr>
          <w:rFonts w:ascii="Calibri" w:eastAsia="Times New Roman" w:hAnsi="Calibri" w:cs="Calibri"/>
          <w:color w:val="000000"/>
          <w:lang w:eastAsia="en-GB"/>
        </w:rPr>
        <w:t>2021)</w:t>
      </w:r>
      <w:r>
        <w:rPr>
          <w:rFonts w:ascii="Calibri" w:eastAsia="Times New Roman" w:hAnsi="Calibri" w:cs="Calibri"/>
          <w:color w:val="000000"/>
          <w:lang w:eastAsia="en-GB"/>
        </w:rPr>
        <w:t xml:space="preserve">, method of recruiting through quota stratified sampling reduced potential non-responder bias by targeting recruitment to include a varied demographic pool. Zerach and Magal (2016) contacted a set number of potential participants and could therefore numerically define those that declined to participate but could not ethically investigate differences in this population because consent was not provided. </w:t>
      </w:r>
    </w:p>
    <w:p w14:paraId="70A9221A" w14:textId="77777777" w:rsidR="005B760F" w:rsidRDefault="005B760F" w:rsidP="004F5221">
      <w:pPr>
        <w:spacing w:line="360" w:lineRule="auto"/>
        <w:ind w:firstLine="720"/>
        <w:jc w:val="both"/>
        <w:rPr>
          <w:rFonts w:ascii="Calibri" w:eastAsia="Times New Roman" w:hAnsi="Calibri" w:cs="Times New Roman"/>
          <w:color w:val="000000"/>
          <w:lang w:eastAsia="en-GB"/>
        </w:rPr>
      </w:pPr>
      <w:r>
        <w:rPr>
          <w:rFonts w:ascii="Calibri" w:eastAsia="Times New Roman" w:hAnsi="Calibri" w:cs="Calibri"/>
          <w:color w:val="000000"/>
          <w:lang w:eastAsia="en-GB"/>
        </w:rPr>
        <w:t>All studies included in this review provided discussions and conclusions that were justified by their results. All of the studies described their limitations. Ten studies declared that there was no conflict of interest which might bias their reporting (</w:t>
      </w:r>
      <w:r w:rsidRPr="00DE62F0">
        <w:rPr>
          <w:rFonts w:ascii="Calibri" w:eastAsia="Times New Roman" w:hAnsi="Calibri" w:cs="Times New Roman"/>
          <w:color w:val="000000"/>
          <w:lang w:eastAsia="en-GB"/>
        </w:rPr>
        <w:t>Boelen 2019</w:t>
      </w:r>
      <w:r>
        <w:rPr>
          <w:rFonts w:ascii="Calibri" w:hAnsi="Calibri"/>
          <w:color w:val="000000"/>
        </w:rPr>
        <w:t xml:space="preserve">; </w:t>
      </w:r>
      <w:r w:rsidRPr="00DE62F0">
        <w:rPr>
          <w:rFonts w:ascii="Calibri" w:eastAsia="Times New Roman" w:hAnsi="Calibri" w:cs="Times New Roman"/>
          <w:color w:val="000000"/>
          <w:lang w:eastAsia="en-GB"/>
        </w:rPr>
        <w:t>Clarke et al., 2021</w:t>
      </w:r>
      <w:r>
        <w:rPr>
          <w:rFonts w:ascii="Calibri" w:eastAsia="Times New Roman" w:hAnsi="Calibri" w:cs="Times New Roman"/>
          <w:color w:val="000000"/>
          <w:lang w:eastAsia="en-GB"/>
        </w:rPr>
        <w:t xml:space="preserve">; </w:t>
      </w:r>
      <w:r w:rsidRPr="00DE62F0">
        <w:rPr>
          <w:rFonts w:ascii="Calibri" w:eastAsia="Times New Roman" w:hAnsi="Calibri" w:cs="Times New Roman"/>
          <w:color w:val="000000"/>
          <w:lang w:eastAsia="en-GB"/>
        </w:rPr>
        <w:t>Kreminski et al., 2021</w:t>
      </w:r>
      <w:r>
        <w:rPr>
          <w:rFonts w:ascii="Calibri" w:hAnsi="Calibri"/>
          <w:color w:val="000000"/>
        </w:rPr>
        <w:t xml:space="preserve">; </w:t>
      </w:r>
      <w:r w:rsidRPr="00DE62F0">
        <w:rPr>
          <w:rFonts w:ascii="Calibri" w:eastAsia="Times New Roman" w:hAnsi="Calibri" w:cs="Times New Roman"/>
          <w:color w:val="000000"/>
          <w:lang w:eastAsia="en-GB"/>
        </w:rPr>
        <w:t>O’Brien et al., 2021</w:t>
      </w:r>
      <w:r>
        <w:rPr>
          <w:rFonts w:ascii="Calibri" w:eastAsia="Times New Roman" w:hAnsi="Calibri" w:cs="Times New Roman"/>
          <w:color w:val="000000"/>
          <w:lang w:eastAsia="en-GB"/>
        </w:rPr>
        <w:t xml:space="preserve">; </w:t>
      </w:r>
      <w:r w:rsidRPr="00DE62F0">
        <w:rPr>
          <w:rFonts w:ascii="Calibri" w:eastAsia="Times New Roman" w:hAnsi="Calibri" w:cs="Times New Roman"/>
          <w:color w:val="000000"/>
          <w:lang w:eastAsia="en-GB"/>
        </w:rPr>
        <w:t>Oglesby</w:t>
      </w:r>
      <w:r>
        <w:rPr>
          <w:rFonts w:ascii="Calibri" w:eastAsia="Times New Roman" w:hAnsi="Calibri" w:cs="Times New Roman"/>
          <w:color w:val="000000"/>
          <w:lang w:eastAsia="en-GB"/>
        </w:rPr>
        <w:t>,</w:t>
      </w:r>
      <w:r w:rsidRPr="00DE62F0">
        <w:rPr>
          <w:rFonts w:ascii="Calibri" w:eastAsia="Times New Roman" w:hAnsi="Calibri" w:cs="Times New Roman"/>
          <w:color w:val="000000"/>
          <w:lang w:eastAsia="en-GB"/>
        </w:rPr>
        <w:t xml:space="preserve"> 2016</w:t>
      </w:r>
      <w:r>
        <w:rPr>
          <w:rFonts w:ascii="Calibri" w:hAnsi="Calibri"/>
          <w:color w:val="000000"/>
        </w:rPr>
        <w:t xml:space="preserve">; </w:t>
      </w:r>
      <w:r>
        <w:rPr>
          <w:rFonts w:ascii="Calibri" w:eastAsia="Times New Roman" w:hAnsi="Calibri" w:cs="Times New Roman"/>
          <w:color w:val="000000"/>
          <w:lang w:eastAsia="en-GB"/>
        </w:rPr>
        <w:t xml:space="preserve">Penney et al., 2020; </w:t>
      </w:r>
      <w:r w:rsidRPr="00DE62F0">
        <w:rPr>
          <w:rFonts w:ascii="Calibri" w:eastAsia="Times New Roman" w:hAnsi="Calibri" w:cs="Times New Roman"/>
          <w:color w:val="000000"/>
          <w:lang w:eastAsia="en-GB"/>
        </w:rPr>
        <w:t>Price et al., 2020</w:t>
      </w:r>
      <w:r>
        <w:rPr>
          <w:rFonts w:ascii="Calibri" w:eastAsia="Times New Roman" w:hAnsi="Calibri" w:cs="Times New Roman"/>
          <w:color w:val="000000"/>
          <w:lang w:eastAsia="en-GB"/>
        </w:rPr>
        <w:t xml:space="preserve">; Roberts et al., 2021; </w:t>
      </w:r>
      <w:r w:rsidRPr="00DE62F0">
        <w:rPr>
          <w:rFonts w:ascii="Calibri" w:eastAsia="Times New Roman" w:hAnsi="Calibri" w:cs="Times New Roman"/>
          <w:color w:val="000000"/>
          <w:lang w:eastAsia="en-GB"/>
        </w:rPr>
        <w:t>Shapiro et al., 2022</w:t>
      </w:r>
      <w:r>
        <w:rPr>
          <w:rFonts w:ascii="Calibri" w:eastAsia="Times New Roman" w:hAnsi="Calibri" w:cs="Times New Roman"/>
          <w:color w:val="000000"/>
          <w:lang w:eastAsia="en-GB"/>
        </w:rPr>
        <w:t>; Zerach &amp; Magal, 2016. Three studies declared sources of funding which could act as conflicts of interests, although they did not categorically state that conflicts did not exist (</w:t>
      </w:r>
      <w:r w:rsidRPr="00F0059C">
        <w:rPr>
          <w:rFonts w:ascii="Calibri" w:eastAsia="Times New Roman" w:hAnsi="Calibri" w:cs="Times New Roman"/>
          <w:color w:val="000000"/>
          <w:lang w:eastAsia="en-GB"/>
        </w:rPr>
        <w:t>Boelen</w:t>
      </w:r>
      <w:r>
        <w:rPr>
          <w:rFonts w:ascii="Calibri" w:eastAsia="Times New Roman" w:hAnsi="Calibri" w:cs="Times New Roman"/>
          <w:color w:val="000000"/>
          <w:lang w:eastAsia="en-GB"/>
        </w:rPr>
        <w:t>,</w:t>
      </w:r>
      <w:r w:rsidRPr="00F0059C">
        <w:rPr>
          <w:rFonts w:ascii="Calibri" w:eastAsia="Times New Roman" w:hAnsi="Calibri" w:cs="Times New Roman"/>
          <w:color w:val="000000"/>
          <w:lang w:eastAsia="en-GB"/>
        </w:rPr>
        <w:t xml:space="preserve"> 2010</w:t>
      </w:r>
      <w:r>
        <w:rPr>
          <w:rFonts w:ascii="Calibri" w:eastAsia="Times New Roman" w:hAnsi="Calibri" w:cs="Times New Roman"/>
          <w:color w:val="000000"/>
          <w:lang w:eastAsia="en-GB"/>
        </w:rPr>
        <w:t xml:space="preserve">; </w:t>
      </w:r>
      <w:r w:rsidRPr="00DE62F0">
        <w:rPr>
          <w:rFonts w:ascii="Calibri" w:eastAsia="Times New Roman" w:hAnsi="Calibri" w:cs="Times New Roman"/>
          <w:color w:val="000000"/>
          <w:lang w:eastAsia="en-GB"/>
        </w:rPr>
        <w:t>Taylor et al., 2007</w:t>
      </w:r>
      <w:r>
        <w:rPr>
          <w:rFonts w:ascii="Calibri" w:eastAsia="Times New Roman" w:hAnsi="Calibri" w:cs="Times New Roman"/>
          <w:color w:val="000000"/>
          <w:lang w:eastAsia="en-GB"/>
        </w:rPr>
        <w:t xml:space="preserve">; </w:t>
      </w:r>
      <w:r w:rsidRPr="00DE62F0">
        <w:rPr>
          <w:rFonts w:ascii="Calibri" w:eastAsia="Times New Roman" w:hAnsi="Calibri" w:cs="Times New Roman"/>
          <w:color w:val="000000"/>
          <w:lang w:eastAsia="en-GB"/>
        </w:rPr>
        <w:t>Vazquez et al., 2021</w:t>
      </w:r>
      <w:r>
        <w:rPr>
          <w:rFonts w:ascii="Calibri" w:eastAsia="Times New Roman" w:hAnsi="Calibri" w:cs="Times New Roman"/>
          <w:color w:val="000000"/>
          <w:lang w:eastAsia="en-GB"/>
        </w:rPr>
        <w:t>). All studies described consent being obtained from participants. Only two studies did not mention gaining approval for research from an ethical body (</w:t>
      </w:r>
      <w:r w:rsidRPr="00DE62F0">
        <w:rPr>
          <w:rFonts w:ascii="Calibri" w:eastAsia="Times New Roman" w:hAnsi="Calibri" w:cs="Times New Roman"/>
          <w:color w:val="000000"/>
          <w:lang w:eastAsia="en-GB"/>
        </w:rPr>
        <w:t>Boelen</w:t>
      </w:r>
      <w:r>
        <w:rPr>
          <w:rFonts w:ascii="Calibri" w:eastAsia="Times New Roman" w:hAnsi="Calibri" w:cs="Times New Roman"/>
          <w:color w:val="000000"/>
          <w:lang w:eastAsia="en-GB"/>
        </w:rPr>
        <w:t>, 2019 &amp;</w:t>
      </w:r>
      <w:r w:rsidRPr="00DE62F0">
        <w:rPr>
          <w:rFonts w:ascii="Calibri" w:eastAsia="Times New Roman" w:hAnsi="Calibri" w:cs="Times New Roman"/>
          <w:color w:val="000000"/>
          <w:lang w:eastAsia="en-GB"/>
        </w:rPr>
        <w:t xml:space="preserve"> Boelen et al., 2016</w:t>
      </w:r>
      <w:r>
        <w:rPr>
          <w:rFonts w:ascii="Calibri" w:eastAsia="Times New Roman" w:hAnsi="Calibri" w:cs="Times New Roman"/>
          <w:color w:val="000000"/>
          <w:lang w:eastAsia="en-GB"/>
        </w:rPr>
        <w:t>).</w:t>
      </w:r>
    </w:p>
    <w:p w14:paraId="238E3E00" w14:textId="77777777" w:rsidR="005B760F" w:rsidRPr="00886225" w:rsidRDefault="005B760F" w:rsidP="004F5221">
      <w:pPr>
        <w:spacing w:line="360" w:lineRule="auto"/>
        <w:ind w:firstLine="720"/>
        <w:jc w:val="both"/>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 xml:space="preserve">Overall, critical appraisal ratings were high. The lowest scoring studies were 70% </w:t>
      </w:r>
      <w:r w:rsidRPr="00886225">
        <w:rPr>
          <w:rFonts w:ascii="Calibri" w:eastAsia="Times New Roman" w:hAnsi="Calibri" w:cs="Times New Roman"/>
          <w:color w:val="000000"/>
          <w:lang w:eastAsia="en-GB"/>
        </w:rPr>
        <w:t>(</w:t>
      </w:r>
      <w:r w:rsidRPr="00024405">
        <w:rPr>
          <w:rFonts w:ascii="Calibri" w:eastAsia="Times New Roman" w:hAnsi="Calibri" w:cs="Times New Roman"/>
          <w:color w:val="000000"/>
          <w:lang w:eastAsia="en-GB"/>
        </w:rPr>
        <w:t>Fetzner et al. 2013</w:t>
      </w:r>
      <w:r>
        <w:rPr>
          <w:rFonts w:ascii="Calibri" w:eastAsia="Times New Roman" w:hAnsi="Calibri" w:cs="Times New Roman"/>
          <w:color w:val="000000"/>
          <w:lang w:eastAsia="en-GB"/>
        </w:rPr>
        <w:t xml:space="preserve">, </w:t>
      </w:r>
      <w:r w:rsidRPr="00886225">
        <w:rPr>
          <w:rFonts w:ascii="Calibri" w:eastAsia="Times New Roman" w:hAnsi="Calibri" w:cs="Times New Roman"/>
          <w:color w:val="000000"/>
          <w:lang w:eastAsia="en-GB"/>
        </w:rPr>
        <w:t>Penney et al., 2020)</w:t>
      </w:r>
      <w:r>
        <w:rPr>
          <w:rFonts w:ascii="Calibri" w:eastAsia="Times New Roman" w:hAnsi="Calibri" w:cs="Times New Roman"/>
          <w:color w:val="000000"/>
          <w:lang w:eastAsia="en-GB"/>
        </w:rPr>
        <w:t xml:space="preserve"> and the highest scoring was 100% </w:t>
      </w:r>
      <w:r w:rsidRPr="00886225">
        <w:rPr>
          <w:rFonts w:ascii="Calibri" w:eastAsia="Times New Roman" w:hAnsi="Calibri" w:cs="Times New Roman"/>
          <w:color w:val="000000"/>
          <w:lang w:eastAsia="en-GB"/>
        </w:rPr>
        <w:t>(Vazquez et al., 2021)</w:t>
      </w:r>
      <w:r>
        <w:rPr>
          <w:rFonts w:ascii="Calibri" w:eastAsia="Times New Roman" w:hAnsi="Calibri" w:cs="Times New Roman"/>
          <w:color w:val="000000"/>
          <w:lang w:eastAsia="en-GB"/>
        </w:rPr>
        <w:t xml:space="preserve">. The modal average was 75%, scored by eight papers. Generally, marks were lost for open, online recruitment increasing the possibility of non-responder bias. </w:t>
      </w:r>
    </w:p>
    <w:p w14:paraId="22ED57E6" w14:textId="77777777" w:rsidR="005B760F" w:rsidRDefault="005B760F" w:rsidP="00027769">
      <w:pPr>
        <w:pStyle w:val="Heading1"/>
        <w:rPr>
          <w:rFonts w:eastAsia="Times New Roman"/>
          <w:lang w:eastAsia="en-GB"/>
        </w:rPr>
      </w:pPr>
      <w:bookmarkStart w:id="108" w:name="_Toc133487797"/>
      <w:r>
        <w:rPr>
          <w:rFonts w:eastAsia="Times New Roman"/>
          <w:lang w:eastAsia="en-GB"/>
        </w:rPr>
        <w:t>Main Findings</w:t>
      </w:r>
      <w:bookmarkEnd w:id="108"/>
    </w:p>
    <w:p w14:paraId="0651DA7D" w14:textId="4696C7E1" w:rsidR="005B760F" w:rsidRPr="006E55F9" w:rsidRDefault="005B760F" w:rsidP="00A53770">
      <w:pPr>
        <w:pStyle w:val="Heading2"/>
        <w:rPr>
          <w:rFonts w:eastAsia="Times New Roman"/>
          <w:lang w:eastAsia="en-GB"/>
        </w:rPr>
      </w:pPr>
      <w:bookmarkStart w:id="109" w:name="_Toc133141525"/>
      <w:bookmarkStart w:id="110" w:name="_Toc133144183"/>
      <w:bookmarkStart w:id="111" w:name="_Toc133487798"/>
      <w:r>
        <w:rPr>
          <w:rFonts w:eastAsia="Times New Roman"/>
          <w:lang w:eastAsia="en-GB"/>
        </w:rPr>
        <w:t>Correlation between IU and PTSS</w:t>
      </w:r>
      <w:bookmarkEnd w:id="109"/>
      <w:bookmarkEnd w:id="110"/>
      <w:bookmarkEnd w:id="111"/>
    </w:p>
    <w:p w14:paraId="0D37AF47" w14:textId="77777777" w:rsidR="005B760F" w:rsidRDefault="005B760F" w:rsidP="004F5221">
      <w:pPr>
        <w:spacing w:line="360" w:lineRule="auto"/>
        <w:ind w:firstLine="720"/>
        <w:jc w:val="both"/>
        <w:rPr>
          <w:rFonts w:ascii="Calibri" w:eastAsia="Times New Roman" w:hAnsi="Calibri" w:cs="Calibri"/>
          <w:color w:val="000000"/>
          <w:lang w:eastAsia="en-GB"/>
        </w:rPr>
      </w:pPr>
      <w:r>
        <w:rPr>
          <w:rFonts w:ascii="Calibri" w:eastAsia="Times New Roman" w:hAnsi="Calibri" w:cs="Calibri"/>
          <w:color w:val="000000"/>
          <w:lang w:eastAsia="en-GB"/>
        </w:rPr>
        <w:t>See Table 2 for detailed results. Correlations were considered as part of 14 regression studies and statistically significant positive associations were found between measures of IU and PTSD in all 14. Of these, five studies were prospective-survey designs and demonstrated significant correlations between pre-trauma IU and post-trauma PTSD (</w:t>
      </w:r>
      <w:r w:rsidRPr="00AA6487">
        <w:rPr>
          <w:rFonts w:ascii="Calibri" w:eastAsia="Times New Roman" w:hAnsi="Calibri" w:cs="Calibri"/>
          <w:color w:val="000000"/>
          <w:lang w:eastAsia="en-GB"/>
        </w:rPr>
        <w:t>Boelen et al., 2016</w:t>
      </w:r>
      <w:r>
        <w:rPr>
          <w:rFonts w:ascii="Calibri" w:eastAsia="Times New Roman" w:hAnsi="Calibri" w:cs="Calibri"/>
          <w:color w:val="000000"/>
          <w:lang w:eastAsia="en-GB"/>
        </w:rPr>
        <w:t xml:space="preserve">; </w:t>
      </w:r>
      <w:r w:rsidRPr="00AA6487">
        <w:rPr>
          <w:rFonts w:ascii="Calibri" w:eastAsia="Times New Roman" w:hAnsi="Calibri" w:cs="Calibri"/>
          <w:color w:val="000000"/>
          <w:lang w:eastAsia="en-GB"/>
        </w:rPr>
        <w:t>Boelen</w:t>
      </w:r>
      <w:r>
        <w:rPr>
          <w:rFonts w:ascii="Calibri" w:eastAsia="Times New Roman" w:hAnsi="Calibri" w:cs="Calibri"/>
          <w:color w:val="000000"/>
          <w:lang w:eastAsia="en-GB"/>
        </w:rPr>
        <w:t>,</w:t>
      </w:r>
      <w:r w:rsidRPr="00AA6487">
        <w:rPr>
          <w:rFonts w:ascii="Calibri" w:eastAsia="Times New Roman" w:hAnsi="Calibri" w:cs="Calibri"/>
          <w:color w:val="000000"/>
          <w:lang w:eastAsia="en-GB"/>
        </w:rPr>
        <w:t xml:space="preserve"> 2019</w:t>
      </w:r>
      <w:r>
        <w:rPr>
          <w:rFonts w:ascii="Calibri" w:eastAsia="Times New Roman" w:hAnsi="Calibri" w:cs="Calibri"/>
          <w:color w:val="000000"/>
          <w:lang w:eastAsia="en-GB"/>
        </w:rPr>
        <w:t xml:space="preserve">; </w:t>
      </w:r>
      <w:r w:rsidRPr="00AA6487">
        <w:rPr>
          <w:rFonts w:ascii="Calibri" w:eastAsia="Times New Roman" w:hAnsi="Calibri" w:cs="Calibri"/>
          <w:color w:val="000000"/>
          <w:lang w:eastAsia="en-GB"/>
        </w:rPr>
        <w:t>Oglesby et al., 2016</w:t>
      </w:r>
      <w:r>
        <w:rPr>
          <w:rFonts w:ascii="Calibri" w:eastAsia="Times New Roman" w:hAnsi="Calibri" w:cs="Calibri"/>
          <w:color w:val="000000"/>
          <w:lang w:eastAsia="en-GB"/>
        </w:rPr>
        <w:t xml:space="preserve">; </w:t>
      </w:r>
      <w:r w:rsidRPr="00AA6487">
        <w:rPr>
          <w:rFonts w:ascii="Calibri" w:eastAsia="Times New Roman" w:hAnsi="Calibri" w:cs="Calibri"/>
          <w:color w:val="000000"/>
          <w:lang w:eastAsia="en-GB"/>
        </w:rPr>
        <w:t>Price et al., 2020</w:t>
      </w:r>
      <w:r>
        <w:rPr>
          <w:rFonts w:ascii="Calibri" w:eastAsia="Times New Roman" w:hAnsi="Calibri" w:cs="Calibri"/>
          <w:color w:val="000000"/>
          <w:lang w:eastAsia="en-GB"/>
        </w:rPr>
        <w:t xml:space="preserve">; </w:t>
      </w:r>
      <w:r w:rsidRPr="00AA6487">
        <w:rPr>
          <w:rFonts w:ascii="Calibri" w:eastAsia="Times New Roman" w:hAnsi="Calibri" w:cs="Calibri"/>
          <w:color w:val="000000"/>
          <w:lang w:eastAsia="en-GB"/>
        </w:rPr>
        <w:t>Zerach &amp; Magal, 2016</w:t>
      </w:r>
      <w:r>
        <w:rPr>
          <w:rFonts w:ascii="Calibri" w:eastAsia="Times New Roman" w:hAnsi="Calibri" w:cs="Calibri"/>
          <w:color w:val="000000"/>
          <w:lang w:eastAsia="en-GB"/>
        </w:rPr>
        <w:t>). All papers that considered correlation between the sub-factors of IU, demonstrated that inhibitory-IU was more closely associated with PTSD than prospective-IU and total-IU, with almost all correlations being significant (</w:t>
      </w:r>
      <w:r w:rsidRPr="003972A9">
        <w:rPr>
          <w:rFonts w:ascii="Calibri" w:eastAsia="Times New Roman" w:hAnsi="Calibri" w:cs="Calibri"/>
          <w:color w:val="000000"/>
          <w:lang w:eastAsia="en-GB"/>
        </w:rPr>
        <w:t>Arbona et al., 2021</w:t>
      </w:r>
      <w:r>
        <w:rPr>
          <w:rFonts w:ascii="Calibri" w:eastAsia="Times New Roman" w:hAnsi="Calibri" w:cs="Calibri"/>
          <w:color w:val="000000"/>
          <w:lang w:eastAsia="en-GB"/>
        </w:rPr>
        <w:t xml:space="preserve">; </w:t>
      </w:r>
      <w:r w:rsidRPr="003972A9">
        <w:rPr>
          <w:rFonts w:ascii="Calibri" w:eastAsia="Times New Roman" w:hAnsi="Calibri" w:cs="Calibri"/>
          <w:color w:val="000000"/>
          <w:lang w:eastAsia="en-GB"/>
        </w:rPr>
        <w:t>Boelen et al., 2016</w:t>
      </w:r>
      <w:r>
        <w:rPr>
          <w:rFonts w:ascii="Calibri" w:eastAsia="Times New Roman" w:hAnsi="Calibri" w:cs="Calibri"/>
          <w:color w:val="000000"/>
          <w:lang w:eastAsia="en-GB"/>
        </w:rPr>
        <w:t xml:space="preserve">, </w:t>
      </w:r>
      <w:r w:rsidRPr="003972A9">
        <w:rPr>
          <w:rFonts w:ascii="Calibri" w:eastAsia="Times New Roman" w:hAnsi="Calibri" w:cs="Calibri"/>
          <w:color w:val="000000"/>
          <w:lang w:eastAsia="en-GB"/>
        </w:rPr>
        <w:t>Boelen</w:t>
      </w:r>
      <w:r>
        <w:rPr>
          <w:rFonts w:ascii="Calibri" w:eastAsia="Times New Roman" w:hAnsi="Calibri" w:cs="Calibri"/>
          <w:color w:val="000000"/>
          <w:lang w:eastAsia="en-GB"/>
        </w:rPr>
        <w:t>,</w:t>
      </w:r>
      <w:r w:rsidRPr="003972A9">
        <w:rPr>
          <w:rFonts w:ascii="Calibri" w:eastAsia="Times New Roman" w:hAnsi="Calibri" w:cs="Calibri"/>
          <w:color w:val="000000"/>
          <w:lang w:eastAsia="en-GB"/>
        </w:rPr>
        <w:t xml:space="preserve"> 2019</w:t>
      </w:r>
      <w:r>
        <w:rPr>
          <w:rFonts w:ascii="Calibri" w:eastAsia="Times New Roman" w:hAnsi="Calibri" w:cs="Calibri"/>
          <w:color w:val="000000"/>
          <w:lang w:eastAsia="en-GB"/>
        </w:rPr>
        <w:t xml:space="preserve">; </w:t>
      </w:r>
      <w:r w:rsidRPr="003972A9">
        <w:rPr>
          <w:rFonts w:ascii="Calibri" w:eastAsia="Times New Roman" w:hAnsi="Calibri" w:cs="Calibri"/>
          <w:color w:val="000000"/>
          <w:lang w:eastAsia="en-GB"/>
        </w:rPr>
        <w:t>Fetzner et al., 2013</w:t>
      </w:r>
      <w:r>
        <w:rPr>
          <w:rFonts w:ascii="Calibri" w:eastAsia="Times New Roman" w:hAnsi="Calibri" w:cs="Calibri"/>
          <w:color w:val="000000"/>
          <w:lang w:eastAsia="en-GB"/>
        </w:rPr>
        <w:t xml:space="preserve">; </w:t>
      </w:r>
      <w:r w:rsidRPr="003972A9">
        <w:rPr>
          <w:rFonts w:ascii="Calibri" w:eastAsia="Times New Roman" w:hAnsi="Calibri" w:cs="Calibri"/>
          <w:color w:val="000000"/>
          <w:lang w:eastAsia="en-GB"/>
        </w:rPr>
        <w:t>Penney et al., 2020</w:t>
      </w:r>
      <w:r>
        <w:rPr>
          <w:rFonts w:ascii="Calibri" w:eastAsia="Times New Roman" w:hAnsi="Calibri" w:cs="Calibri"/>
          <w:color w:val="000000"/>
          <w:lang w:eastAsia="en-GB"/>
        </w:rPr>
        <w:t xml:space="preserve">; </w:t>
      </w:r>
      <w:r w:rsidRPr="003972A9">
        <w:rPr>
          <w:rFonts w:ascii="Calibri" w:eastAsia="Times New Roman" w:hAnsi="Calibri" w:cs="Calibri"/>
          <w:color w:val="000000"/>
          <w:lang w:eastAsia="en-GB"/>
        </w:rPr>
        <w:t>Zerach &amp; Magal, 2016</w:t>
      </w:r>
      <w:r>
        <w:rPr>
          <w:rFonts w:ascii="Calibri" w:eastAsia="Times New Roman" w:hAnsi="Calibri" w:cs="Calibri"/>
          <w:color w:val="000000"/>
          <w:lang w:eastAsia="en-GB"/>
        </w:rPr>
        <w:t>). The only exception was that prospective IU was not significantly correlated with PTSS avoidance in Boelen’s (2019) paper.</w:t>
      </w:r>
    </w:p>
    <w:p w14:paraId="2C4BDD4F" w14:textId="77777777" w:rsidR="005B760F" w:rsidRPr="006E55F9" w:rsidRDefault="005B760F" w:rsidP="00A53770">
      <w:pPr>
        <w:pStyle w:val="Heading2"/>
        <w:rPr>
          <w:rFonts w:eastAsia="Times New Roman"/>
          <w:lang w:eastAsia="en-GB"/>
        </w:rPr>
      </w:pPr>
      <w:bookmarkStart w:id="112" w:name="_Toc133141526"/>
      <w:bookmarkStart w:id="113" w:name="_Toc133144184"/>
      <w:bookmarkStart w:id="114" w:name="_Toc133487799"/>
      <w:r w:rsidRPr="006E55F9">
        <w:rPr>
          <w:rFonts w:eastAsia="Times New Roman"/>
          <w:lang w:eastAsia="en-GB"/>
        </w:rPr>
        <w:t>Regression analyses – IU as a predictor of PTS</w:t>
      </w:r>
      <w:r>
        <w:rPr>
          <w:rFonts w:eastAsia="Times New Roman"/>
          <w:lang w:eastAsia="en-GB"/>
        </w:rPr>
        <w:t>S</w:t>
      </w:r>
      <w:r w:rsidRPr="006E55F9">
        <w:rPr>
          <w:rFonts w:eastAsia="Times New Roman"/>
          <w:lang w:eastAsia="en-GB"/>
        </w:rPr>
        <w:t xml:space="preserve"> in cross-sectional studies</w:t>
      </w:r>
      <w:bookmarkEnd w:id="112"/>
      <w:bookmarkEnd w:id="113"/>
      <w:bookmarkEnd w:id="114"/>
    </w:p>
    <w:p w14:paraId="7575E11C" w14:textId="77777777" w:rsidR="005B760F" w:rsidRDefault="005B760F" w:rsidP="004F5221">
      <w:pPr>
        <w:spacing w:line="360" w:lineRule="auto"/>
        <w:ind w:firstLine="720"/>
        <w:jc w:val="both"/>
        <w:rPr>
          <w:rFonts w:ascii="Calibri" w:eastAsia="Times New Roman" w:hAnsi="Calibri" w:cs="Calibri"/>
          <w:color w:val="000000"/>
          <w:lang w:eastAsia="en-GB"/>
        </w:rPr>
      </w:pPr>
      <w:r>
        <w:rPr>
          <w:rFonts w:ascii="Calibri" w:eastAsia="Times New Roman" w:hAnsi="Calibri" w:cs="Calibri"/>
          <w:color w:val="000000"/>
          <w:lang w:eastAsia="en-GB"/>
        </w:rPr>
        <w:t>Nine papers focused on cross-sectional regression analyses of the predictive role of IU on PTSS. Seven of these papers demonstrated a predictive relationship, at least for certain subscales (Arbona et al., 2020; Boelen, 2010;</w:t>
      </w:r>
      <w:r w:rsidRPr="006B381E">
        <w:rPr>
          <w:rFonts w:ascii="Calibri" w:eastAsia="Times New Roman" w:hAnsi="Calibri" w:cs="Calibri"/>
          <w:color w:val="000000"/>
          <w:lang w:eastAsia="en-GB"/>
        </w:rPr>
        <w:t xml:space="preserve"> </w:t>
      </w:r>
      <w:r>
        <w:rPr>
          <w:rFonts w:ascii="Calibri" w:eastAsia="Times New Roman" w:hAnsi="Calibri" w:cs="Calibri"/>
          <w:color w:val="000000"/>
          <w:lang w:eastAsia="en-GB"/>
        </w:rPr>
        <w:t>Clarke et al., 2021; Fetzner et al., 2013; O’Brien et al., 2021; Roberts et al., 2020; Shapiro et al. 2022). Two found no significant predictive relationship (Bardeen et al., 2012; Penney et al., 2020).</w:t>
      </w:r>
    </w:p>
    <w:p w14:paraId="4649DEF7" w14:textId="77777777" w:rsidR="005B760F" w:rsidRDefault="005B760F" w:rsidP="00A53770">
      <w:pPr>
        <w:pStyle w:val="Heading2"/>
        <w:rPr>
          <w:rFonts w:eastAsia="Times New Roman"/>
          <w:lang w:eastAsia="en-GB"/>
        </w:rPr>
      </w:pPr>
      <w:bookmarkStart w:id="115" w:name="_Toc133141527"/>
      <w:bookmarkStart w:id="116" w:name="_Toc133144185"/>
      <w:bookmarkStart w:id="117" w:name="_Toc133487800"/>
      <w:r w:rsidRPr="006A59DF">
        <w:rPr>
          <w:rFonts w:eastAsia="Times New Roman"/>
          <w:lang w:eastAsia="en-GB"/>
        </w:rPr>
        <w:t>Regression anal</w:t>
      </w:r>
      <w:r>
        <w:rPr>
          <w:rFonts w:eastAsia="Times New Roman"/>
          <w:lang w:eastAsia="en-GB"/>
        </w:rPr>
        <w:t>yses – IU as a predictor of PTSS</w:t>
      </w:r>
      <w:r w:rsidRPr="006A59DF">
        <w:rPr>
          <w:rFonts w:eastAsia="Times New Roman"/>
          <w:lang w:eastAsia="en-GB"/>
        </w:rPr>
        <w:t xml:space="preserve"> in prospective studies</w:t>
      </w:r>
      <w:bookmarkEnd w:id="115"/>
      <w:bookmarkEnd w:id="116"/>
      <w:bookmarkEnd w:id="117"/>
    </w:p>
    <w:p w14:paraId="1AFB83DF" w14:textId="77777777" w:rsidR="005B760F" w:rsidRPr="00084C7F" w:rsidRDefault="005B760F" w:rsidP="004F5221">
      <w:pPr>
        <w:spacing w:line="360" w:lineRule="auto"/>
        <w:ind w:firstLine="720"/>
        <w:jc w:val="both"/>
        <w:rPr>
          <w:rFonts w:ascii="Calibri" w:eastAsia="Times New Roman" w:hAnsi="Calibri" w:cs="Calibri"/>
          <w:color w:val="000000"/>
          <w:lang w:eastAsia="en-GB"/>
        </w:rPr>
      </w:pPr>
      <w:r>
        <w:rPr>
          <w:rFonts w:ascii="Calibri" w:eastAsia="Times New Roman" w:hAnsi="Calibri" w:cs="Calibri"/>
          <w:color w:val="000000"/>
          <w:lang w:eastAsia="en-GB"/>
        </w:rPr>
        <w:t>Two out of five prospective studies found a predictive relationship of IU on PTSS (Boelen, 2019; Oglesby et al., 2016). Three prospective studies found no significant predictive relationship (Boelen et al. 2016; Price et al., 2020; Zerach &amp; Magal, 2016).</w:t>
      </w:r>
    </w:p>
    <w:p w14:paraId="3DFEC932" w14:textId="77777777" w:rsidR="005B760F" w:rsidRDefault="005B760F" w:rsidP="00A53770">
      <w:pPr>
        <w:pStyle w:val="Heading2"/>
        <w:rPr>
          <w:rFonts w:eastAsia="Times New Roman"/>
          <w:lang w:eastAsia="en-GB"/>
        </w:rPr>
      </w:pPr>
      <w:bookmarkStart w:id="118" w:name="_Toc133141528"/>
      <w:bookmarkStart w:id="119" w:name="_Toc133144186"/>
      <w:bookmarkStart w:id="120" w:name="_Toc133487801"/>
      <w:r>
        <w:rPr>
          <w:rFonts w:eastAsia="Times New Roman"/>
          <w:lang w:eastAsia="en-GB"/>
        </w:rPr>
        <w:t>Non-regression</w:t>
      </w:r>
      <w:r w:rsidRPr="00722E06">
        <w:rPr>
          <w:rFonts w:eastAsia="Times New Roman"/>
          <w:lang w:eastAsia="en-GB"/>
        </w:rPr>
        <w:t xml:space="preserve"> Analyses</w:t>
      </w:r>
      <w:bookmarkEnd w:id="118"/>
      <w:bookmarkEnd w:id="119"/>
      <w:bookmarkEnd w:id="120"/>
    </w:p>
    <w:p w14:paraId="72794C11" w14:textId="77777777" w:rsidR="005B760F" w:rsidRPr="002F7850" w:rsidRDefault="005B760F" w:rsidP="004F5221">
      <w:pPr>
        <w:spacing w:line="360" w:lineRule="auto"/>
        <w:ind w:firstLine="720"/>
        <w:jc w:val="both"/>
        <w:rPr>
          <w:rFonts w:ascii="Calibri" w:eastAsia="Times New Roman" w:hAnsi="Calibri" w:cs="Calibri"/>
          <w:color w:val="000000"/>
          <w:lang w:eastAsia="en-GB"/>
        </w:rPr>
      </w:pPr>
      <w:r>
        <w:rPr>
          <w:rFonts w:ascii="Calibri" w:eastAsia="Times New Roman" w:hAnsi="Calibri" w:cs="Calibri"/>
          <w:color w:val="000000"/>
          <w:lang w:eastAsia="en-GB"/>
        </w:rPr>
        <w:t>Two studies involved structural equation modelling. One produced a model in which IU contributed to PTSS (Vazquez et al. 2021) and one found that it did not (Kreminski et al., 2021). One study used discriminant function analysis and found IU to help discriminate between PTSS and non-PTSS groups (Taylor et al. 2007).</w:t>
      </w:r>
    </w:p>
    <w:p w14:paraId="32681E44" w14:textId="77777777" w:rsidR="005B760F" w:rsidRPr="00886225" w:rsidRDefault="005B760F" w:rsidP="00A53770">
      <w:pPr>
        <w:pStyle w:val="Heading2"/>
        <w:rPr>
          <w:rFonts w:eastAsia="Times New Roman"/>
          <w:lang w:eastAsia="en-GB"/>
        </w:rPr>
      </w:pPr>
      <w:bookmarkStart w:id="121" w:name="_Toc133141529"/>
      <w:bookmarkStart w:id="122" w:name="_Toc133144187"/>
      <w:bookmarkStart w:id="123" w:name="_Toc133487802"/>
      <w:r>
        <w:rPr>
          <w:rFonts w:eastAsia="Times New Roman"/>
          <w:lang w:eastAsia="en-GB"/>
        </w:rPr>
        <w:lastRenderedPageBreak/>
        <w:t>Sub-factors</w:t>
      </w:r>
      <w:bookmarkEnd w:id="121"/>
      <w:bookmarkEnd w:id="122"/>
      <w:bookmarkEnd w:id="123"/>
    </w:p>
    <w:p w14:paraId="5F5DD45E" w14:textId="77777777" w:rsidR="005B760F" w:rsidRDefault="005B760F" w:rsidP="004F5221">
      <w:pPr>
        <w:spacing w:line="360" w:lineRule="auto"/>
        <w:ind w:firstLine="720"/>
        <w:jc w:val="both"/>
        <w:rPr>
          <w:rFonts w:ascii="Calibri" w:eastAsia="Times New Roman" w:hAnsi="Calibri" w:cs="Calibri"/>
          <w:color w:val="000000"/>
          <w:lang w:eastAsia="en-GB"/>
        </w:rPr>
      </w:pPr>
      <w:r>
        <w:t xml:space="preserve">Of the 14 studies reporting correlation, six considered the prospective and inhibitory sub-factors of IU and found both to be significantly associated with PTSS, with inhibitory being more strongly so. Regression analyses found that only inhibitory IU and not prospective IU predicted PTSS scores (Arbona et al., 2020; Boelen et al., 2016 &amp; 2019; </w:t>
      </w:r>
      <w:r>
        <w:rPr>
          <w:rFonts w:ascii="Calibri" w:eastAsia="Times New Roman" w:hAnsi="Calibri" w:cs="Calibri"/>
          <w:color w:val="000000"/>
          <w:lang w:eastAsia="en-GB"/>
        </w:rPr>
        <w:t xml:space="preserve">Fetzner et al., 2013). </w:t>
      </w:r>
    </w:p>
    <w:p w14:paraId="2DA906CC" w14:textId="77777777" w:rsidR="005B760F" w:rsidRPr="00C65A03" w:rsidRDefault="005B760F" w:rsidP="004F5221">
      <w:pPr>
        <w:spacing w:line="360" w:lineRule="auto"/>
        <w:ind w:firstLine="720"/>
        <w:jc w:val="both"/>
        <w:rPr>
          <w:rFonts w:ascii="Calibri" w:eastAsia="Times New Roman" w:hAnsi="Calibri" w:cs="Calibri"/>
          <w:color w:val="000000"/>
          <w:lang w:eastAsia="en-GB"/>
        </w:rPr>
      </w:pPr>
      <w:r>
        <w:rPr>
          <w:rFonts w:ascii="Calibri" w:eastAsia="Times New Roman" w:hAnsi="Calibri" w:cs="Calibri"/>
          <w:color w:val="000000"/>
          <w:lang w:eastAsia="en-GB"/>
        </w:rPr>
        <w:t xml:space="preserve">Five studies found a significant relationship between IU and PTSD subscales. Four of these papers were cross-sectional and one (Oglesby; 2016) was prospective. IU predicted arousal in four studies </w:t>
      </w:r>
      <w:r>
        <w:t xml:space="preserve">(Arbona 2020; Boelen et al., 2019; </w:t>
      </w:r>
      <w:r>
        <w:rPr>
          <w:rFonts w:ascii="Calibri" w:eastAsia="Times New Roman" w:hAnsi="Calibri" w:cs="Calibri"/>
          <w:color w:val="000000"/>
          <w:lang w:eastAsia="en-GB"/>
        </w:rPr>
        <w:t xml:space="preserve">Fetzner et al., 2013; Oglesby et al., 2016). IU predicted avoidance in two studies </w:t>
      </w:r>
      <w:r>
        <w:t xml:space="preserve">(Boelen et al., 2019; </w:t>
      </w:r>
      <w:r>
        <w:rPr>
          <w:rFonts w:ascii="Calibri" w:eastAsia="Times New Roman" w:hAnsi="Calibri" w:cs="Calibri"/>
          <w:color w:val="000000"/>
          <w:lang w:eastAsia="en-GB"/>
        </w:rPr>
        <w:t>Fetzner et al., 2013). IU did not predict avoidance in two studies (Arbona et al., 2020; Oglesby et al., 2016). IU predicted numbing in one study (Fetzner et al., 2013) and the DSM-5 equivalent of negative alterations in mood and cognition in one further study (Arbona et al., 2002). IU did not predict emotional numbing in one study (Oglesby et al., 2016). IU did not predict re-experiencing in three studies (</w:t>
      </w:r>
      <w:r>
        <w:t xml:space="preserve">Arbona et al., 2020; Boelen et al., 2019; </w:t>
      </w:r>
      <w:r>
        <w:rPr>
          <w:rFonts w:ascii="Calibri" w:eastAsia="Times New Roman" w:hAnsi="Calibri" w:cs="Calibri"/>
          <w:color w:val="000000"/>
          <w:lang w:eastAsia="en-GB"/>
        </w:rPr>
        <w:t>Fetzner et al., 2013). IU did predict re-experiencing in one study (Oglesby et al., 2016). These tallies did not include results from Shapiro et al.’s (2022) paper, which included separate analyses for sexual and non-sexual trauma groups. Sexual trauma group regression showed IU significantly predicted avoidance, negative alterations in cognitions and mood, and arousal but not re-experiencing. The non-sexual trauma group regression demonstrated that IU was only significant for arousal. Considering these results together, the evidence-base points towards IU having the strongest relationship with arousal, followed by avoidance and negative alterations in mood and cognition. IU does not appear to have a strong predictive relationship with re-experiencing.</w:t>
      </w:r>
      <w:r>
        <w:rPr>
          <w:rFonts w:ascii="Calibri" w:eastAsia="Times New Roman" w:hAnsi="Calibri" w:cs="Times New Roman"/>
          <w:color w:val="000000"/>
          <w:lang w:eastAsia="en-GB"/>
        </w:rPr>
        <w:tab/>
      </w:r>
    </w:p>
    <w:p w14:paraId="4876821F" w14:textId="77777777" w:rsidR="005B760F" w:rsidRDefault="005B760F" w:rsidP="00027769">
      <w:pPr>
        <w:pStyle w:val="Heading1"/>
      </w:pPr>
      <w:bookmarkStart w:id="124" w:name="_Toc133487803"/>
      <w:r>
        <w:t>Discussion</w:t>
      </w:r>
      <w:bookmarkEnd w:id="124"/>
    </w:p>
    <w:p w14:paraId="056ABA14" w14:textId="77777777" w:rsidR="005B760F" w:rsidRDefault="005B760F" w:rsidP="004F5221">
      <w:pPr>
        <w:spacing w:line="360" w:lineRule="auto"/>
        <w:ind w:firstLine="720"/>
        <w:jc w:val="both"/>
      </w:pPr>
      <w:r>
        <w:t xml:space="preserve">This paper involved the systematic identification, critical appraisal, and review of 17 papers that consider the potential association between IU and PTSS. Critical appraisal suggests that the overall quality of papers was of a high standard with no papers suggesting irreconcilably flawed methodology or reporting. Results suggest good evidence for a correlational relationship between IU and PTSS with fourteen of fourteen papers directly considering correlations, finding these to be significant. Nine out of 12 (75%) cross-sectional studies found IU to contribute significantly to regression analyses with PTSS as an outcome, or to contribute significantly to models of PTSS, or to discriminate between PTSS and non-PTSS groups. Only two out of five (40%) papers that involved longitudinal designs found pre-event IU to predict post-event PTSS in regression analysis. </w:t>
      </w:r>
    </w:p>
    <w:p w14:paraId="6A714A6F" w14:textId="77777777" w:rsidR="005B760F" w:rsidRDefault="005B760F" w:rsidP="004F5221">
      <w:pPr>
        <w:spacing w:line="360" w:lineRule="auto"/>
        <w:ind w:firstLine="720"/>
        <w:jc w:val="both"/>
      </w:pPr>
      <w:r>
        <w:t xml:space="preserve">For those studies that considered the two subscales of IU, prospective correlated with but never predicted PTSS, whereas inhibitory could be seen to do both. It is not exactly clear why inhibitory </w:t>
      </w:r>
      <w:r>
        <w:lastRenderedPageBreak/>
        <w:t xml:space="preserve">IU might be more relevant to PTSS. Cognitive behavioural models of PTSD, emphasize the role of cognitive, emotional, and behavioural avoidance in maintaining symptoms </w:t>
      </w:r>
      <w:r w:rsidRPr="00835688">
        <w:t>(</w:t>
      </w:r>
      <w:r w:rsidRPr="005D07DA">
        <w:t>Badour et al., 2012</w:t>
      </w:r>
      <w:r>
        <w:t xml:space="preserve">; </w:t>
      </w:r>
      <w:r w:rsidRPr="00835688">
        <w:t>Ehlers &amp; Clark, 2000)</w:t>
      </w:r>
      <w:r>
        <w:t>. Inhibitory IU could contribute to avoidance, particularly of the uncertainty relating to novel experience following a traumatic event. Interestingly, Raines et al. (</w:t>
      </w:r>
      <w:r w:rsidRPr="007842F4">
        <w:t>2019)</w:t>
      </w:r>
      <w:r>
        <w:t xml:space="preserve"> found that in a veteran sample considering exposure to military trauma, prospective IU was more strongly associated with PTSS. Badawi et al. (2021) found that in a clinical sample with first-responder, military, and occupational injury backgrounds, during a course of trauma informed psychological intervention, decreases in total and inhibitory IU were associated with decreases in each PTSD subscale. They found that prospective IU was also associated with decreases in avoidance, arousal, and re-experiencing. This review included a wide variety of trauma exposure but clinical and veteran samples were not included. It is possible that there could be differences in IU, PTSS relationships across populations.</w:t>
      </w:r>
    </w:p>
    <w:p w14:paraId="174174DF" w14:textId="77777777" w:rsidR="005B760F" w:rsidRDefault="005B760F" w:rsidP="004F5221">
      <w:pPr>
        <w:spacing w:line="360" w:lineRule="auto"/>
        <w:ind w:firstLine="720"/>
        <w:jc w:val="both"/>
      </w:pPr>
      <w:r>
        <w:t xml:space="preserve">Five studies found significant regression relationships between IU and specific PTSD subscales. These pointed towards IU explaining the most variance in PTSD arousal and avoidance, less in negative changes in cognition and mood and none in re-experiencing. Theoretically, higher IU could contribute to hypervigilance in attempting to reduce ambiguity, which might explain the link to arousal. High arousal has been associated with poorer outcomes and is therefore a primary area of interest for treatment development </w:t>
      </w:r>
      <w:r w:rsidRPr="00D718ED">
        <w:t>(Marshall et al., 2006)</w:t>
      </w:r>
      <w:r>
        <w:t xml:space="preserve">. The adaptive information processing (AIP) model which underpins Eye-Movement Desensitisation and Reprocessing (EMDR) therapy for PTSD, emphasizes the role of dysfunctional memory storage which can trigger arousal responses in contexts reminiscent of trauma or threat </w:t>
      </w:r>
      <w:r w:rsidRPr="002E7D9A">
        <w:t>(Shapiro &amp; Laliotis, 2010)</w:t>
      </w:r>
      <w:r>
        <w:t>. IU contributes to ambiguous circumstances being interpreted as threatening (</w:t>
      </w:r>
      <w:r w:rsidRPr="00A03D01">
        <w:t>Dugas et al., 2005</w:t>
      </w:r>
      <w:r>
        <w:t>). It is possible that IU could lower the threshold for interpreting experiences as threatening, thus increasing arousal. Inhibitory IU could exacerbate avoidance of these contexts. Furthermore, if higher IU leads to a bias in recalling memories as more ambiguous, this may justify avoidance of a wider variety of situations (</w:t>
      </w:r>
      <w:r w:rsidRPr="00A03D01">
        <w:t>Dugas et al., 2005</w:t>
      </w:r>
      <w:r>
        <w:t xml:space="preserve">). Overall, a combination of hypervigilance and avoidance could be assumed to deplete cognitive and emotional resources and coping. IU targeted therapy for GAD has been established and shows promising outcomes </w:t>
      </w:r>
      <w:r w:rsidRPr="00A45DA6">
        <w:t>(Hebert &amp; Dugas, 2018)</w:t>
      </w:r>
      <w:r>
        <w:t xml:space="preserve">. Evidence from studies in this review could contribute to tailoring this therapy to PTSD treatment, with a focus on hypervigilance, avoidance management, and reinterpreting or processing ambiguous memories. </w:t>
      </w:r>
    </w:p>
    <w:p w14:paraId="452D3BBE" w14:textId="77777777" w:rsidR="005B760F" w:rsidRDefault="005B760F" w:rsidP="00A53770">
      <w:pPr>
        <w:pStyle w:val="Heading2"/>
      </w:pPr>
      <w:bookmarkStart w:id="125" w:name="_Toc133141531"/>
      <w:bookmarkStart w:id="126" w:name="_Toc133144189"/>
      <w:bookmarkStart w:id="127" w:name="_Toc133487804"/>
      <w:r>
        <w:t>Limitations of current studies and review</w:t>
      </w:r>
      <w:bookmarkEnd w:id="125"/>
      <w:bookmarkEnd w:id="126"/>
      <w:bookmarkEnd w:id="127"/>
    </w:p>
    <w:p w14:paraId="7359D2B8" w14:textId="77777777" w:rsidR="005B760F" w:rsidRDefault="005B760F" w:rsidP="004F5221">
      <w:pPr>
        <w:spacing w:line="360" w:lineRule="auto"/>
        <w:ind w:firstLine="720"/>
        <w:jc w:val="both"/>
      </w:pPr>
      <w:r>
        <w:t xml:space="preserve">The majority of studies involved cross-sectional designs, using online recruitment. Cross-sectional studies do not allow for the inference of cause and effect between variables. Furthermore, all studies considered in this review were observational in design. </w:t>
      </w:r>
    </w:p>
    <w:p w14:paraId="57F5CFDC" w14:textId="77777777" w:rsidR="005B760F" w:rsidRDefault="005B760F" w:rsidP="004F5221">
      <w:pPr>
        <w:spacing w:line="360" w:lineRule="auto"/>
        <w:ind w:firstLine="720"/>
        <w:jc w:val="both"/>
      </w:pPr>
      <w:r>
        <w:lastRenderedPageBreak/>
        <w:t xml:space="preserve">A shared flaw between included studies and the overall review is the degree of heterogeneity in samples. General population, non-clinical, non-occupational-trauma studies were chosen to reduce variance, however, a broad sample remained. </w:t>
      </w:r>
    </w:p>
    <w:p w14:paraId="0C33FDDF" w14:textId="77777777" w:rsidR="005B760F" w:rsidRDefault="005B760F" w:rsidP="004F5221">
      <w:pPr>
        <w:spacing w:line="360" w:lineRule="auto"/>
        <w:ind w:firstLine="720"/>
        <w:jc w:val="both"/>
      </w:pPr>
      <w:r>
        <w:t xml:space="preserve">One area of difference across samples was the definition of trauma event, with some studies using PTSD criteria, others considering exposure to negative but not strictly traumatic events, and some not selecting based on trauma type. Research into factors associated with development of PTSS must take into account a broad range of potentially influencing variables </w:t>
      </w:r>
      <w:r w:rsidRPr="00032A37">
        <w:t>(Taylor, 2017)</w:t>
      </w:r>
      <w:r>
        <w:t xml:space="preserve">. Characteristics of trauma experience have been shown to play a role in the development and potential maintenance of PTSS </w:t>
      </w:r>
      <w:r w:rsidRPr="00032A37">
        <w:t>(Dunmore et al., 2001</w:t>
      </w:r>
      <w:r>
        <w:t xml:space="preserve"> &amp; </w:t>
      </w:r>
      <w:r w:rsidRPr="000A091D">
        <w:t>Galea et al., 2005)</w:t>
      </w:r>
      <w:r>
        <w:t>. Within studies Fetzner et al. (2013), for example, found minimal difference in the IU, PTSD relationship between participants meeting DSM trauma criteria and those with social traumas (e.g. being ridiculed). Nevertheless, Shapiro et al., (2022) did find significant differences between a sexual and non-sexual trauma group. Considering the limited amount of research in the area, it is not yet possible to say whether IU might preferentially effect PTSS development following certain types of trauma.</w:t>
      </w:r>
    </w:p>
    <w:p w14:paraId="419F0A69" w14:textId="77777777" w:rsidR="005B760F" w:rsidRDefault="005B760F" w:rsidP="004F5221">
      <w:pPr>
        <w:spacing w:line="360" w:lineRule="auto"/>
        <w:ind w:firstLine="720"/>
        <w:jc w:val="both"/>
      </w:pPr>
      <w:r>
        <w:t>A second area of difference across studies was the range of associated variables considered in analytical models. Results were not always consistent in regard to IU’s covariance. Using the example of anxiety sensitivity, Oglesby et al. (2016) found this to be a weaker predictor than IU, whilst Kreminski et al. (2021) found that in their model neither predicted PTSS severity, whilst anxiety sensitivity did have an indirect effect as a mediator through negative affect. Within this review, the differences in measures used to assess the same constructs may have exaggerated differences. Eight different PTSS and two different IU measures were used across studies.</w:t>
      </w:r>
    </w:p>
    <w:p w14:paraId="0D5F330B" w14:textId="77777777" w:rsidR="005B760F" w:rsidRDefault="005B760F" w:rsidP="004F5221">
      <w:pPr>
        <w:spacing w:line="360" w:lineRule="auto"/>
        <w:ind w:firstLine="720"/>
        <w:jc w:val="both"/>
      </w:pPr>
      <w:r>
        <w:t>Future research would be beneficial to address these limitations. More longitudinal research is needed to assess causation. As the literature develops, reviews focusing on specific trauma types and reviews amalgamating these will be valuable. Studies could aim to include more diversity of demographics, particularly in relation to gender and ethnicity. Further consideration of associated variables, along with those which may mediate or be mediated by IU will be important to more fully understand how PTSD is developed and maintained. Studies monitoring PTSD interventions addressing IU would directly demonstrate the potential clinical relevance of this topic.</w:t>
      </w:r>
      <w:r w:rsidRPr="00080A32">
        <w:t xml:space="preserve"> </w:t>
      </w:r>
      <w:r>
        <w:t>Considering the relatively limited evidence, it is important to consider alternative explanations for the results in the study, for example, PTSS could be predicting IU, or that there is a bi-directional relationship between the two constructs.</w:t>
      </w:r>
    </w:p>
    <w:p w14:paraId="1835D8C2" w14:textId="77777777" w:rsidR="005B760F" w:rsidRDefault="005B760F" w:rsidP="00A53770">
      <w:pPr>
        <w:pStyle w:val="Heading2"/>
      </w:pPr>
      <w:bookmarkStart w:id="128" w:name="_Toc133141532"/>
      <w:bookmarkStart w:id="129" w:name="_Toc133144190"/>
      <w:bookmarkStart w:id="130" w:name="_Toc133487805"/>
      <w:r>
        <w:lastRenderedPageBreak/>
        <w:t>Conclusion</w:t>
      </w:r>
      <w:bookmarkEnd w:id="128"/>
      <w:bookmarkEnd w:id="129"/>
      <w:bookmarkEnd w:id="130"/>
    </w:p>
    <w:p w14:paraId="0A8A997B" w14:textId="1085B95B" w:rsidR="00837560" w:rsidRDefault="005B760F" w:rsidP="004F5221">
      <w:pPr>
        <w:spacing w:line="360" w:lineRule="auto"/>
        <w:ind w:firstLine="720"/>
        <w:jc w:val="both"/>
      </w:pPr>
      <w:r>
        <w:t>The aim of this review has been to establish whether research suggests that IU is an associated and/or predictive factor for the development of PTSS and PTSD.  The included studies were of a high quality. There were mixed outcomes regarding the main questions. Overall, evidence suggests that IU is associated with PTSS at the correlational level. Models demonstrated that IU can act as a significant predictor of PTSS both in cross-sectional and longitudinal designs; however this was not always found to be true. Therefore, more research is needed to identify when and how IU can influence PTSD development and maintenance. This is important to better understand PTSD and develop targeted treatment for those living with trauma related stress s</w:t>
      </w:r>
      <w:r w:rsidR="008933A6">
        <w:t xml:space="preserve">ymptoms. </w:t>
      </w:r>
    </w:p>
    <w:p w14:paraId="022EB5AA" w14:textId="77777777" w:rsidR="00837560" w:rsidRDefault="00837560" w:rsidP="00436994">
      <w:pPr>
        <w:spacing w:line="480" w:lineRule="auto"/>
      </w:pPr>
    </w:p>
    <w:p w14:paraId="54FBF427" w14:textId="77777777" w:rsidR="00436994" w:rsidRDefault="00436994" w:rsidP="00436994">
      <w:pPr>
        <w:spacing w:line="480" w:lineRule="auto"/>
      </w:pPr>
    </w:p>
    <w:p w14:paraId="60D25B41" w14:textId="77777777" w:rsidR="00436994" w:rsidRDefault="00436994" w:rsidP="00436994">
      <w:pPr>
        <w:spacing w:line="480" w:lineRule="auto"/>
      </w:pPr>
    </w:p>
    <w:p w14:paraId="68C2EF2E" w14:textId="77777777" w:rsidR="004F5221" w:rsidRDefault="004F5221">
      <w:pPr>
        <w:rPr>
          <w:rFonts w:eastAsiaTheme="majorEastAsia" w:cstheme="minorHAnsi"/>
          <w:b/>
        </w:rPr>
      </w:pPr>
      <w:r>
        <w:br w:type="page"/>
      </w:r>
    </w:p>
    <w:p w14:paraId="0103AA5A" w14:textId="0B4B748D" w:rsidR="005B760F" w:rsidRDefault="005B760F" w:rsidP="00027769">
      <w:pPr>
        <w:pStyle w:val="Heading1"/>
      </w:pPr>
      <w:bookmarkStart w:id="131" w:name="_Toc133487806"/>
      <w:r>
        <w:lastRenderedPageBreak/>
        <w:t>References</w:t>
      </w:r>
      <w:bookmarkEnd w:id="131"/>
    </w:p>
    <w:p w14:paraId="2E6F6445"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color w:val="333333"/>
          <w:sz w:val="22"/>
          <w:szCs w:val="22"/>
          <w:shd w:val="clear" w:color="auto" w:fill="FFFFFF"/>
        </w:rPr>
      </w:pPr>
      <w:r w:rsidRPr="004F5221">
        <w:rPr>
          <w:rFonts w:asciiTheme="minorHAnsi" w:hAnsiTheme="minorHAnsi" w:cstheme="minorHAnsi"/>
          <w:color w:val="333333"/>
          <w:sz w:val="22"/>
          <w:szCs w:val="22"/>
          <w:shd w:val="clear" w:color="auto" w:fill="FFFFFF"/>
        </w:rPr>
        <w:t>American Psychiatric Association. (2013). </w:t>
      </w:r>
      <w:r w:rsidRPr="004F5221">
        <w:rPr>
          <w:rStyle w:val="Emphasis"/>
          <w:rFonts w:asciiTheme="minorHAnsi" w:eastAsiaTheme="majorEastAsia" w:hAnsiTheme="minorHAnsi" w:cstheme="minorHAnsi"/>
          <w:color w:val="333333"/>
          <w:sz w:val="22"/>
          <w:szCs w:val="22"/>
          <w:shd w:val="clear" w:color="auto" w:fill="FFFFFF"/>
        </w:rPr>
        <w:t>Diagnostic and statistical manual of mental disorders</w:t>
      </w:r>
      <w:r w:rsidRPr="004F5221">
        <w:rPr>
          <w:rFonts w:asciiTheme="minorHAnsi" w:hAnsiTheme="minorHAnsi" w:cstheme="minorHAnsi"/>
          <w:color w:val="333333"/>
          <w:sz w:val="22"/>
          <w:szCs w:val="22"/>
          <w:shd w:val="clear" w:color="auto" w:fill="FFFFFF"/>
        </w:rPr>
        <w:t xml:space="preserve"> (5th ed.). </w:t>
      </w:r>
      <w:hyperlink r:id="rId18" w:history="1">
        <w:r w:rsidRPr="004F5221">
          <w:rPr>
            <w:rStyle w:val="Hyperlink"/>
            <w:rFonts w:asciiTheme="minorHAnsi" w:eastAsiaTheme="majorEastAsia" w:hAnsiTheme="minorHAnsi" w:cstheme="minorHAnsi"/>
            <w:sz w:val="22"/>
            <w:szCs w:val="22"/>
            <w:shd w:val="clear" w:color="auto" w:fill="FFFFFF"/>
          </w:rPr>
          <w:t>https://doi.org/10.1176/appi.books.9780890425596</w:t>
        </w:r>
      </w:hyperlink>
    </w:p>
    <w:p w14:paraId="026671E9" w14:textId="77777777" w:rsidR="001435E1" w:rsidRPr="004F5221" w:rsidRDefault="005B760F" w:rsidP="004F5221">
      <w:pPr>
        <w:pStyle w:val="NormalWeb"/>
        <w:spacing w:before="0" w:beforeAutospacing="0" w:after="0" w:afterAutospacing="0" w:line="360" w:lineRule="auto"/>
        <w:ind w:left="720" w:firstLine="720"/>
        <w:jc w:val="both"/>
        <w:rPr>
          <w:rStyle w:val="Hyperlink"/>
          <w:rFonts w:asciiTheme="minorHAnsi" w:eastAsiaTheme="majorEastAsia" w:hAnsiTheme="minorHAnsi" w:cstheme="minorHAnsi"/>
          <w:sz w:val="22"/>
          <w:szCs w:val="22"/>
        </w:rPr>
      </w:pPr>
      <w:r w:rsidRPr="004F5221">
        <w:rPr>
          <w:rFonts w:asciiTheme="minorHAnsi" w:hAnsiTheme="minorHAnsi" w:cstheme="minorHAnsi"/>
          <w:sz w:val="22"/>
          <w:szCs w:val="22"/>
        </w:rPr>
        <w:t xml:space="preserve">Albucher, R. C., &amp; Liberzon, I. (2002). Psychopharmacological treatment in PTSD: a critical review. </w:t>
      </w:r>
      <w:r w:rsidRPr="004F5221">
        <w:rPr>
          <w:rFonts w:asciiTheme="minorHAnsi" w:hAnsiTheme="minorHAnsi" w:cstheme="minorHAnsi"/>
          <w:i/>
          <w:iCs/>
          <w:sz w:val="22"/>
          <w:szCs w:val="22"/>
        </w:rPr>
        <w:t>Journal of Psychiatric Research</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36</w:t>
      </w:r>
      <w:r w:rsidRPr="004F5221">
        <w:rPr>
          <w:rFonts w:asciiTheme="minorHAnsi" w:hAnsiTheme="minorHAnsi" w:cstheme="minorHAnsi"/>
          <w:sz w:val="22"/>
          <w:szCs w:val="22"/>
        </w:rPr>
        <w:t xml:space="preserve">(6), 355–367. </w:t>
      </w:r>
      <w:hyperlink r:id="rId19" w:history="1">
        <w:r w:rsidRPr="004F5221">
          <w:rPr>
            <w:rStyle w:val="Hyperlink"/>
            <w:rFonts w:asciiTheme="minorHAnsi" w:eastAsiaTheme="majorEastAsia" w:hAnsiTheme="minorHAnsi" w:cstheme="minorHAnsi"/>
            <w:sz w:val="22"/>
            <w:szCs w:val="22"/>
          </w:rPr>
          <w:t>https://doi.org/10.1016/s0022-3956(02)00058-4</w:t>
        </w:r>
      </w:hyperlink>
    </w:p>
    <w:p w14:paraId="2F2CACBC"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color w:val="333333"/>
          <w:sz w:val="22"/>
          <w:szCs w:val="22"/>
          <w:shd w:val="clear" w:color="auto" w:fill="FFFFFF"/>
        </w:rPr>
      </w:pPr>
      <w:r w:rsidRPr="004F5221">
        <w:rPr>
          <w:rFonts w:asciiTheme="minorHAnsi" w:hAnsiTheme="minorHAnsi" w:cstheme="minorHAnsi"/>
          <w:sz w:val="22"/>
          <w:szCs w:val="22"/>
        </w:rPr>
        <w:t xml:space="preserve">Arbona, C., Rodriguez, L., Dragomir-Davis, M., Olvera, N., de Dios, M. A., &amp; Cano, M. A. (2021). Intolerance of Uncertainty and DSM-5 PTSD Symptom Severity among Trauma Exposed Latina College Women. </w:t>
      </w:r>
      <w:r w:rsidRPr="004F5221">
        <w:rPr>
          <w:rFonts w:asciiTheme="minorHAnsi" w:hAnsiTheme="minorHAnsi" w:cstheme="minorHAnsi"/>
          <w:i/>
          <w:iCs/>
          <w:sz w:val="22"/>
          <w:szCs w:val="22"/>
        </w:rPr>
        <w:t>Journal of Aggression, Maltreatment &amp; Trauma</w:t>
      </w:r>
      <w:r w:rsidRPr="004F5221">
        <w:rPr>
          <w:rFonts w:asciiTheme="minorHAnsi" w:hAnsiTheme="minorHAnsi" w:cstheme="minorHAnsi"/>
          <w:sz w:val="22"/>
          <w:szCs w:val="22"/>
        </w:rPr>
        <w:t xml:space="preserve">, </w:t>
      </w:r>
      <w:r w:rsidRPr="004F5221">
        <w:rPr>
          <w:rFonts w:asciiTheme="minorHAnsi" w:hAnsiTheme="minorHAnsi" w:cstheme="minorHAnsi"/>
          <w:i/>
          <w:sz w:val="22"/>
          <w:szCs w:val="22"/>
        </w:rPr>
        <w:t>31</w:t>
      </w:r>
      <w:r w:rsidRPr="004F5221">
        <w:rPr>
          <w:rFonts w:asciiTheme="minorHAnsi" w:hAnsiTheme="minorHAnsi" w:cstheme="minorHAnsi"/>
          <w:sz w:val="22"/>
          <w:szCs w:val="22"/>
        </w:rPr>
        <w:t xml:space="preserve">(3) 1–19. </w:t>
      </w:r>
      <w:hyperlink r:id="rId20" w:history="1">
        <w:r w:rsidRPr="004F5221">
          <w:rPr>
            <w:rStyle w:val="Hyperlink"/>
            <w:rFonts w:asciiTheme="minorHAnsi" w:hAnsiTheme="minorHAnsi" w:cstheme="minorHAnsi"/>
            <w:sz w:val="22"/>
            <w:szCs w:val="22"/>
          </w:rPr>
          <w:t>https://doi.org/10.1080/10926771.2020.1866132</w:t>
        </w:r>
      </w:hyperlink>
    </w:p>
    <w:p w14:paraId="5FEB6327" w14:textId="77777777" w:rsidR="001435E1" w:rsidRPr="004F5221" w:rsidRDefault="005B760F" w:rsidP="004F5221">
      <w:pPr>
        <w:pStyle w:val="NormalWeb"/>
        <w:spacing w:before="0" w:beforeAutospacing="0" w:after="0" w:afterAutospacing="0" w:line="360" w:lineRule="auto"/>
        <w:ind w:left="720" w:firstLine="720"/>
        <w:jc w:val="both"/>
        <w:rPr>
          <w:rStyle w:val="Hyperlink"/>
          <w:rFonts w:asciiTheme="minorHAnsi" w:eastAsiaTheme="majorEastAsia" w:hAnsiTheme="minorHAnsi" w:cstheme="minorHAnsi"/>
          <w:sz w:val="22"/>
          <w:szCs w:val="22"/>
        </w:rPr>
      </w:pPr>
      <w:r w:rsidRPr="004F5221">
        <w:rPr>
          <w:rFonts w:asciiTheme="minorHAnsi" w:hAnsiTheme="minorHAnsi" w:cstheme="minorHAnsi"/>
          <w:sz w:val="22"/>
          <w:szCs w:val="22"/>
        </w:rPr>
        <w:t xml:space="preserve">Blevins, C. A., Weathers, F. W., Davis, M. T., Witte, T. K., &amp; Domino, J. L. (2015). The Posttraumatic Stress Disorder Checklist for DSM-5 (PCL-5): Development and Initial Psychometric Evaluation. </w:t>
      </w:r>
      <w:r w:rsidRPr="004F5221">
        <w:rPr>
          <w:rFonts w:asciiTheme="minorHAnsi" w:hAnsiTheme="minorHAnsi" w:cstheme="minorHAnsi"/>
          <w:i/>
          <w:iCs/>
          <w:sz w:val="22"/>
          <w:szCs w:val="22"/>
        </w:rPr>
        <w:t>Journal of Traumatic Stress</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28</w:t>
      </w:r>
      <w:r w:rsidRPr="004F5221">
        <w:rPr>
          <w:rFonts w:asciiTheme="minorHAnsi" w:hAnsiTheme="minorHAnsi" w:cstheme="minorHAnsi"/>
          <w:sz w:val="22"/>
          <w:szCs w:val="22"/>
        </w:rPr>
        <w:t xml:space="preserve">(6), 489–498. </w:t>
      </w:r>
      <w:hyperlink r:id="rId21" w:history="1">
        <w:r w:rsidRPr="004F5221">
          <w:rPr>
            <w:rStyle w:val="Hyperlink"/>
            <w:rFonts w:asciiTheme="minorHAnsi" w:eastAsiaTheme="majorEastAsia" w:hAnsiTheme="minorHAnsi" w:cstheme="minorHAnsi"/>
            <w:sz w:val="22"/>
            <w:szCs w:val="22"/>
          </w:rPr>
          <w:t>https://doi.org/10.1002/jts.22059</w:t>
        </w:r>
      </w:hyperlink>
    </w:p>
    <w:p w14:paraId="6447C6DD"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color w:val="333333"/>
          <w:sz w:val="22"/>
          <w:szCs w:val="22"/>
          <w:shd w:val="clear" w:color="auto" w:fill="FFFFFF"/>
        </w:rPr>
      </w:pPr>
      <w:r w:rsidRPr="004F5221">
        <w:rPr>
          <w:rFonts w:asciiTheme="minorHAnsi" w:hAnsiTheme="minorHAnsi" w:cstheme="minorHAnsi"/>
          <w:sz w:val="22"/>
          <w:szCs w:val="22"/>
        </w:rPr>
        <w:t xml:space="preserve">Boelen, P. (2010). Intolerance of uncertainty and emotional distress following the death of a loved one. </w:t>
      </w:r>
      <w:r w:rsidRPr="004F5221">
        <w:rPr>
          <w:rFonts w:asciiTheme="minorHAnsi" w:hAnsiTheme="minorHAnsi" w:cstheme="minorHAnsi"/>
          <w:i/>
          <w:iCs/>
          <w:sz w:val="22"/>
          <w:szCs w:val="22"/>
        </w:rPr>
        <w:t>Anxiety, Stress &amp; Coping</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23</w:t>
      </w:r>
      <w:r w:rsidRPr="004F5221">
        <w:rPr>
          <w:rFonts w:asciiTheme="minorHAnsi" w:hAnsiTheme="minorHAnsi" w:cstheme="minorHAnsi"/>
          <w:sz w:val="22"/>
          <w:szCs w:val="22"/>
        </w:rPr>
        <w:t xml:space="preserve">(4), 471–478. </w:t>
      </w:r>
      <w:hyperlink r:id="rId22" w:history="1">
        <w:r w:rsidRPr="004F5221">
          <w:rPr>
            <w:rStyle w:val="Hyperlink"/>
            <w:rFonts w:asciiTheme="minorHAnsi" w:hAnsiTheme="minorHAnsi" w:cstheme="minorHAnsi"/>
            <w:sz w:val="22"/>
            <w:szCs w:val="22"/>
          </w:rPr>
          <w:t>https://doi.org/10.1080/10615800903494135</w:t>
        </w:r>
      </w:hyperlink>
    </w:p>
    <w:p w14:paraId="30A4FFD3" w14:textId="77777777" w:rsidR="005B760F"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color w:val="333333"/>
          <w:sz w:val="22"/>
          <w:szCs w:val="22"/>
          <w:shd w:val="clear" w:color="auto" w:fill="FFFFFF"/>
        </w:rPr>
      </w:pPr>
      <w:r w:rsidRPr="004F5221">
        <w:rPr>
          <w:rFonts w:asciiTheme="minorHAnsi" w:hAnsiTheme="minorHAnsi" w:cstheme="minorHAnsi"/>
          <w:sz w:val="22"/>
          <w:szCs w:val="22"/>
        </w:rPr>
        <w:t xml:space="preserve">Boelen, P. A. (2019). Intolerance of uncertainty predicts analogue posttraumatic stress following adverse life events. </w:t>
      </w:r>
      <w:r w:rsidRPr="004F5221">
        <w:rPr>
          <w:rFonts w:asciiTheme="minorHAnsi" w:hAnsiTheme="minorHAnsi" w:cstheme="minorHAnsi"/>
          <w:i/>
          <w:iCs/>
          <w:sz w:val="22"/>
          <w:szCs w:val="22"/>
        </w:rPr>
        <w:t>Anxiety, Stress, &amp; Coping</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32</w:t>
      </w:r>
      <w:r w:rsidRPr="004F5221">
        <w:rPr>
          <w:rFonts w:asciiTheme="minorHAnsi" w:hAnsiTheme="minorHAnsi" w:cstheme="minorHAnsi"/>
          <w:sz w:val="22"/>
          <w:szCs w:val="22"/>
        </w:rPr>
        <w:t xml:space="preserve">(5), 498–504. </w:t>
      </w:r>
      <w:hyperlink r:id="rId23" w:history="1">
        <w:r w:rsidRPr="004F5221">
          <w:rPr>
            <w:rStyle w:val="Hyperlink"/>
            <w:rFonts w:asciiTheme="minorHAnsi" w:eastAsiaTheme="majorEastAsia" w:hAnsiTheme="minorHAnsi" w:cstheme="minorHAnsi"/>
            <w:sz w:val="22"/>
            <w:szCs w:val="22"/>
          </w:rPr>
          <w:t>https://doi.org/10.1080/10615806.2019.1623881</w:t>
        </w:r>
      </w:hyperlink>
    </w:p>
    <w:p w14:paraId="44F71EF0" w14:textId="77777777" w:rsidR="00615B50"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 xml:space="preserve">Boelen, P. A., Reijntjes, A., &amp; Smid, G. E. (2016). Concurrent and prospective associations of intolerance of uncertainty with symptoms of prolonged grief, posttraumatic stress, and depression after bereavement. </w:t>
      </w:r>
      <w:r w:rsidRPr="004F5221">
        <w:rPr>
          <w:rFonts w:asciiTheme="minorHAnsi" w:hAnsiTheme="minorHAnsi" w:cstheme="minorHAnsi"/>
          <w:i/>
          <w:iCs/>
          <w:sz w:val="22"/>
          <w:szCs w:val="22"/>
        </w:rPr>
        <w:t>Journal of Anxiety Disorders</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41</w:t>
      </w:r>
      <w:r w:rsidRPr="004F5221">
        <w:rPr>
          <w:rFonts w:asciiTheme="minorHAnsi" w:hAnsiTheme="minorHAnsi" w:cstheme="minorHAnsi"/>
          <w:sz w:val="22"/>
          <w:szCs w:val="22"/>
        </w:rPr>
        <w:t xml:space="preserve">, 65–72. </w:t>
      </w:r>
      <w:hyperlink r:id="rId24" w:history="1">
        <w:r w:rsidRPr="004F5221">
          <w:rPr>
            <w:rStyle w:val="Hyperlink"/>
            <w:rFonts w:asciiTheme="minorHAnsi" w:eastAsiaTheme="majorEastAsia" w:hAnsiTheme="minorHAnsi" w:cstheme="minorHAnsi"/>
            <w:sz w:val="22"/>
            <w:szCs w:val="22"/>
          </w:rPr>
          <w:t>https://doi.org/10.1016/j.janxdis.2016.03.004</w:t>
        </w:r>
      </w:hyperlink>
    </w:p>
    <w:p w14:paraId="576ABC7F"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 xml:space="preserve">Boswell, J. F., Thompson-Hollands, J., Farchione, T. J., &amp; Barlow, D. H. (2013). Intolerance of Uncertainty: A Common Factor in the Treatment of Emotional Disorders. </w:t>
      </w:r>
      <w:r w:rsidRPr="004F5221">
        <w:rPr>
          <w:rFonts w:asciiTheme="minorHAnsi" w:hAnsiTheme="minorHAnsi" w:cstheme="minorHAnsi"/>
          <w:i/>
          <w:iCs/>
          <w:sz w:val="22"/>
          <w:szCs w:val="22"/>
        </w:rPr>
        <w:t>Journal of Clinical Psychology</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69</w:t>
      </w:r>
      <w:r w:rsidRPr="004F5221">
        <w:rPr>
          <w:rFonts w:asciiTheme="minorHAnsi" w:hAnsiTheme="minorHAnsi" w:cstheme="minorHAnsi"/>
          <w:sz w:val="22"/>
          <w:szCs w:val="22"/>
        </w:rPr>
        <w:t xml:space="preserve">(6), 630–645. </w:t>
      </w:r>
      <w:hyperlink r:id="rId25" w:history="1">
        <w:r w:rsidRPr="004F5221">
          <w:rPr>
            <w:rStyle w:val="Hyperlink"/>
            <w:rFonts w:asciiTheme="minorHAnsi" w:eastAsiaTheme="majorEastAsia" w:hAnsiTheme="minorHAnsi" w:cstheme="minorHAnsi"/>
            <w:sz w:val="22"/>
            <w:szCs w:val="22"/>
          </w:rPr>
          <w:t>https://doi.org/10.1002/jclp.21965</w:t>
        </w:r>
      </w:hyperlink>
    </w:p>
    <w:p w14:paraId="34CE2FC6" w14:textId="77777777" w:rsidR="001435E1" w:rsidRPr="004F5221" w:rsidRDefault="005B760F" w:rsidP="004F5221">
      <w:pPr>
        <w:pStyle w:val="NormalWeb"/>
        <w:spacing w:before="0" w:beforeAutospacing="0" w:after="0" w:afterAutospacing="0" w:line="360" w:lineRule="auto"/>
        <w:ind w:left="720" w:firstLine="720"/>
        <w:jc w:val="both"/>
        <w:rPr>
          <w:rStyle w:val="Hyperlink"/>
          <w:rFonts w:asciiTheme="minorHAnsi" w:hAnsiTheme="minorHAnsi" w:cstheme="minorHAnsi"/>
          <w:color w:val="auto"/>
          <w:sz w:val="22"/>
          <w:szCs w:val="22"/>
          <w:u w:val="none"/>
        </w:rPr>
      </w:pPr>
      <w:r w:rsidRPr="004F5221">
        <w:rPr>
          <w:rFonts w:asciiTheme="minorHAnsi" w:hAnsiTheme="minorHAnsi" w:cstheme="minorHAnsi"/>
          <w:sz w:val="22"/>
          <w:szCs w:val="22"/>
        </w:rPr>
        <w:t xml:space="preserve">Buhr, K., &amp; Dugas, M. J. (2002). The intolerance of uncertainty scale: psychometric properties of the English version. </w:t>
      </w:r>
      <w:r w:rsidRPr="004F5221">
        <w:rPr>
          <w:rFonts w:asciiTheme="minorHAnsi" w:hAnsiTheme="minorHAnsi" w:cstheme="minorHAnsi"/>
          <w:i/>
          <w:iCs/>
          <w:sz w:val="22"/>
          <w:szCs w:val="22"/>
        </w:rPr>
        <w:t>Behaviour Research and Therapy</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40</w:t>
      </w:r>
      <w:r w:rsidRPr="004F5221">
        <w:rPr>
          <w:rFonts w:asciiTheme="minorHAnsi" w:hAnsiTheme="minorHAnsi" w:cstheme="minorHAnsi"/>
          <w:sz w:val="22"/>
          <w:szCs w:val="22"/>
        </w:rPr>
        <w:t xml:space="preserve">(8), 931–945. </w:t>
      </w:r>
      <w:hyperlink r:id="rId26" w:history="1">
        <w:r w:rsidRPr="004F5221">
          <w:rPr>
            <w:rStyle w:val="Hyperlink"/>
            <w:rFonts w:asciiTheme="minorHAnsi" w:eastAsiaTheme="majorEastAsia" w:hAnsiTheme="minorHAnsi" w:cstheme="minorHAnsi"/>
            <w:sz w:val="22"/>
            <w:szCs w:val="22"/>
          </w:rPr>
          <w:t>https://doi.org/10.1016/s0005-7967(01)00092-4</w:t>
        </w:r>
      </w:hyperlink>
    </w:p>
    <w:p w14:paraId="650B9E63"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Carleton, R. N., Brundin, P., Asmundson, G. J. G., &amp; Taylor, S. (2006). Traumatic life events questionnaire. Unpublished measure, Department of Psychology, Unive</w:t>
      </w:r>
      <w:r w:rsidR="001435E1" w:rsidRPr="004F5221">
        <w:rPr>
          <w:rFonts w:asciiTheme="minorHAnsi" w:hAnsiTheme="minorHAnsi" w:cstheme="minorHAnsi"/>
          <w:sz w:val="22"/>
          <w:szCs w:val="22"/>
        </w:rPr>
        <w:t>rsity of Regina, Regina, Canada</w:t>
      </w:r>
    </w:p>
    <w:p w14:paraId="09C8258B"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lastRenderedPageBreak/>
        <w:t xml:space="preserve">Carleton, R. N., Norton, M. A. P. J., &amp; Asmundson, G. J. G. (2007). Fearing the unknown: A short version of the Intolerance of Uncertainty Scale. </w:t>
      </w:r>
      <w:r w:rsidRPr="004F5221">
        <w:rPr>
          <w:rFonts w:asciiTheme="minorHAnsi" w:hAnsiTheme="minorHAnsi" w:cstheme="minorHAnsi"/>
          <w:i/>
          <w:iCs/>
          <w:sz w:val="22"/>
          <w:szCs w:val="22"/>
        </w:rPr>
        <w:t>Journal of Anxiety Disorders</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21</w:t>
      </w:r>
      <w:r w:rsidRPr="004F5221">
        <w:rPr>
          <w:rFonts w:asciiTheme="minorHAnsi" w:hAnsiTheme="minorHAnsi" w:cstheme="minorHAnsi"/>
          <w:sz w:val="22"/>
          <w:szCs w:val="22"/>
        </w:rPr>
        <w:t xml:space="preserve">(1), 105–117. </w:t>
      </w:r>
      <w:hyperlink r:id="rId27" w:history="1">
        <w:r w:rsidR="001435E1" w:rsidRPr="004F5221">
          <w:rPr>
            <w:rStyle w:val="Hyperlink"/>
            <w:rFonts w:asciiTheme="minorHAnsi" w:hAnsiTheme="minorHAnsi" w:cstheme="minorHAnsi"/>
            <w:sz w:val="22"/>
            <w:szCs w:val="22"/>
          </w:rPr>
          <w:t>https://doi.org/10.1016/j.janxdis.2006.03.014</w:t>
        </w:r>
      </w:hyperlink>
    </w:p>
    <w:p w14:paraId="5E54F659"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 xml:space="preserve">Carleton, R. N., Collimore, K. C., &amp; Asmundson, G. J. G. (2010). “It’s not just the judgements—It’s that I don’t know”: Intolerance of uncertainty as a predictor of social anxiety. </w:t>
      </w:r>
      <w:r w:rsidRPr="004F5221">
        <w:rPr>
          <w:rFonts w:asciiTheme="minorHAnsi" w:hAnsiTheme="minorHAnsi" w:cstheme="minorHAnsi"/>
          <w:i/>
          <w:iCs/>
          <w:sz w:val="22"/>
          <w:szCs w:val="22"/>
        </w:rPr>
        <w:t>Journal of Anxiety Disorders</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24</w:t>
      </w:r>
      <w:r w:rsidRPr="004F5221">
        <w:rPr>
          <w:rFonts w:asciiTheme="minorHAnsi" w:hAnsiTheme="minorHAnsi" w:cstheme="minorHAnsi"/>
          <w:sz w:val="22"/>
          <w:szCs w:val="22"/>
        </w:rPr>
        <w:t xml:space="preserve">(2), 189–195. </w:t>
      </w:r>
      <w:hyperlink r:id="rId28" w:history="1">
        <w:r w:rsidR="001435E1" w:rsidRPr="004F5221">
          <w:rPr>
            <w:rStyle w:val="Hyperlink"/>
            <w:rFonts w:asciiTheme="minorHAnsi" w:hAnsiTheme="minorHAnsi" w:cstheme="minorHAnsi"/>
            <w:sz w:val="22"/>
            <w:szCs w:val="22"/>
          </w:rPr>
          <w:t>https://doi.org/10.1016/j.janxdis.2009.10.007</w:t>
        </w:r>
      </w:hyperlink>
    </w:p>
    <w:p w14:paraId="7C7B9EA7"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 xml:space="preserve">Carleton, R. N. (2012). The intolerance of uncertainty construct in the context of anxiety disorders: theoretical and practical perspectives. </w:t>
      </w:r>
      <w:r w:rsidRPr="004F5221">
        <w:rPr>
          <w:rFonts w:asciiTheme="minorHAnsi" w:hAnsiTheme="minorHAnsi" w:cstheme="minorHAnsi"/>
          <w:i/>
          <w:iCs/>
          <w:sz w:val="22"/>
          <w:szCs w:val="22"/>
        </w:rPr>
        <w:t>Expert Review of Neurotherapeutics</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12</w:t>
      </w:r>
      <w:r w:rsidRPr="004F5221">
        <w:rPr>
          <w:rFonts w:asciiTheme="minorHAnsi" w:hAnsiTheme="minorHAnsi" w:cstheme="minorHAnsi"/>
          <w:sz w:val="22"/>
          <w:szCs w:val="22"/>
        </w:rPr>
        <w:t xml:space="preserve">(8), 937–947. </w:t>
      </w:r>
      <w:hyperlink r:id="rId29" w:history="1">
        <w:r w:rsidRPr="004F5221">
          <w:rPr>
            <w:rStyle w:val="Hyperlink"/>
            <w:rFonts w:asciiTheme="minorHAnsi" w:eastAsiaTheme="majorEastAsia" w:hAnsiTheme="minorHAnsi" w:cstheme="minorHAnsi"/>
            <w:sz w:val="22"/>
            <w:szCs w:val="22"/>
          </w:rPr>
          <w:t>https://doi.org/10.1586/ern.12.82</w:t>
        </w:r>
      </w:hyperlink>
    </w:p>
    <w:p w14:paraId="2D826335"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 xml:space="preserve">Critical Appraisal Skills Programme. (2018). </w:t>
      </w:r>
      <w:r w:rsidRPr="004F5221">
        <w:rPr>
          <w:rFonts w:asciiTheme="minorHAnsi" w:hAnsiTheme="minorHAnsi" w:cstheme="minorHAnsi"/>
          <w:i/>
          <w:iCs/>
          <w:sz w:val="22"/>
          <w:szCs w:val="22"/>
        </w:rPr>
        <w:t>CASP Checklists</w:t>
      </w:r>
      <w:r w:rsidRPr="004F5221">
        <w:rPr>
          <w:rFonts w:asciiTheme="minorHAnsi" w:hAnsiTheme="minorHAnsi" w:cstheme="minorHAnsi"/>
          <w:sz w:val="22"/>
          <w:szCs w:val="22"/>
        </w:rPr>
        <w:t xml:space="preserve">. CASP - Critical Appraisal Skills Programme. </w:t>
      </w:r>
      <w:hyperlink r:id="rId30" w:history="1">
        <w:r w:rsidR="001435E1" w:rsidRPr="004F5221">
          <w:rPr>
            <w:rStyle w:val="Hyperlink"/>
            <w:rFonts w:asciiTheme="minorHAnsi" w:hAnsiTheme="minorHAnsi" w:cstheme="minorHAnsi"/>
            <w:sz w:val="22"/>
            <w:szCs w:val="22"/>
          </w:rPr>
          <w:t>https://casp-uk.net/casp-tools-checklists/</w:t>
        </w:r>
      </w:hyperlink>
    </w:p>
    <w:p w14:paraId="7E24A983" w14:textId="77777777" w:rsidR="001435E1" w:rsidRPr="004F5221" w:rsidRDefault="005B760F" w:rsidP="004F5221">
      <w:pPr>
        <w:pStyle w:val="NormalWeb"/>
        <w:spacing w:before="0" w:beforeAutospacing="0" w:after="0" w:afterAutospacing="0" w:line="360" w:lineRule="auto"/>
        <w:ind w:left="720" w:firstLine="720"/>
        <w:jc w:val="both"/>
        <w:rPr>
          <w:rStyle w:val="Hyperlink"/>
          <w:rFonts w:asciiTheme="minorHAnsi" w:hAnsiTheme="minorHAnsi" w:cstheme="minorHAnsi"/>
          <w:color w:val="auto"/>
          <w:sz w:val="22"/>
          <w:szCs w:val="22"/>
          <w:u w:val="none"/>
        </w:rPr>
      </w:pPr>
      <w:r w:rsidRPr="004F5221">
        <w:rPr>
          <w:rFonts w:asciiTheme="minorHAnsi" w:hAnsiTheme="minorHAnsi" w:cstheme="minorHAnsi"/>
          <w:sz w:val="22"/>
          <w:szCs w:val="22"/>
        </w:rPr>
        <w:t xml:space="preserve">Cloitre, M., Shevlin, M., Brewin, C. R., Bisson, J. I., Roberts, N. P., Maercker, A., Karatzias, T., &amp; Hyland, P. (2018). The International Trauma Questionnaire: development of a self-report measure of ICD-11 PTSD and complex PTSD. </w:t>
      </w:r>
      <w:r w:rsidRPr="004F5221">
        <w:rPr>
          <w:rFonts w:asciiTheme="minorHAnsi" w:hAnsiTheme="minorHAnsi" w:cstheme="minorHAnsi"/>
          <w:i/>
          <w:iCs/>
          <w:sz w:val="22"/>
          <w:szCs w:val="22"/>
        </w:rPr>
        <w:t>Acta Psychiatrica Scandinavica</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138</w:t>
      </w:r>
      <w:r w:rsidRPr="004F5221">
        <w:rPr>
          <w:rFonts w:asciiTheme="minorHAnsi" w:hAnsiTheme="minorHAnsi" w:cstheme="minorHAnsi"/>
          <w:sz w:val="22"/>
          <w:szCs w:val="22"/>
        </w:rPr>
        <w:t xml:space="preserve">(6), 536–546. </w:t>
      </w:r>
      <w:hyperlink r:id="rId31" w:history="1">
        <w:r w:rsidRPr="004F5221">
          <w:rPr>
            <w:rStyle w:val="Hyperlink"/>
            <w:rFonts w:asciiTheme="minorHAnsi" w:eastAsiaTheme="majorEastAsia" w:hAnsiTheme="minorHAnsi" w:cstheme="minorHAnsi"/>
            <w:sz w:val="22"/>
            <w:szCs w:val="22"/>
          </w:rPr>
          <w:t>https://doi.org/10.1111/acps.12956</w:t>
        </w:r>
      </w:hyperlink>
    </w:p>
    <w:p w14:paraId="5F880ECF" w14:textId="77777777" w:rsidR="001435E1" w:rsidRPr="004F5221" w:rsidRDefault="005B760F" w:rsidP="004F5221">
      <w:pPr>
        <w:pStyle w:val="NormalWeb"/>
        <w:spacing w:before="0" w:beforeAutospacing="0" w:after="0" w:afterAutospacing="0" w:line="360" w:lineRule="auto"/>
        <w:ind w:left="720" w:firstLine="720"/>
        <w:jc w:val="both"/>
        <w:rPr>
          <w:rStyle w:val="Hyperlink"/>
          <w:rFonts w:asciiTheme="minorHAnsi" w:hAnsiTheme="minorHAnsi" w:cstheme="minorHAnsi"/>
          <w:color w:val="auto"/>
          <w:sz w:val="22"/>
          <w:szCs w:val="22"/>
          <w:u w:val="none"/>
        </w:rPr>
      </w:pPr>
      <w:r w:rsidRPr="004F5221">
        <w:rPr>
          <w:rFonts w:asciiTheme="minorHAnsi" w:hAnsiTheme="minorHAnsi" w:cstheme="minorHAnsi"/>
          <w:sz w:val="22"/>
          <w:szCs w:val="22"/>
        </w:rPr>
        <w:t xml:space="preserve">Downes, M. J., Brennan, M. L., Williams, H. C., &amp; Dean, R. S. (2016). Development of a critical appraisal tool to assess the quality of cross-sectional studies (AXIS). </w:t>
      </w:r>
      <w:r w:rsidRPr="004F5221">
        <w:rPr>
          <w:rFonts w:asciiTheme="minorHAnsi" w:hAnsiTheme="minorHAnsi" w:cstheme="minorHAnsi"/>
          <w:i/>
          <w:iCs/>
          <w:sz w:val="22"/>
          <w:szCs w:val="22"/>
        </w:rPr>
        <w:t>BMJ Open</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6</w:t>
      </w:r>
      <w:r w:rsidRPr="004F5221">
        <w:rPr>
          <w:rFonts w:asciiTheme="minorHAnsi" w:hAnsiTheme="minorHAnsi" w:cstheme="minorHAnsi"/>
          <w:sz w:val="22"/>
          <w:szCs w:val="22"/>
        </w:rPr>
        <w:t xml:space="preserve">(12), e011458. </w:t>
      </w:r>
      <w:hyperlink r:id="rId32" w:history="1">
        <w:r w:rsidR="001435E1" w:rsidRPr="004F5221">
          <w:rPr>
            <w:rStyle w:val="Hyperlink"/>
            <w:rFonts w:asciiTheme="minorHAnsi" w:hAnsiTheme="minorHAnsi" w:cstheme="minorHAnsi"/>
            <w:sz w:val="22"/>
            <w:szCs w:val="22"/>
          </w:rPr>
          <w:t>https://doi.org/10.1136/bmjopen-2016-011458</w:t>
        </w:r>
      </w:hyperlink>
    </w:p>
    <w:p w14:paraId="01ACFDBC"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 xml:space="preserve">Dugas, M. J., Schwartz, A., &amp; Francis, K. (2004). Brief Report: Intolerance of Uncertainty, Worry, and Depression. </w:t>
      </w:r>
      <w:r w:rsidRPr="004F5221">
        <w:rPr>
          <w:rFonts w:asciiTheme="minorHAnsi" w:hAnsiTheme="minorHAnsi" w:cstheme="minorHAnsi"/>
          <w:i/>
          <w:iCs/>
          <w:sz w:val="22"/>
          <w:szCs w:val="22"/>
        </w:rPr>
        <w:t>Cognitive Therapy and Research</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28</w:t>
      </w:r>
      <w:r w:rsidRPr="004F5221">
        <w:rPr>
          <w:rFonts w:asciiTheme="minorHAnsi" w:hAnsiTheme="minorHAnsi" w:cstheme="minorHAnsi"/>
          <w:sz w:val="22"/>
          <w:szCs w:val="22"/>
        </w:rPr>
        <w:t xml:space="preserve">(6), 835–842. </w:t>
      </w:r>
      <w:hyperlink r:id="rId33" w:history="1">
        <w:r w:rsidR="001435E1" w:rsidRPr="004F5221">
          <w:rPr>
            <w:rStyle w:val="Hyperlink"/>
            <w:rFonts w:asciiTheme="minorHAnsi" w:hAnsiTheme="minorHAnsi" w:cstheme="minorHAnsi"/>
            <w:sz w:val="22"/>
            <w:szCs w:val="22"/>
          </w:rPr>
          <w:t>https://doi.org/10.1007/s10608-004-0669-0</w:t>
        </w:r>
      </w:hyperlink>
    </w:p>
    <w:p w14:paraId="648EC34D"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 xml:space="preserve">Dunmore, E., Clark, D. M., &amp; Ehlers, A. (2001). A prospective investigation of the role of cognitive factors in persistent posttraumatic stress disorder (PTSD) after physical or sexual assault. </w:t>
      </w:r>
      <w:r w:rsidRPr="004F5221">
        <w:rPr>
          <w:rFonts w:asciiTheme="minorHAnsi" w:hAnsiTheme="minorHAnsi" w:cstheme="minorHAnsi"/>
          <w:i/>
          <w:iCs/>
          <w:sz w:val="22"/>
          <w:szCs w:val="22"/>
        </w:rPr>
        <w:t>Behaviour Research and Therapy</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39</w:t>
      </w:r>
      <w:r w:rsidRPr="004F5221">
        <w:rPr>
          <w:rFonts w:asciiTheme="minorHAnsi" w:hAnsiTheme="minorHAnsi" w:cstheme="minorHAnsi"/>
          <w:sz w:val="22"/>
          <w:szCs w:val="22"/>
        </w:rPr>
        <w:t xml:space="preserve">(9), 1063–1084. </w:t>
      </w:r>
      <w:hyperlink r:id="rId34" w:history="1">
        <w:r w:rsidR="001435E1" w:rsidRPr="004F5221">
          <w:rPr>
            <w:rStyle w:val="Hyperlink"/>
            <w:rFonts w:asciiTheme="minorHAnsi" w:hAnsiTheme="minorHAnsi" w:cstheme="minorHAnsi"/>
            <w:sz w:val="22"/>
            <w:szCs w:val="22"/>
          </w:rPr>
          <w:t>https://doi.org/10.1016/s0005-7967(00)00088-7</w:t>
        </w:r>
      </w:hyperlink>
    </w:p>
    <w:p w14:paraId="53E74F0B"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 xml:space="preserve">Dugas, M. J., Hedayati, M., Karavidas, A., Buhr, K., Francis, K., &amp; Phillips, N. A. (2005). Intolerance of Uncertainty and Information Processing: Evidence of Biased Recall and Interpretations. </w:t>
      </w:r>
      <w:r w:rsidRPr="004F5221">
        <w:rPr>
          <w:rFonts w:asciiTheme="minorHAnsi" w:hAnsiTheme="minorHAnsi" w:cstheme="minorHAnsi"/>
          <w:i/>
          <w:iCs/>
          <w:sz w:val="22"/>
          <w:szCs w:val="22"/>
        </w:rPr>
        <w:t>Cognitive Therapy and Research</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29</w:t>
      </w:r>
      <w:r w:rsidRPr="004F5221">
        <w:rPr>
          <w:rFonts w:asciiTheme="minorHAnsi" w:hAnsiTheme="minorHAnsi" w:cstheme="minorHAnsi"/>
          <w:sz w:val="22"/>
          <w:szCs w:val="22"/>
        </w:rPr>
        <w:t xml:space="preserve">(1), 57–70. </w:t>
      </w:r>
      <w:hyperlink r:id="rId35" w:history="1">
        <w:r w:rsidR="001435E1" w:rsidRPr="004F5221">
          <w:rPr>
            <w:rStyle w:val="Hyperlink"/>
            <w:rFonts w:asciiTheme="minorHAnsi" w:hAnsiTheme="minorHAnsi" w:cstheme="minorHAnsi"/>
            <w:sz w:val="22"/>
            <w:szCs w:val="22"/>
          </w:rPr>
          <w:t>https://doi.org/10.1007/s10608-005-1648-9</w:t>
        </w:r>
      </w:hyperlink>
    </w:p>
    <w:p w14:paraId="6BD04351"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 xml:space="preserve">Ehlers, A., &amp; Clark, D. M. (2000). A cognitive model of posttraumatic stress disorder. </w:t>
      </w:r>
      <w:r w:rsidRPr="004F5221">
        <w:rPr>
          <w:rFonts w:asciiTheme="minorHAnsi" w:hAnsiTheme="minorHAnsi" w:cstheme="minorHAnsi"/>
          <w:i/>
          <w:iCs/>
          <w:sz w:val="22"/>
          <w:szCs w:val="22"/>
        </w:rPr>
        <w:t>Behaviour Research and Therapy</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38</w:t>
      </w:r>
      <w:r w:rsidRPr="004F5221">
        <w:rPr>
          <w:rFonts w:asciiTheme="minorHAnsi" w:hAnsiTheme="minorHAnsi" w:cstheme="minorHAnsi"/>
          <w:sz w:val="22"/>
          <w:szCs w:val="22"/>
        </w:rPr>
        <w:t xml:space="preserve">(4), 319–345. </w:t>
      </w:r>
      <w:hyperlink r:id="rId36" w:history="1">
        <w:r w:rsidRPr="004F5221">
          <w:rPr>
            <w:rStyle w:val="Hyperlink"/>
            <w:rFonts w:asciiTheme="minorHAnsi" w:eastAsiaTheme="majorEastAsia" w:hAnsiTheme="minorHAnsi" w:cstheme="minorHAnsi"/>
            <w:sz w:val="22"/>
            <w:szCs w:val="22"/>
          </w:rPr>
          <w:t>https://doi.org/10.1016/s0005-7967(99)00123-0</w:t>
        </w:r>
      </w:hyperlink>
    </w:p>
    <w:p w14:paraId="2FB370F7" w14:textId="77777777" w:rsidR="001435E1" w:rsidRPr="004F5221" w:rsidRDefault="005B760F" w:rsidP="004F5221">
      <w:pPr>
        <w:pStyle w:val="NormalWeb"/>
        <w:spacing w:before="0" w:beforeAutospacing="0" w:after="0" w:afterAutospacing="0" w:line="360" w:lineRule="auto"/>
        <w:ind w:left="720" w:firstLine="720"/>
        <w:jc w:val="both"/>
        <w:rPr>
          <w:rStyle w:val="Hyperlink"/>
          <w:rFonts w:asciiTheme="minorHAnsi" w:hAnsiTheme="minorHAnsi" w:cstheme="minorHAnsi"/>
          <w:color w:val="auto"/>
          <w:sz w:val="22"/>
          <w:szCs w:val="22"/>
          <w:u w:val="none"/>
        </w:rPr>
      </w:pPr>
      <w:r w:rsidRPr="004F5221">
        <w:rPr>
          <w:rFonts w:asciiTheme="minorHAnsi" w:hAnsiTheme="minorHAnsi" w:cstheme="minorHAnsi"/>
          <w:sz w:val="22"/>
          <w:szCs w:val="22"/>
        </w:rPr>
        <w:t xml:space="preserve">Fetzner, M. G., Horswill, S. C., Boelen, P. A., &amp; Carleton, R. N. (2013). Intolerance of Uncertainty and PTSD Symptoms: Exploring the Construct Relationship in a Community </w:t>
      </w:r>
      <w:r w:rsidRPr="004F5221">
        <w:rPr>
          <w:rFonts w:asciiTheme="minorHAnsi" w:hAnsiTheme="minorHAnsi" w:cstheme="minorHAnsi"/>
          <w:sz w:val="22"/>
          <w:szCs w:val="22"/>
        </w:rPr>
        <w:lastRenderedPageBreak/>
        <w:t xml:space="preserve">Sample with a Heterogeneous Trauma History. </w:t>
      </w:r>
      <w:r w:rsidRPr="004F5221">
        <w:rPr>
          <w:rFonts w:asciiTheme="minorHAnsi" w:hAnsiTheme="minorHAnsi" w:cstheme="minorHAnsi"/>
          <w:i/>
          <w:iCs/>
          <w:sz w:val="22"/>
          <w:szCs w:val="22"/>
        </w:rPr>
        <w:t>Cognitive Therapy and Research</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37</w:t>
      </w:r>
      <w:r w:rsidRPr="004F5221">
        <w:rPr>
          <w:rFonts w:asciiTheme="minorHAnsi" w:hAnsiTheme="minorHAnsi" w:cstheme="minorHAnsi"/>
          <w:sz w:val="22"/>
          <w:szCs w:val="22"/>
        </w:rPr>
        <w:t xml:space="preserve">(4), 725–734. </w:t>
      </w:r>
      <w:hyperlink r:id="rId37" w:history="1">
        <w:r w:rsidRPr="004F5221">
          <w:rPr>
            <w:rStyle w:val="Hyperlink"/>
            <w:rFonts w:asciiTheme="minorHAnsi" w:eastAsiaTheme="majorEastAsia" w:hAnsiTheme="minorHAnsi" w:cstheme="minorHAnsi"/>
            <w:sz w:val="22"/>
            <w:szCs w:val="22"/>
          </w:rPr>
          <w:t>https://doi.org/10.1007/s10608-013-9531-6</w:t>
        </w:r>
      </w:hyperlink>
    </w:p>
    <w:p w14:paraId="120174FF"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First, M. B., Williams, J. B. W., Karg, R. S., &amp; Spitzer, R. L. (2015). Structured clinical interview for DSM-5—Research version (SCID-5 for DSM-5, research version; SCID-5-RV). American Psychiatric Association</w:t>
      </w:r>
    </w:p>
    <w:p w14:paraId="5CF21621" w14:textId="77777777" w:rsidR="001435E1" w:rsidRPr="004F5221" w:rsidRDefault="005B760F" w:rsidP="004F5221">
      <w:pPr>
        <w:pStyle w:val="NormalWeb"/>
        <w:spacing w:before="0" w:beforeAutospacing="0" w:after="0" w:afterAutospacing="0" w:line="360" w:lineRule="auto"/>
        <w:ind w:left="720" w:firstLine="720"/>
        <w:jc w:val="both"/>
        <w:rPr>
          <w:rStyle w:val="Hyperlink"/>
          <w:rFonts w:asciiTheme="minorHAnsi" w:eastAsiaTheme="majorEastAsia" w:hAnsiTheme="minorHAnsi" w:cstheme="minorHAnsi"/>
          <w:sz w:val="22"/>
          <w:szCs w:val="22"/>
        </w:rPr>
      </w:pPr>
      <w:r w:rsidRPr="004F5221">
        <w:rPr>
          <w:rFonts w:asciiTheme="minorHAnsi" w:hAnsiTheme="minorHAnsi" w:cstheme="minorHAnsi"/>
          <w:sz w:val="22"/>
          <w:szCs w:val="22"/>
        </w:rPr>
        <w:t xml:space="preserve">Foa, E. B., Riggs, D. S., Dancu, C. V., &amp; Rothbaum, B. O. (1993). Reliability and validity of a brief instrument for assessing post-traumatic stress disorder. </w:t>
      </w:r>
      <w:r w:rsidRPr="004F5221">
        <w:rPr>
          <w:rFonts w:asciiTheme="minorHAnsi" w:hAnsiTheme="minorHAnsi" w:cstheme="minorHAnsi"/>
          <w:i/>
          <w:iCs/>
          <w:sz w:val="22"/>
          <w:szCs w:val="22"/>
        </w:rPr>
        <w:t>Journal of Traumatic Stress</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6</w:t>
      </w:r>
      <w:r w:rsidRPr="004F5221">
        <w:rPr>
          <w:rFonts w:asciiTheme="minorHAnsi" w:hAnsiTheme="minorHAnsi" w:cstheme="minorHAnsi"/>
          <w:sz w:val="22"/>
          <w:szCs w:val="22"/>
        </w:rPr>
        <w:t xml:space="preserve">(4), 459–473. </w:t>
      </w:r>
      <w:hyperlink r:id="rId38" w:history="1">
        <w:r w:rsidRPr="004F5221">
          <w:rPr>
            <w:rStyle w:val="Hyperlink"/>
            <w:rFonts w:asciiTheme="minorHAnsi" w:eastAsiaTheme="majorEastAsia" w:hAnsiTheme="minorHAnsi" w:cstheme="minorHAnsi"/>
            <w:sz w:val="22"/>
            <w:szCs w:val="22"/>
          </w:rPr>
          <w:t>https://doi.org/10.1002/jts.2490060405</w:t>
        </w:r>
      </w:hyperlink>
    </w:p>
    <w:p w14:paraId="4E47D25E" w14:textId="77777777" w:rsidR="00615B50"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 xml:space="preserve">Freeston, M. H., Rhéaume, J., Letarte, H., Dugas, M. J., &amp; Ladouceur, R. (1994). Why do people worry? </w:t>
      </w:r>
      <w:r w:rsidRPr="004F5221">
        <w:rPr>
          <w:rFonts w:asciiTheme="minorHAnsi" w:hAnsiTheme="minorHAnsi" w:cstheme="minorHAnsi"/>
          <w:i/>
          <w:iCs/>
          <w:sz w:val="22"/>
          <w:szCs w:val="22"/>
        </w:rPr>
        <w:t>Personality and Individual Differences</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17</w:t>
      </w:r>
      <w:r w:rsidRPr="004F5221">
        <w:rPr>
          <w:rFonts w:asciiTheme="minorHAnsi" w:hAnsiTheme="minorHAnsi" w:cstheme="minorHAnsi"/>
          <w:sz w:val="22"/>
          <w:szCs w:val="22"/>
        </w:rPr>
        <w:t xml:space="preserve">(6), 791–802. </w:t>
      </w:r>
      <w:hyperlink r:id="rId39" w:history="1">
        <w:r w:rsidR="001435E1" w:rsidRPr="004F5221">
          <w:rPr>
            <w:rStyle w:val="Hyperlink"/>
            <w:rFonts w:asciiTheme="minorHAnsi" w:hAnsiTheme="minorHAnsi" w:cstheme="minorHAnsi"/>
            <w:sz w:val="22"/>
            <w:szCs w:val="22"/>
          </w:rPr>
          <w:t>https://doi.org/10.1016/0191-8869(94)90048-5</w:t>
        </w:r>
      </w:hyperlink>
    </w:p>
    <w:p w14:paraId="345E4CF2"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 xml:space="preserve">Galea, S., Nandi, A., &amp; Vlahov, D. (2005). The Epidemiology of Post-Traumatic Stress Disorder after Disasters. </w:t>
      </w:r>
      <w:r w:rsidRPr="004F5221">
        <w:rPr>
          <w:rFonts w:asciiTheme="minorHAnsi" w:hAnsiTheme="minorHAnsi" w:cstheme="minorHAnsi"/>
          <w:i/>
          <w:iCs/>
          <w:sz w:val="22"/>
          <w:szCs w:val="22"/>
        </w:rPr>
        <w:t>Epidemiologic Reviews</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27</w:t>
      </w:r>
      <w:r w:rsidRPr="004F5221">
        <w:rPr>
          <w:rFonts w:asciiTheme="minorHAnsi" w:hAnsiTheme="minorHAnsi" w:cstheme="minorHAnsi"/>
          <w:sz w:val="22"/>
          <w:szCs w:val="22"/>
        </w:rPr>
        <w:t xml:space="preserve">(1), 78–91. </w:t>
      </w:r>
      <w:hyperlink r:id="rId40" w:history="1">
        <w:r w:rsidR="001435E1" w:rsidRPr="004F5221">
          <w:rPr>
            <w:rStyle w:val="Hyperlink"/>
            <w:rFonts w:asciiTheme="minorHAnsi" w:hAnsiTheme="minorHAnsi" w:cstheme="minorHAnsi"/>
            <w:sz w:val="22"/>
            <w:szCs w:val="22"/>
          </w:rPr>
          <w:t>https://doi.org/10.1093/epirev/mxi003</w:t>
        </w:r>
      </w:hyperlink>
    </w:p>
    <w:p w14:paraId="20BAAFDD"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 xml:space="preserve">Gentes, E. L., &amp; Ruscio, A. M. (2011). A meta-analysis of the relation of intolerance of uncertainty to symptoms of generalized anxiety disorder, major depressive disorder, and obsessive–compulsive disorder. </w:t>
      </w:r>
      <w:r w:rsidRPr="004F5221">
        <w:rPr>
          <w:rFonts w:asciiTheme="minorHAnsi" w:hAnsiTheme="minorHAnsi" w:cstheme="minorHAnsi"/>
          <w:i/>
          <w:iCs/>
          <w:sz w:val="22"/>
          <w:szCs w:val="22"/>
        </w:rPr>
        <w:t>Clinical Psychology Review</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31</w:t>
      </w:r>
      <w:r w:rsidRPr="004F5221">
        <w:rPr>
          <w:rFonts w:asciiTheme="minorHAnsi" w:hAnsiTheme="minorHAnsi" w:cstheme="minorHAnsi"/>
          <w:sz w:val="22"/>
          <w:szCs w:val="22"/>
        </w:rPr>
        <w:t xml:space="preserve">(6), 923–933. </w:t>
      </w:r>
      <w:hyperlink r:id="rId41" w:history="1">
        <w:r w:rsidRPr="004F5221">
          <w:rPr>
            <w:rStyle w:val="Hyperlink"/>
            <w:rFonts w:asciiTheme="minorHAnsi" w:eastAsiaTheme="majorEastAsia" w:hAnsiTheme="minorHAnsi" w:cstheme="minorHAnsi"/>
            <w:sz w:val="22"/>
            <w:szCs w:val="22"/>
          </w:rPr>
          <w:t>https://doi.org/10.1016/j.cpr.2011.05.001</w:t>
        </w:r>
      </w:hyperlink>
    </w:p>
    <w:p w14:paraId="34F983DB"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 xml:space="preserve">Goodson, J., Helstrom, A., Halpern, J. M., Ferenschak, M. P., Gillihan, S. J., &amp; Powers, M. B. (2011). Treatment of Posttraumatic Stress Disorder in U.S. Combat Veterans: A Meta-Analytic Review. </w:t>
      </w:r>
      <w:r w:rsidRPr="004F5221">
        <w:rPr>
          <w:rFonts w:asciiTheme="minorHAnsi" w:hAnsiTheme="minorHAnsi" w:cstheme="minorHAnsi"/>
          <w:i/>
          <w:iCs/>
          <w:sz w:val="22"/>
          <w:szCs w:val="22"/>
        </w:rPr>
        <w:t>Psychological Reports</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109</w:t>
      </w:r>
      <w:r w:rsidRPr="004F5221">
        <w:rPr>
          <w:rFonts w:asciiTheme="minorHAnsi" w:hAnsiTheme="minorHAnsi" w:cstheme="minorHAnsi"/>
          <w:sz w:val="22"/>
          <w:szCs w:val="22"/>
        </w:rPr>
        <w:t xml:space="preserve">(2), 573–599. </w:t>
      </w:r>
      <w:hyperlink r:id="rId42" w:history="1">
        <w:r w:rsidRPr="004F5221">
          <w:rPr>
            <w:rStyle w:val="Hyperlink"/>
            <w:rFonts w:asciiTheme="minorHAnsi" w:eastAsiaTheme="majorEastAsia" w:hAnsiTheme="minorHAnsi" w:cstheme="minorHAnsi"/>
            <w:sz w:val="22"/>
            <w:szCs w:val="22"/>
          </w:rPr>
          <w:t>https://doi.org/10.2466/02.09.15.16.pr0.109.5.573-599</w:t>
        </w:r>
      </w:hyperlink>
    </w:p>
    <w:p w14:paraId="634448D7"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 xml:space="preserve">Grubaugh, A. L., Zinzow, H. M., Paul, L., Egede, L. E., &amp; Frueh, B. C. (2011). Trauma exposure and posttraumatic stress disorder in adults with severe mental illness: A critical review. </w:t>
      </w:r>
      <w:r w:rsidRPr="004F5221">
        <w:rPr>
          <w:rFonts w:asciiTheme="minorHAnsi" w:hAnsiTheme="minorHAnsi" w:cstheme="minorHAnsi"/>
          <w:i/>
          <w:iCs/>
          <w:sz w:val="22"/>
          <w:szCs w:val="22"/>
        </w:rPr>
        <w:t>Clinical Psychology Review</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31</w:t>
      </w:r>
      <w:r w:rsidRPr="004F5221">
        <w:rPr>
          <w:rFonts w:asciiTheme="minorHAnsi" w:hAnsiTheme="minorHAnsi" w:cstheme="minorHAnsi"/>
          <w:sz w:val="22"/>
          <w:szCs w:val="22"/>
        </w:rPr>
        <w:t xml:space="preserve">(6), 883–899. </w:t>
      </w:r>
      <w:hyperlink r:id="rId43" w:history="1">
        <w:r w:rsidR="001435E1" w:rsidRPr="004F5221">
          <w:rPr>
            <w:rStyle w:val="Hyperlink"/>
            <w:rFonts w:asciiTheme="minorHAnsi" w:hAnsiTheme="minorHAnsi" w:cstheme="minorHAnsi"/>
            <w:sz w:val="22"/>
            <w:szCs w:val="22"/>
          </w:rPr>
          <w:t>https://doi.org/10.1016/j.cpr.2011.04.003</w:t>
        </w:r>
      </w:hyperlink>
    </w:p>
    <w:p w14:paraId="4DAB499B"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 xml:space="preserve">Hale, W., Richmond, M., Bennett, J., Berzins, T., Fields, A., Weber, D., Beck, M., &amp; Osman, A. (2015). Resolving Uncertainty About the Intolerance of Uncertainty Scale–12: Application of Modern Psychometric Strategies. </w:t>
      </w:r>
      <w:r w:rsidRPr="004F5221">
        <w:rPr>
          <w:rFonts w:asciiTheme="minorHAnsi" w:hAnsiTheme="minorHAnsi" w:cstheme="minorHAnsi"/>
          <w:i/>
          <w:iCs/>
          <w:sz w:val="22"/>
          <w:szCs w:val="22"/>
        </w:rPr>
        <w:t>Journal of Personality Assessment</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98</w:t>
      </w:r>
      <w:r w:rsidRPr="004F5221">
        <w:rPr>
          <w:rFonts w:asciiTheme="minorHAnsi" w:hAnsiTheme="minorHAnsi" w:cstheme="minorHAnsi"/>
          <w:sz w:val="22"/>
          <w:szCs w:val="22"/>
        </w:rPr>
        <w:t xml:space="preserve">(2), 200–208. </w:t>
      </w:r>
      <w:hyperlink r:id="rId44" w:history="1">
        <w:r w:rsidRPr="004F5221">
          <w:rPr>
            <w:rStyle w:val="Hyperlink"/>
            <w:rFonts w:asciiTheme="minorHAnsi" w:eastAsiaTheme="majorEastAsia" w:hAnsiTheme="minorHAnsi" w:cstheme="minorHAnsi"/>
            <w:sz w:val="22"/>
            <w:szCs w:val="22"/>
          </w:rPr>
          <w:t>https://doi.org/10.1080/00223891.2015.1070355</w:t>
        </w:r>
      </w:hyperlink>
    </w:p>
    <w:p w14:paraId="3F338F8F" w14:textId="77777777" w:rsidR="001435E1" w:rsidRPr="004F5221" w:rsidRDefault="005B760F" w:rsidP="004F5221">
      <w:pPr>
        <w:pStyle w:val="NormalWeb"/>
        <w:spacing w:before="0" w:beforeAutospacing="0" w:after="0" w:afterAutospacing="0" w:line="360" w:lineRule="auto"/>
        <w:ind w:left="720" w:firstLine="720"/>
        <w:jc w:val="both"/>
        <w:rPr>
          <w:rStyle w:val="Hyperlink"/>
          <w:rFonts w:asciiTheme="minorHAnsi" w:hAnsiTheme="minorHAnsi" w:cstheme="minorHAnsi"/>
          <w:color w:val="auto"/>
          <w:sz w:val="22"/>
          <w:szCs w:val="22"/>
          <w:u w:val="none"/>
        </w:rPr>
      </w:pPr>
      <w:r w:rsidRPr="004F5221">
        <w:rPr>
          <w:rFonts w:asciiTheme="minorHAnsi" w:hAnsiTheme="minorHAnsi" w:cstheme="minorHAnsi"/>
          <w:sz w:val="22"/>
          <w:szCs w:val="22"/>
        </w:rPr>
        <w:t xml:space="preserve">Haugen, P. T., Evces, M., &amp; Weiss, D. S. (2012). Treating posttraumatic stress disorder in first responders: A systematic review. </w:t>
      </w:r>
      <w:r w:rsidRPr="004F5221">
        <w:rPr>
          <w:rFonts w:asciiTheme="minorHAnsi" w:hAnsiTheme="minorHAnsi" w:cstheme="minorHAnsi"/>
          <w:i/>
          <w:iCs/>
          <w:sz w:val="22"/>
          <w:szCs w:val="22"/>
        </w:rPr>
        <w:t>Clinical Psychology Review</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32</w:t>
      </w:r>
      <w:r w:rsidRPr="004F5221">
        <w:rPr>
          <w:rFonts w:asciiTheme="minorHAnsi" w:hAnsiTheme="minorHAnsi" w:cstheme="minorHAnsi"/>
          <w:sz w:val="22"/>
          <w:szCs w:val="22"/>
        </w:rPr>
        <w:t xml:space="preserve">(5), 370–380. </w:t>
      </w:r>
      <w:hyperlink r:id="rId45" w:history="1">
        <w:r w:rsidRPr="004F5221">
          <w:rPr>
            <w:rStyle w:val="Hyperlink"/>
            <w:rFonts w:asciiTheme="minorHAnsi" w:eastAsiaTheme="majorEastAsia" w:hAnsiTheme="minorHAnsi" w:cstheme="minorHAnsi"/>
            <w:sz w:val="22"/>
            <w:szCs w:val="22"/>
          </w:rPr>
          <w:t>https://doi.org/10.1016/j.cpr.2012.04.001</w:t>
        </w:r>
      </w:hyperlink>
    </w:p>
    <w:p w14:paraId="38172908"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eastAsiaTheme="majorEastAsia" w:hAnsiTheme="minorHAnsi" w:cstheme="minorHAnsi"/>
          <w:color w:val="0563C1" w:themeColor="hyperlink"/>
          <w:sz w:val="22"/>
          <w:szCs w:val="22"/>
          <w:u w:val="single"/>
        </w:rPr>
      </w:pPr>
      <w:r w:rsidRPr="004F5221">
        <w:rPr>
          <w:rFonts w:asciiTheme="minorHAnsi" w:hAnsiTheme="minorHAnsi" w:cstheme="minorHAnsi"/>
          <w:sz w:val="22"/>
          <w:szCs w:val="22"/>
        </w:rPr>
        <w:lastRenderedPageBreak/>
        <w:t xml:space="preserve">Hebert, E. A., &amp; Dugas, M. J. (2018). Behavioral Experiments for Intolerance of Uncertainty: Challenging the Unknown in the Treatment of Generalized Anxiety Disorder. </w:t>
      </w:r>
      <w:r w:rsidRPr="004F5221">
        <w:rPr>
          <w:rFonts w:asciiTheme="minorHAnsi" w:hAnsiTheme="minorHAnsi" w:cstheme="minorHAnsi"/>
          <w:i/>
          <w:iCs/>
          <w:sz w:val="22"/>
          <w:szCs w:val="22"/>
        </w:rPr>
        <w:t>Cognitive and Behavioral Practice</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26</w:t>
      </w:r>
      <w:r w:rsidRPr="004F5221">
        <w:rPr>
          <w:rFonts w:asciiTheme="minorHAnsi" w:hAnsiTheme="minorHAnsi" w:cstheme="minorHAnsi"/>
          <w:sz w:val="22"/>
          <w:szCs w:val="22"/>
        </w:rPr>
        <w:t xml:space="preserve">(2). </w:t>
      </w:r>
      <w:hyperlink r:id="rId46" w:history="1">
        <w:r w:rsidRPr="004F5221">
          <w:rPr>
            <w:rStyle w:val="Hyperlink"/>
            <w:rFonts w:asciiTheme="minorHAnsi" w:eastAsiaTheme="majorEastAsia" w:hAnsiTheme="minorHAnsi" w:cstheme="minorHAnsi"/>
            <w:sz w:val="22"/>
            <w:szCs w:val="22"/>
          </w:rPr>
          <w:t>https://doi.org/10.1016/j.cbpra.2018.07.007</w:t>
        </w:r>
      </w:hyperlink>
    </w:p>
    <w:p w14:paraId="6B8DE7B4"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eastAsiaTheme="majorEastAsia" w:hAnsiTheme="minorHAnsi" w:cstheme="minorHAnsi"/>
          <w:color w:val="0563C1" w:themeColor="hyperlink"/>
          <w:sz w:val="22"/>
          <w:szCs w:val="22"/>
          <w:u w:val="single"/>
        </w:rPr>
      </w:pPr>
      <w:r w:rsidRPr="004F5221">
        <w:rPr>
          <w:rFonts w:asciiTheme="minorHAnsi" w:hAnsiTheme="minorHAnsi" w:cstheme="minorHAnsi"/>
          <w:sz w:val="22"/>
          <w:szCs w:val="22"/>
        </w:rPr>
        <w:t xml:space="preserve">Holaway, R. M., Heimberg, R. G., &amp; Coles, M. E. (2006). A comparison of intolerance of uncertainty in analogue obsessive-compulsive disorder and generalized anxiety disorder. </w:t>
      </w:r>
      <w:r w:rsidRPr="004F5221">
        <w:rPr>
          <w:rFonts w:asciiTheme="minorHAnsi" w:hAnsiTheme="minorHAnsi" w:cstheme="minorHAnsi"/>
          <w:i/>
          <w:iCs/>
          <w:sz w:val="22"/>
          <w:szCs w:val="22"/>
        </w:rPr>
        <w:t>Journal of Anxiety Disorders</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20</w:t>
      </w:r>
      <w:r w:rsidRPr="004F5221">
        <w:rPr>
          <w:rFonts w:asciiTheme="minorHAnsi" w:hAnsiTheme="minorHAnsi" w:cstheme="minorHAnsi"/>
          <w:sz w:val="22"/>
          <w:szCs w:val="22"/>
        </w:rPr>
        <w:t xml:space="preserve">(2), 158–174. </w:t>
      </w:r>
      <w:hyperlink r:id="rId47" w:history="1">
        <w:r w:rsidRPr="004F5221">
          <w:rPr>
            <w:rStyle w:val="Hyperlink"/>
            <w:rFonts w:asciiTheme="minorHAnsi" w:eastAsiaTheme="majorEastAsia" w:hAnsiTheme="minorHAnsi" w:cstheme="minorHAnsi"/>
            <w:sz w:val="22"/>
            <w:szCs w:val="22"/>
          </w:rPr>
          <w:t>https://doi.org/10.1016/j.janxdis.2005.01.002</w:t>
        </w:r>
      </w:hyperlink>
    </w:p>
    <w:p w14:paraId="3DFECF64"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eastAsiaTheme="majorEastAsia" w:hAnsiTheme="minorHAnsi" w:cstheme="minorHAnsi"/>
          <w:color w:val="0563C1" w:themeColor="hyperlink"/>
          <w:sz w:val="22"/>
          <w:szCs w:val="22"/>
          <w:u w:val="single"/>
        </w:rPr>
      </w:pPr>
      <w:r w:rsidRPr="004F5221">
        <w:rPr>
          <w:rFonts w:asciiTheme="minorHAnsi" w:hAnsiTheme="minorHAnsi" w:cstheme="minorHAnsi"/>
          <w:sz w:val="22"/>
          <w:szCs w:val="22"/>
        </w:rPr>
        <w:t xml:space="preserve">Hong, R. Y., &amp; Lee, S. S. M. (2015). Further clarifying prospective and inhibitory intolerance of uncertainty: Factorial and construct validity of test scores from the Intolerance of Uncertainty Scale. </w:t>
      </w:r>
      <w:r w:rsidRPr="004F5221">
        <w:rPr>
          <w:rFonts w:asciiTheme="minorHAnsi" w:hAnsiTheme="minorHAnsi" w:cstheme="minorHAnsi"/>
          <w:i/>
          <w:iCs/>
          <w:sz w:val="22"/>
          <w:szCs w:val="22"/>
        </w:rPr>
        <w:t>Psychological Assessment</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27</w:t>
      </w:r>
      <w:r w:rsidRPr="004F5221">
        <w:rPr>
          <w:rFonts w:asciiTheme="minorHAnsi" w:hAnsiTheme="minorHAnsi" w:cstheme="minorHAnsi"/>
          <w:sz w:val="22"/>
          <w:szCs w:val="22"/>
        </w:rPr>
        <w:t xml:space="preserve">(2), 605–620. </w:t>
      </w:r>
      <w:hyperlink r:id="rId48" w:history="1">
        <w:r w:rsidRPr="004F5221">
          <w:rPr>
            <w:rStyle w:val="Hyperlink"/>
            <w:rFonts w:asciiTheme="minorHAnsi" w:eastAsiaTheme="majorEastAsia" w:hAnsiTheme="minorHAnsi" w:cstheme="minorHAnsi"/>
            <w:sz w:val="22"/>
            <w:szCs w:val="22"/>
          </w:rPr>
          <w:t>https://doi.org/10.1037/pas0000074</w:t>
        </w:r>
      </w:hyperlink>
    </w:p>
    <w:p w14:paraId="7366F17D"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eastAsiaTheme="majorEastAsia" w:hAnsiTheme="minorHAnsi" w:cstheme="minorHAnsi"/>
          <w:color w:val="0563C1" w:themeColor="hyperlink"/>
          <w:sz w:val="22"/>
          <w:szCs w:val="22"/>
          <w:u w:val="single"/>
        </w:rPr>
      </w:pPr>
      <w:r w:rsidRPr="004F5221">
        <w:rPr>
          <w:rFonts w:asciiTheme="minorHAnsi" w:hAnsiTheme="minorHAnsi" w:cstheme="minorHAnsi"/>
          <w:sz w:val="22"/>
          <w:szCs w:val="22"/>
        </w:rPr>
        <w:t xml:space="preserve">Jacoby, R. J., Fabricant, L. E., Leonard, R. C., Riemann, B. C., &amp; Abramowitz, J. S. (2013). Just to be certain: Confirming the factor structure of the Intolerance of Uncertainty Scale in patients with obsessive-compulsive disorder. </w:t>
      </w:r>
      <w:r w:rsidRPr="004F5221">
        <w:rPr>
          <w:rFonts w:asciiTheme="minorHAnsi" w:hAnsiTheme="minorHAnsi" w:cstheme="minorHAnsi"/>
          <w:i/>
          <w:iCs/>
          <w:sz w:val="22"/>
          <w:szCs w:val="22"/>
        </w:rPr>
        <w:t>Journal of Anxiety Disorders</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27</w:t>
      </w:r>
      <w:r w:rsidRPr="004F5221">
        <w:rPr>
          <w:rFonts w:asciiTheme="minorHAnsi" w:hAnsiTheme="minorHAnsi" w:cstheme="minorHAnsi"/>
          <w:sz w:val="22"/>
          <w:szCs w:val="22"/>
        </w:rPr>
        <w:t xml:space="preserve">(5), 535–542. </w:t>
      </w:r>
      <w:hyperlink r:id="rId49" w:history="1">
        <w:r w:rsidRPr="004F5221">
          <w:rPr>
            <w:rStyle w:val="Hyperlink"/>
            <w:rFonts w:asciiTheme="minorHAnsi" w:eastAsiaTheme="majorEastAsia" w:hAnsiTheme="minorHAnsi" w:cstheme="minorHAnsi"/>
            <w:sz w:val="22"/>
            <w:szCs w:val="22"/>
          </w:rPr>
          <w:t>https://doi.org/10.1016/j.janxdis.2013.07.008</w:t>
        </w:r>
      </w:hyperlink>
    </w:p>
    <w:p w14:paraId="4F4B3129"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eastAsiaTheme="majorEastAsia" w:hAnsiTheme="minorHAnsi" w:cstheme="minorHAnsi"/>
          <w:color w:val="0563C1" w:themeColor="hyperlink"/>
          <w:sz w:val="22"/>
          <w:szCs w:val="22"/>
          <w:u w:val="single"/>
        </w:rPr>
      </w:pPr>
      <w:r w:rsidRPr="004F5221">
        <w:rPr>
          <w:rFonts w:asciiTheme="minorHAnsi" w:hAnsiTheme="minorHAnsi" w:cstheme="minorHAnsi"/>
          <w:sz w:val="22"/>
          <w:szCs w:val="22"/>
        </w:rPr>
        <w:t xml:space="preserve">Khawaja, N., &amp; Yu, L. N. H. (2010). A comparison of the 27-item and 12-item intolerance of uncertainty scales. </w:t>
      </w:r>
      <w:r w:rsidRPr="004F5221">
        <w:rPr>
          <w:rFonts w:asciiTheme="minorHAnsi" w:hAnsiTheme="minorHAnsi" w:cstheme="minorHAnsi"/>
          <w:i/>
          <w:iCs/>
          <w:sz w:val="22"/>
          <w:szCs w:val="22"/>
        </w:rPr>
        <w:t>Clinical Psychologist</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14</w:t>
      </w:r>
      <w:r w:rsidRPr="004F5221">
        <w:rPr>
          <w:rFonts w:asciiTheme="minorHAnsi" w:hAnsiTheme="minorHAnsi" w:cstheme="minorHAnsi"/>
          <w:sz w:val="22"/>
          <w:szCs w:val="22"/>
        </w:rPr>
        <w:t xml:space="preserve">(3), 97–106. </w:t>
      </w:r>
      <w:hyperlink r:id="rId50" w:history="1">
        <w:r w:rsidRPr="004F5221">
          <w:rPr>
            <w:rStyle w:val="Hyperlink"/>
            <w:rFonts w:asciiTheme="minorHAnsi" w:eastAsiaTheme="majorEastAsia" w:hAnsiTheme="minorHAnsi" w:cstheme="minorHAnsi"/>
            <w:sz w:val="22"/>
            <w:szCs w:val="22"/>
          </w:rPr>
          <w:t>https://doi.org/10.1080/13284207.2010.502542</w:t>
        </w:r>
      </w:hyperlink>
    </w:p>
    <w:p w14:paraId="12A9C957"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eastAsiaTheme="majorEastAsia" w:hAnsiTheme="minorHAnsi" w:cstheme="minorHAnsi"/>
          <w:color w:val="0563C1" w:themeColor="hyperlink"/>
          <w:sz w:val="22"/>
          <w:szCs w:val="22"/>
          <w:u w:val="single"/>
        </w:rPr>
      </w:pPr>
      <w:r w:rsidRPr="004F5221">
        <w:rPr>
          <w:rFonts w:asciiTheme="minorHAnsi" w:hAnsiTheme="minorHAnsi" w:cstheme="minorHAnsi"/>
          <w:sz w:val="22"/>
          <w:szCs w:val="22"/>
        </w:rPr>
        <w:t xml:space="preserve">Ladouceur, R., Gosselin, P., &amp; Dugas, M. J. (2000). Experimental manipulation of intolerance of uncertainty: a study of a theoretical model of worry. </w:t>
      </w:r>
      <w:r w:rsidRPr="004F5221">
        <w:rPr>
          <w:rFonts w:asciiTheme="minorHAnsi" w:hAnsiTheme="minorHAnsi" w:cstheme="minorHAnsi"/>
          <w:i/>
          <w:iCs/>
          <w:sz w:val="22"/>
          <w:szCs w:val="22"/>
        </w:rPr>
        <w:t>Behaviour Research and Therapy</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38</w:t>
      </w:r>
      <w:r w:rsidRPr="004F5221">
        <w:rPr>
          <w:rFonts w:asciiTheme="minorHAnsi" w:hAnsiTheme="minorHAnsi" w:cstheme="minorHAnsi"/>
          <w:sz w:val="22"/>
          <w:szCs w:val="22"/>
        </w:rPr>
        <w:t xml:space="preserve">(9), 933–941. </w:t>
      </w:r>
      <w:hyperlink r:id="rId51" w:history="1">
        <w:r w:rsidR="001435E1" w:rsidRPr="004F5221">
          <w:rPr>
            <w:rStyle w:val="Hyperlink"/>
            <w:rFonts w:asciiTheme="minorHAnsi" w:hAnsiTheme="minorHAnsi" w:cstheme="minorHAnsi"/>
            <w:sz w:val="22"/>
            <w:szCs w:val="22"/>
          </w:rPr>
          <w:t>https://doi.org/10.1016/s0005-7967(99)00133-3</w:t>
        </w:r>
      </w:hyperlink>
    </w:p>
    <w:p w14:paraId="169DC11C" w14:textId="77777777" w:rsidR="001435E1" w:rsidRPr="004F5221" w:rsidRDefault="005B760F" w:rsidP="004F5221">
      <w:pPr>
        <w:pStyle w:val="NormalWeb"/>
        <w:spacing w:before="0" w:beforeAutospacing="0" w:after="0" w:afterAutospacing="0" w:line="360" w:lineRule="auto"/>
        <w:ind w:left="720" w:firstLine="720"/>
        <w:jc w:val="both"/>
        <w:rPr>
          <w:rStyle w:val="Hyperlink"/>
          <w:rFonts w:asciiTheme="minorHAnsi" w:eastAsiaTheme="majorEastAsia" w:hAnsiTheme="minorHAnsi" w:cstheme="minorHAnsi"/>
          <w:sz w:val="22"/>
          <w:szCs w:val="22"/>
        </w:rPr>
      </w:pPr>
      <w:r w:rsidRPr="004F5221">
        <w:rPr>
          <w:rFonts w:asciiTheme="minorHAnsi" w:hAnsiTheme="minorHAnsi" w:cstheme="minorHAnsi"/>
          <w:sz w:val="22"/>
          <w:szCs w:val="22"/>
        </w:rPr>
        <w:t xml:space="preserve">Lee, W., Lee, Y.-R., Yoon, J.-H., Lee, H.-J., &amp; Kang, M.-Y. (2020). Occupational post-traumatic stress disorder: an updated systematic review. </w:t>
      </w:r>
      <w:r w:rsidRPr="004F5221">
        <w:rPr>
          <w:rFonts w:asciiTheme="minorHAnsi" w:hAnsiTheme="minorHAnsi" w:cstheme="minorHAnsi"/>
          <w:i/>
          <w:iCs/>
          <w:sz w:val="22"/>
          <w:szCs w:val="22"/>
        </w:rPr>
        <w:t>BMC Public Health</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20</w:t>
      </w:r>
      <w:r w:rsidRPr="004F5221">
        <w:rPr>
          <w:rFonts w:asciiTheme="minorHAnsi" w:hAnsiTheme="minorHAnsi" w:cstheme="minorHAnsi"/>
          <w:sz w:val="22"/>
          <w:szCs w:val="22"/>
        </w:rPr>
        <w:t>(1)</w:t>
      </w:r>
      <w:r w:rsidR="00615B50" w:rsidRPr="004F5221">
        <w:rPr>
          <w:rFonts w:asciiTheme="minorHAnsi" w:hAnsiTheme="minorHAnsi" w:cstheme="minorHAnsi"/>
          <w:sz w:val="22"/>
          <w:szCs w:val="22"/>
        </w:rPr>
        <w:t>, 1-12</w:t>
      </w:r>
      <w:r w:rsidRPr="004F5221">
        <w:rPr>
          <w:rFonts w:asciiTheme="minorHAnsi" w:hAnsiTheme="minorHAnsi" w:cstheme="minorHAnsi"/>
          <w:sz w:val="22"/>
          <w:szCs w:val="22"/>
        </w:rPr>
        <w:t xml:space="preserve">. </w:t>
      </w:r>
      <w:hyperlink r:id="rId52" w:history="1">
        <w:r w:rsidRPr="004F5221">
          <w:rPr>
            <w:rStyle w:val="Hyperlink"/>
            <w:rFonts w:asciiTheme="minorHAnsi" w:eastAsiaTheme="majorEastAsia" w:hAnsiTheme="minorHAnsi" w:cstheme="minorHAnsi"/>
            <w:sz w:val="22"/>
            <w:szCs w:val="22"/>
          </w:rPr>
          <w:t>https://doi.org/10.1186/s12889-020-08903-2</w:t>
        </w:r>
      </w:hyperlink>
    </w:p>
    <w:p w14:paraId="3D0612FC"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eastAsiaTheme="majorEastAsia" w:hAnsiTheme="minorHAnsi" w:cstheme="minorHAnsi"/>
          <w:color w:val="0563C1" w:themeColor="hyperlink"/>
          <w:sz w:val="22"/>
          <w:szCs w:val="22"/>
          <w:u w:val="single"/>
        </w:rPr>
      </w:pPr>
      <w:r w:rsidRPr="004F5221">
        <w:rPr>
          <w:rFonts w:asciiTheme="minorHAnsi" w:hAnsiTheme="minorHAnsi" w:cstheme="minorHAnsi"/>
          <w:sz w:val="22"/>
          <w:szCs w:val="22"/>
        </w:rPr>
        <w:t xml:space="preserve">Lisy, K., &amp; Porritt, K. (2016). Synthesis. </w:t>
      </w:r>
      <w:r w:rsidRPr="004F5221">
        <w:rPr>
          <w:rFonts w:asciiTheme="minorHAnsi" w:hAnsiTheme="minorHAnsi" w:cstheme="minorHAnsi"/>
          <w:i/>
          <w:iCs/>
          <w:sz w:val="22"/>
          <w:szCs w:val="22"/>
        </w:rPr>
        <w:t>International Journal of Evidence-Based Healthcare</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14</w:t>
      </w:r>
      <w:r w:rsidRPr="004F5221">
        <w:rPr>
          <w:rFonts w:asciiTheme="minorHAnsi" w:hAnsiTheme="minorHAnsi" w:cstheme="minorHAnsi"/>
          <w:sz w:val="22"/>
          <w:szCs w:val="22"/>
        </w:rPr>
        <w:t xml:space="preserve">(4), 201. </w:t>
      </w:r>
      <w:hyperlink r:id="rId53" w:history="1">
        <w:r w:rsidR="001435E1" w:rsidRPr="004F5221">
          <w:rPr>
            <w:rStyle w:val="Hyperlink"/>
            <w:rFonts w:asciiTheme="minorHAnsi" w:hAnsiTheme="minorHAnsi" w:cstheme="minorHAnsi"/>
            <w:sz w:val="22"/>
            <w:szCs w:val="22"/>
          </w:rPr>
          <w:t>https://doi.org/10.1097/01.xeb.0000511348.97198.8c</w:t>
        </w:r>
      </w:hyperlink>
    </w:p>
    <w:p w14:paraId="2D130FC9"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eastAsiaTheme="majorEastAsia" w:hAnsiTheme="minorHAnsi" w:cstheme="minorHAnsi"/>
          <w:color w:val="0563C1" w:themeColor="hyperlink"/>
          <w:sz w:val="22"/>
          <w:szCs w:val="22"/>
          <w:u w:val="single"/>
        </w:rPr>
      </w:pPr>
      <w:r w:rsidRPr="004F5221">
        <w:rPr>
          <w:rFonts w:asciiTheme="minorHAnsi" w:hAnsiTheme="minorHAnsi" w:cstheme="minorHAnsi"/>
          <w:sz w:val="22"/>
          <w:szCs w:val="22"/>
        </w:rPr>
        <w:t xml:space="preserve">Littleton, H., Grills-Taquechel, A., &amp; Axsom, D. (2009). Resource Loss as a Predictor of Posttrauma Symptoms Among College Women Following the Mass Shooting at Virginia Tech. </w:t>
      </w:r>
      <w:r w:rsidRPr="004F5221">
        <w:rPr>
          <w:rFonts w:asciiTheme="minorHAnsi" w:hAnsiTheme="minorHAnsi" w:cstheme="minorHAnsi"/>
          <w:i/>
          <w:iCs/>
          <w:sz w:val="22"/>
          <w:szCs w:val="22"/>
        </w:rPr>
        <w:t>Violence and Victims</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24</w:t>
      </w:r>
      <w:r w:rsidRPr="004F5221">
        <w:rPr>
          <w:rFonts w:asciiTheme="minorHAnsi" w:hAnsiTheme="minorHAnsi" w:cstheme="minorHAnsi"/>
          <w:sz w:val="22"/>
          <w:szCs w:val="22"/>
        </w:rPr>
        <w:t xml:space="preserve">(5), 669–686. </w:t>
      </w:r>
      <w:hyperlink r:id="rId54" w:history="1">
        <w:r w:rsidRPr="004F5221">
          <w:rPr>
            <w:rStyle w:val="Hyperlink"/>
            <w:rFonts w:asciiTheme="minorHAnsi" w:eastAsiaTheme="majorEastAsia" w:hAnsiTheme="minorHAnsi" w:cstheme="minorHAnsi"/>
            <w:sz w:val="22"/>
            <w:szCs w:val="22"/>
          </w:rPr>
          <w:t>https://doi.org/10.1891/0886-6708.24.5.669</w:t>
        </w:r>
      </w:hyperlink>
    </w:p>
    <w:p w14:paraId="4F515B60"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eastAsiaTheme="majorEastAsia" w:hAnsiTheme="minorHAnsi" w:cstheme="minorHAnsi"/>
          <w:color w:val="0563C1" w:themeColor="hyperlink"/>
          <w:sz w:val="22"/>
          <w:szCs w:val="22"/>
          <w:u w:val="single"/>
        </w:rPr>
      </w:pPr>
      <w:r w:rsidRPr="004F5221">
        <w:rPr>
          <w:rFonts w:asciiTheme="minorHAnsi" w:hAnsiTheme="minorHAnsi" w:cstheme="minorHAnsi"/>
          <w:sz w:val="22"/>
          <w:szCs w:val="22"/>
        </w:rPr>
        <w:t xml:space="preserve">Ma, L.-L., Wang, Y.-Y., Yang, Z.-H., Huang, D., Weng, H., &amp; Zeng, X.-T. (2020). Methodological quality (risk of bias) assessment tools for primary and secondary medical studies: what are they and which is better? </w:t>
      </w:r>
      <w:r w:rsidRPr="004F5221">
        <w:rPr>
          <w:rFonts w:asciiTheme="minorHAnsi" w:hAnsiTheme="minorHAnsi" w:cstheme="minorHAnsi"/>
          <w:i/>
          <w:iCs/>
          <w:sz w:val="22"/>
          <w:szCs w:val="22"/>
        </w:rPr>
        <w:t>Military Medical Research</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7</w:t>
      </w:r>
      <w:r w:rsidRPr="004F5221">
        <w:rPr>
          <w:rFonts w:asciiTheme="minorHAnsi" w:hAnsiTheme="minorHAnsi" w:cstheme="minorHAnsi"/>
          <w:sz w:val="22"/>
          <w:szCs w:val="22"/>
        </w:rPr>
        <w:t>(7)</w:t>
      </w:r>
      <w:r w:rsidR="00615B50" w:rsidRPr="004F5221">
        <w:rPr>
          <w:rFonts w:asciiTheme="minorHAnsi" w:hAnsiTheme="minorHAnsi" w:cstheme="minorHAnsi"/>
          <w:sz w:val="22"/>
          <w:szCs w:val="22"/>
        </w:rPr>
        <w:t>, 1 -11</w:t>
      </w:r>
      <w:r w:rsidRPr="004F5221">
        <w:rPr>
          <w:rFonts w:asciiTheme="minorHAnsi" w:hAnsiTheme="minorHAnsi" w:cstheme="minorHAnsi"/>
          <w:sz w:val="22"/>
          <w:szCs w:val="22"/>
        </w:rPr>
        <w:t xml:space="preserve">. </w:t>
      </w:r>
      <w:hyperlink r:id="rId55" w:history="1">
        <w:r w:rsidRPr="004F5221">
          <w:rPr>
            <w:rStyle w:val="Hyperlink"/>
            <w:rFonts w:asciiTheme="minorHAnsi" w:eastAsiaTheme="majorEastAsia" w:hAnsiTheme="minorHAnsi" w:cstheme="minorHAnsi"/>
            <w:sz w:val="22"/>
            <w:szCs w:val="22"/>
          </w:rPr>
          <w:t>https://doi.org/10.1186/s40779-020-00238-8</w:t>
        </w:r>
      </w:hyperlink>
    </w:p>
    <w:p w14:paraId="7F2B450B" w14:textId="77777777" w:rsidR="001435E1" w:rsidRPr="004F5221" w:rsidRDefault="005B760F" w:rsidP="004F5221">
      <w:pPr>
        <w:pStyle w:val="NormalWeb"/>
        <w:spacing w:before="0" w:beforeAutospacing="0" w:after="0" w:afterAutospacing="0" w:line="360" w:lineRule="auto"/>
        <w:ind w:left="720" w:firstLine="720"/>
        <w:jc w:val="both"/>
        <w:rPr>
          <w:rStyle w:val="Hyperlink"/>
          <w:rFonts w:asciiTheme="minorHAnsi" w:eastAsiaTheme="majorEastAsia" w:hAnsiTheme="minorHAnsi" w:cstheme="minorHAnsi"/>
          <w:sz w:val="22"/>
          <w:szCs w:val="22"/>
        </w:rPr>
      </w:pPr>
      <w:r w:rsidRPr="004F5221">
        <w:rPr>
          <w:rFonts w:asciiTheme="minorHAnsi" w:hAnsiTheme="minorHAnsi" w:cstheme="minorHAnsi"/>
          <w:sz w:val="22"/>
          <w:szCs w:val="22"/>
        </w:rPr>
        <w:lastRenderedPageBreak/>
        <w:t xml:space="preserve">Marshall, R. D., Olfson, M., Hellman, F., Blanco, C., Guardino, M., &amp; Struening, E. L. (2001). Comorbidity, Impairment, and Suicidality in Subthreshold PTSD. </w:t>
      </w:r>
      <w:r w:rsidRPr="004F5221">
        <w:rPr>
          <w:rFonts w:asciiTheme="minorHAnsi" w:hAnsiTheme="minorHAnsi" w:cstheme="minorHAnsi"/>
          <w:i/>
          <w:iCs/>
          <w:sz w:val="22"/>
          <w:szCs w:val="22"/>
        </w:rPr>
        <w:t>American Journal of Psychiatry</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158</w:t>
      </w:r>
      <w:r w:rsidRPr="004F5221">
        <w:rPr>
          <w:rFonts w:asciiTheme="minorHAnsi" w:hAnsiTheme="minorHAnsi" w:cstheme="minorHAnsi"/>
          <w:sz w:val="22"/>
          <w:szCs w:val="22"/>
        </w:rPr>
        <w:t xml:space="preserve">(9), 1467–1473. </w:t>
      </w:r>
      <w:hyperlink r:id="rId56" w:history="1">
        <w:r w:rsidRPr="004F5221">
          <w:rPr>
            <w:rStyle w:val="Hyperlink"/>
            <w:rFonts w:asciiTheme="minorHAnsi" w:eastAsiaTheme="majorEastAsia" w:hAnsiTheme="minorHAnsi" w:cstheme="minorHAnsi"/>
            <w:sz w:val="22"/>
            <w:szCs w:val="22"/>
          </w:rPr>
          <w:t>https://doi.org/10.1176/appi.ajp.158.9.1467</w:t>
        </w:r>
      </w:hyperlink>
    </w:p>
    <w:p w14:paraId="3A04A8AA"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eastAsiaTheme="majorEastAsia" w:hAnsiTheme="minorHAnsi" w:cstheme="minorHAnsi"/>
          <w:color w:val="0563C1" w:themeColor="hyperlink"/>
          <w:sz w:val="22"/>
          <w:szCs w:val="22"/>
          <w:u w:val="single"/>
        </w:rPr>
      </w:pPr>
      <w:r w:rsidRPr="004F5221">
        <w:rPr>
          <w:rFonts w:asciiTheme="minorHAnsi" w:hAnsiTheme="minorHAnsi" w:cstheme="minorHAnsi"/>
          <w:sz w:val="22"/>
          <w:szCs w:val="22"/>
        </w:rPr>
        <w:t xml:space="preserve">Marshall, G. N., Schell, T. L., Glynn, S. M., &amp; Shetty, V. (2006). The role of hyperarousal in the manifestation of posttraumatic psychological distress following injury. </w:t>
      </w:r>
      <w:r w:rsidRPr="004F5221">
        <w:rPr>
          <w:rFonts w:asciiTheme="minorHAnsi" w:hAnsiTheme="minorHAnsi" w:cstheme="minorHAnsi"/>
          <w:i/>
          <w:iCs/>
          <w:sz w:val="22"/>
          <w:szCs w:val="22"/>
        </w:rPr>
        <w:t>Journal of Abnormal Psychology</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115</w:t>
      </w:r>
      <w:r w:rsidRPr="004F5221">
        <w:rPr>
          <w:rFonts w:asciiTheme="minorHAnsi" w:hAnsiTheme="minorHAnsi" w:cstheme="minorHAnsi"/>
          <w:sz w:val="22"/>
          <w:szCs w:val="22"/>
        </w:rPr>
        <w:t xml:space="preserve">(3), 624–628. </w:t>
      </w:r>
      <w:hyperlink r:id="rId57" w:history="1">
        <w:r w:rsidR="001435E1" w:rsidRPr="004F5221">
          <w:rPr>
            <w:rStyle w:val="Hyperlink"/>
            <w:rFonts w:asciiTheme="minorHAnsi" w:hAnsiTheme="minorHAnsi" w:cstheme="minorHAnsi"/>
            <w:sz w:val="22"/>
            <w:szCs w:val="22"/>
          </w:rPr>
          <w:t>https://doi.org/10.1037/0021-843x.115.3.624</w:t>
        </w:r>
      </w:hyperlink>
    </w:p>
    <w:p w14:paraId="5FC74A5D" w14:textId="77777777" w:rsidR="00615B50" w:rsidRPr="004F5221" w:rsidRDefault="005B760F" w:rsidP="004F5221">
      <w:pPr>
        <w:pStyle w:val="NormalWeb"/>
        <w:spacing w:before="0" w:beforeAutospacing="0" w:after="0" w:afterAutospacing="0" w:line="360" w:lineRule="auto"/>
        <w:ind w:left="720" w:firstLine="720"/>
        <w:jc w:val="both"/>
        <w:rPr>
          <w:rFonts w:asciiTheme="minorHAnsi" w:eastAsiaTheme="majorEastAsia" w:hAnsiTheme="minorHAnsi" w:cstheme="minorHAnsi"/>
          <w:color w:val="0563C1" w:themeColor="hyperlink"/>
          <w:sz w:val="22"/>
          <w:szCs w:val="22"/>
          <w:u w:val="single"/>
        </w:rPr>
      </w:pPr>
      <w:r w:rsidRPr="004F5221">
        <w:rPr>
          <w:rFonts w:asciiTheme="minorHAnsi" w:hAnsiTheme="minorHAnsi" w:cstheme="minorHAnsi"/>
          <w:sz w:val="22"/>
          <w:szCs w:val="22"/>
        </w:rPr>
        <w:t xml:space="preserve">McDonagh, M., Peterson, K., Raina, P., Chang, S., &amp; Shekelle, P. (2013, February 20). </w:t>
      </w:r>
      <w:r w:rsidRPr="004F5221">
        <w:rPr>
          <w:rFonts w:asciiTheme="minorHAnsi" w:hAnsiTheme="minorHAnsi" w:cstheme="minorHAnsi"/>
          <w:i/>
          <w:iCs/>
          <w:sz w:val="22"/>
          <w:szCs w:val="22"/>
        </w:rPr>
        <w:t>Avoiding Bias in Selecting Studies</w:t>
      </w:r>
      <w:r w:rsidRPr="004F5221">
        <w:rPr>
          <w:rFonts w:asciiTheme="minorHAnsi" w:hAnsiTheme="minorHAnsi" w:cstheme="minorHAnsi"/>
          <w:sz w:val="22"/>
          <w:szCs w:val="22"/>
        </w:rPr>
        <w:t xml:space="preserve">. Nih.gov; Agency for Healthcare Research and Quality (US). </w:t>
      </w:r>
      <w:hyperlink r:id="rId58" w:history="1">
        <w:r w:rsidRPr="004F5221">
          <w:rPr>
            <w:rStyle w:val="Hyperlink"/>
            <w:rFonts w:asciiTheme="minorHAnsi" w:eastAsiaTheme="majorEastAsia" w:hAnsiTheme="minorHAnsi" w:cstheme="minorHAnsi"/>
            <w:sz w:val="22"/>
            <w:szCs w:val="22"/>
          </w:rPr>
          <w:t>https://www.ncbi.nlm.nih.gov/books/NBK126701/</w:t>
        </w:r>
      </w:hyperlink>
    </w:p>
    <w:p w14:paraId="7B7CABFF"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eastAsiaTheme="majorEastAsia" w:hAnsiTheme="minorHAnsi" w:cstheme="minorHAnsi"/>
          <w:color w:val="0563C1" w:themeColor="hyperlink"/>
          <w:sz w:val="22"/>
          <w:szCs w:val="22"/>
          <w:u w:val="single"/>
        </w:rPr>
      </w:pPr>
      <w:r w:rsidRPr="004F5221">
        <w:rPr>
          <w:rFonts w:asciiTheme="minorHAnsi" w:hAnsiTheme="minorHAnsi" w:cstheme="minorHAnsi"/>
          <w:sz w:val="22"/>
          <w:szCs w:val="22"/>
        </w:rPr>
        <w:t xml:space="preserve">McEvoy, P. M., &amp; Mahoney, A. E. J. (2011). Achieving certainty about the structure of intolerance of uncertainty in a treatment-seeking sample with anxiety and depression. </w:t>
      </w:r>
      <w:r w:rsidRPr="004F5221">
        <w:rPr>
          <w:rFonts w:asciiTheme="minorHAnsi" w:hAnsiTheme="minorHAnsi" w:cstheme="minorHAnsi"/>
          <w:i/>
          <w:iCs/>
          <w:sz w:val="22"/>
          <w:szCs w:val="22"/>
        </w:rPr>
        <w:t>Journal of Anxiety Disorders</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25</w:t>
      </w:r>
      <w:r w:rsidRPr="004F5221">
        <w:rPr>
          <w:rFonts w:asciiTheme="minorHAnsi" w:hAnsiTheme="minorHAnsi" w:cstheme="minorHAnsi"/>
          <w:sz w:val="22"/>
          <w:szCs w:val="22"/>
        </w:rPr>
        <w:t xml:space="preserve">(1), 112–122. </w:t>
      </w:r>
      <w:hyperlink r:id="rId59" w:history="1">
        <w:r w:rsidR="001435E1" w:rsidRPr="004F5221">
          <w:rPr>
            <w:rStyle w:val="Hyperlink"/>
            <w:rFonts w:asciiTheme="minorHAnsi" w:hAnsiTheme="minorHAnsi" w:cstheme="minorHAnsi"/>
            <w:sz w:val="22"/>
            <w:szCs w:val="22"/>
          </w:rPr>
          <w:t>https://doi.org/10.1016/j.janxdis.2010.08.010</w:t>
        </w:r>
      </w:hyperlink>
    </w:p>
    <w:p w14:paraId="78DF4A26"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 xml:space="preserve">McEvoy, P. M., &amp; Mahoney, A. E. J. (2012). To Be Sure, To Be Sure: Intolerance of Uncertainty Mediates Symptoms of Various Anxiety Disorders and Depression. </w:t>
      </w:r>
      <w:r w:rsidRPr="004F5221">
        <w:rPr>
          <w:rFonts w:asciiTheme="minorHAnsi" w:hAnsiTheme="minorHAnsi" w:cstheme="minorHAnsi"/>
          <w:i/>
          <w:iCs/>
          <w:sz w:val="22"/>
          <w:szCs w:val="22"/>
        </w:rPr>
        <w:t>Behavior Therapy</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43</w:t>
      </w:r>
      <w:r w:rsidRPr="004F5221">
        <w:rPr>
          <w:rFonts w:asciiTheme="minorHAnsi" w:hAnsiTheme="minorHAnsi" w:cstheme="minorHAnsi"/>
          <w:sz w:val="22"/>
          <w:szCs w:val="22"/>
        </w:rPr>
        <w:t xml:space="preserve">(3), 533–545. </w:t>
      </w:r>
      <w:hyperlink r:id="rId60" w:history="1">
        <w:r w:rsidRPr="004F5221">
          <w:rPr>
            <w:rStyle w:val="Hyperlink"/>
            <w:rFonts w:asciiTheme="minorHAnsi" w:eastAsiaTheme="majorEastAsia" w:hAnsiTheme="minorHAnsi" w:cstheme="minorHAnsi"/>
            <w:sz w:val="22"/>
            <w:szCs w:val="22"/>
          </w:rPr>
          <w:t>https://doi.org/10.1016/j.beth.2011.02.007</w:t>
        </w:r>
      </w:hyperlink>
    </w:p>
    <w:p w14:paraId="292C7F07" w14:textId="77777777" w:rsidR="001435E1" w:rsidRPr="004F5221" w:rsidRDefault="005B760F" w:rsidP="004F5221">
      <w:pPr>
        <w:pStyle w:val="NormalWeb"/>
        <w:spacing w:before="0" w:beforeAutospacing="0" w:after="0" w:afterAutospacing="0" w:line="360" w:lineRule="auto"/>
        <w:ind w:left="720" w:firstLine="720"/>
        <w:jc w:val="both"/>
        <w:rPr>
          <w:rStyle w:val="Hyperlink"/>
          <w:rFonts w:asciiTheme="minorHAnsi" w:eastAsiaTheme="majorEastAsia" w:hAnsiTheme="minorHAnsi" w:cstheme="minorHAnsi"/>
          <w:sz w:val="22"/>
          <w:szCs w:val="22"/>
        </w:rPr>
      </w:pPr>
      <w:r w:rsidRPr="004F5221">
        <w:rPr>
          <w:rFonts w:asciiTheme="minorHAnsi" w:hAnsiTheme="minorHAnsi" w:cstheme="minorHAnsi"/>
          <w:sz w:val="22"/>
          <w:szCs w:val="22"/>
        </w:rPr>
        <w:t xml:space="preserve">McEvoy, P. M., &amp; Erceg-Hurn, D. M. (2016). The search for universal transdiagnostic and trans-therapy change processes: Evidence for intolerance of uncertainty. </w:t>
      </w:r>
      <w:r w:rsidRPr="004F5221">
        <w:rPr>
          <w:rFonts w:asciiTheme="minorHAnsi" w:hAnsiTheme="minorHAnsi" w:cstheme="minorHAnsi"/>
          <w:i/>
          <w:iCs/>
          <w:sz w:val="22"/>
          <w:szCs w:val="22"/>
        </w:rPr>
        <w:t>Journal of Anxiety Disorders</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41</w:t>
      </w:r>
      <w:r w:rsidRPr="004F5221">
        <w:rPr>
          <w:rFonts w:asciiTheme="minorHAnsi" w:hAnsiTheme="minorHAnsi" w:cstheme="minorHAnsi"/>
          <w:sz w:val="22"/>
          <w:szCs w:val="22"/>
        </w:rPr>
        <w:t xml:space="preserve">, 96–107. </w:t>
      </w:r>
      <w:hyperlink r:id="rId61" w:history="1">
        <w:r w:rsidRPr="004F5221">
          <w:rPr>
            <w:rStyle w:val="Hyperlink"/>
            <w:rFonts w:asciiTheme="minorHAnsi" w:eastAsiaTheme="majorEastAsia" w:hAnsiTheme="minorHAnsi" w:cstheme="minorHAnsi"/>
            <w:sz w:val="22"/>
            <w:szCs w:val="22"/>
          </w:rPr>
          <w:t>https://doi.org/10.1016/j.janxdis.2016.02.002</w:t>
        </w:r>
      </w:hyperlink>
    </w:p>
    <w:p w14:paraId="2B1206B0"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Moher, D., Liberati, A., Tetzlaff, J., &amp; Altman, D. G. (2009). Preferred reporting items for systematic reviews and meta-analyses: the PRISMA statement. Annals of internal medicine, 151 (4), 264-269.</w:t>
      </w:r>
    </w:p>
    <w:p w14:paraId="6D974AED" w14:textId="77777777" w:rsidR="001435E1" w:rsidRPr="004F5221" w:rsidRDefault="005B760F" w:rsidP="004F5221">
      <w:pPr>
        <w:pStyle w:val="NormalWeb"/>
        <w:spacing w:before="0" w:beforeAutospacing="0" w:after="0" w:afterAutospacing="0" w:line="360" w:lineRule="auto"/>
        <w:ind w:left="720" w:firstLine="720"/>
        <w:jc w:val="both"/>
        <w:rPr>
          <w:rStyle w:val="Hyperlink"/>
          <w:rFonts w:asciiTheme="minorHAnsi" w:hAnsiTheme="minorHAnsi" w:cstheme="minorHAnsi"/>
          <w:color w:val="auto"/>
          <w:sz w:val="22"/>
          <w:szCs w:val="22"/>
          <w:u w:val="none"/>
        </w:rPr>
      </w:pPr>
      <w:r w:rsidRPr="004F5221">
        <w:rPr>
          <w:rFonts w:asciiTheme="minorHAnsi" w:hAnsiTheme="minorHAnsi" w:cstheme="minorHAnsi"/>
          <w:sz w:val="22"/>
          <w:szCs w:val="22"/>
        </w:rPr>
        <w:t xml:space="preserve">Mol, S. S. L., Arntz, A., Metsemakers, J. F. M., Dinant, G.-J., Vilters-van Montfort, P. A. P., &amp; Knottnerus, J. A. (2005). Symptoms of post-traumatic stress disorder after non-traumatic events: evidence from an open population study. </w:t>
      </w:r>
      <w:r w:rsidRPr="004F5221">
        <w:rPr>
          <w:rFonts w:asciiTheme="minorHAnsi" w:hAnsiTheme="minorHAnsi" w:cstheme="minorHAnsi"/>
          <w:i/>
          <w:iCs/>
          <w:sz w:val="22"/>
          <w:szCs w:val="22"/>
        </w:rPr>
        <w:t>British Journal of Psychiatry</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186</w:t>
      </w:r>
      <w:r w:rsidRPr="004F5221">
        <w:rPr>
          <w:rFonts w:asciiTheme="minorHAnsi" w:hAnsiTheme="minorHAnsi" w:cstheme="minorHAnsi"/>
          <w:sz w:val="22"/>
          <w:szCs w:val="22"/>
        </w:rPr>
        <w:t xml:space="preserve">(6), 494–499. </w:t>
      </w:r>
      <w:hyperlink r:id="rId62" w:history="1">
        <w:r w:rsidRPr="004F5221">
          <w:rPr>
            <w:rStyle w:val="Hyperlink"/>
            <w:rFonts w:asciiTheme="minorHAnsi" w:eastAsiaTheme="majorEastAsia" w:hAnsiTheme="minorHAnsi" w:cstheme="minorHAnsi"/>
            <w:sz w:val="22"/>
            <w:szCs w:val="22"/>
          </w:rPr>
          <w:t>https://doi.org/10.1192/bjp.186.6.494</w:t>
        </w:r>
      </w:hyperlink>
    </w:p>
    <w:p w14:paraId="602260C1"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 xml:space="preserve">Morina, N., Koerssen, R., &amp; Pollet, T. V. (2016). Interventions for children and adolescents with posttraumatic stress disorder: A meta-analysis of comparative outcome studies. </w:t>
      </w:r>
      <w:r w:rsidRPr="004F5221">
        <w:rPr>
          <w:rFonts w:asciiTheme="minorHAnsi" w:hAnsiTheme="minorHAnsi" w:cstheme="minorHAnsi"/>
          <w:i/>
          <w:iCs/>
          <w:sz w:val="22"/>
          <w:szCs w:val="22"/>
        </w:rPr>
        <w:t>Clinical Psychology Review</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47</w:t>
      </w:r>
      <w:r w:rsidRPr="004F5221">
        <w:rPr>
          <w:rFonts w:asciiTheme="minorHAnsi" w:hAnsiTheme="minorHAnsi" w:cstheme="minorHAnsi"/>
          <w:sz w:val="22"/>
          <w:szCs w:val="22"/>
        </w:rPr>
        <w:t xml:space="preserve">, 41–54. </w:t>
      </w:r>
      <w:hyperlink r:id="rId63" w:history="1">
        <w:r w:rsidR="001435E1" w:rsidRPr="004F5221">
          <w:rPr>
            <w:rStyle w:val="Hyperlink"/>
            <w:rFonts w:asciiTheme="minorHAnsi" w:hAnsiTheme="minorHAnsi" w:cstheme="minorHAnsi"/>
            <w:sz w:val="22"/>
            <w:szCs w:val="22"/>
          </w:rPr>
          <w:t>https://doi.org/10.1016/j.cpr.2016.05.006</w:t>
        </w:r>
      </w:hyperlink>
    </w:p>
    <w:p w14:paraId="21E6B34B"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 xml:space="preserve">O’Brien, W. H., Wang, S., Varga, A. V., Xu, H., Sims, T., Horan, K., &amp; Lim, C. X. (2021). Predicting personal protective equipment use, trauma symptoms, and physical symptoms in the USA during the early weeks of the COVID-19 lockdown (April 9–18, 2020). </w:t>
      </w:r>
      <w:r w:rsidRPr="004F5221">
        <w:rPr>
          <w:rFonts w:asciiTheme="minorHAnsi" w:hAnsiTheme="minorHAnsi" w:cstheme="minorHAnsi"/>
          <w:i/>
          <w:iCs/>
          <w:sz w:val="22"/>
          <w:szCs w:val="22"/>
        </w:rPr>
        <w:t>Journal of Contextual Behavioral Science</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21</w:t>
      </w:r>
      <w:r w:rsidRPr="004F5221">
        <w:rPr>
          <w:rFonts w:asciiTheme="minorHAnsi" w:hAnsiTheme="minorHAnsi" w:cstheme="minorHAnsi"/>
          <w:sz w:val="22"/>
          <w:szCs w:val="22"/>
        </w:rPr>
        <w:t xml:space="preserve">, 37–47. </w:t>
      </w:r>
      <w:hyperlink r:id="rId64" w:history="1">
        <w:r w:rsidRPr="004F5221">
          <w:rPr>
            <w:rStyle w:val="Hyperlink"/>
            <w:rFonts w:asciiTheme="minorHAnsi" w:eastAsiaTheme="majorEastAsia" w:hAnsiTheme="minorHAnsi" w:cstheme="minorHAnsi"/>
            <w:sz w:val="22"/>
            <w:szCs w:val="22"/>
          </w:rPr>
          <w:t>https://doi.org/10.1016/j.jcbs.2021.05.003</w:t>
        </w:r>
      </w:hyperlink>
    </w:p>
    <w:p w14:paraId="2A78FC4B"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lastRenderedPageBreak/>
        <w:t xml:space="preserve">Olff, M. (2017). Sex and gender differences in post-traumatic stress disorder: an update. </w:t>
      </w:r>
      <w:r w:rsidRPr="004F5221">
        <w:rPr>
          <w:rFonts w:asciiTheme="minorHAnsi" w:hAnsiTheme="minorHAnsi" w:cstheme="minorHAnsi"/>
          <w:i/>
          <w:iCs/>
          <w:sz w:val="22"/>
          <w:szCs w:val="22"/>
        </w:rPr>
        <w:t>European Journal of Psychotraumatology</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8</w:t>
      </w:r>
      <w:r w:rsidRPr="004F5221">
        <w:rPr>
          <w:rFonts w:asciiTheme="minorHAnsi" w:hAnsiTheme="minorHAnsi" w:cstheme="minorHAnsi"/>
          <w:sz w:val="22"/>
          <w:szCs w:val="22"/>
        </w:rPr>
        <w:t xml:space="preserve">(sup4), 1351204. </w:t>
      </w:r>
      <w:hyperlink r:id="rId65" w:history="1">
        <w:r w:rsidR="001435E1" w:rsidRPr="004F5221">
          <w:rPr>
            <w:rStyle w:val="Hyperlink"/>
            <w:rFonts w:asciiTheme="minorHAnsi" w:hAnsiTheme="minorHAnsi" w:cstheme="minorHAnsi"/>
            <w:sz w:val="22"/>
            <w:szCs w:val="22"/>
          </w:rPr>
          <w:t>https://doi.org/10.1080/20008198.2017.1351204</w:t>
        </w:r>
      </w:hyperlink>
    </w:p>
    <w:p w14:paraId="7E739DFD"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 xml:space="preserve">Oglesby, M. E., Boffa, J. W., Short, N. A., Raines, A. M., &amp; Schmidt, N. B. (2016). Intolerance of uncertainty as a predictor of post-traumatic stress symptoms following a traumatic event. </w:t>
      </w:r>
      <w:r w:rsidRPr="004F5221">
        <w:rPr>
          <w:rFonts w:asciiTheme="minorHAnsi" w:hAnsiTheme="minorHAnsi" w:cstheme="minorHAnsi"/>
          <w:i/>
          <w:iCs/>
          <w:sz w:val="22"/>
          <w:szCs w:val="22"/>
        </w:rPr>
        <w:t>Journal of Anxiety Disorders</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41</w:t>
      </w:r>
      <w:r w:rsidRPr="004F5221">
        <w:rPr>
          <w:rFonts w:asciiTheme="minorHAnsi" w:hAnsiTheme="minorHAnsi" w:cstheme="minorHAnsi"/>
          <w:sz w:val="22"/>
          <w:szCs w:val="22"/>
        </w:rPr>
        <w:t xml:space="preserve">, 82–87. </w:t>
      </w:r>
      <w:hyperlink r:id="rId66" w:history="1">
        <w:r w:rsidR="001435E1" w:rsidRPr="004F5221">
          <w:rPr>
            <w:rStyle w:val="Hyperlink"/>
            <w:rFonts w:asciiTheme="minorHAnsi" w:hAnsiTheme="minorHAnsi" w:cstheme="minorHAnsi"/>
            <w:sz w:val="22"/>
            <w:szCs w:val="22"/>
          </w:rPr>
          <w:t>https://doi.org/10.1016/j.janxdis.2016.01.005</w:t>
        </w:r>
      </w:hyperlink>
    </w:p>
    <w:p w14:paraId="3480DD76" w14:textId="77777777" w:rsidR="001435E1" w:rsidRPr="004F5221" w:rsidRDefault="005B760F" w:rsidP="004F5221">
      <w:pPr>
        <w:pStyle w:val="NormalWeb"/>
        <w:spacing w:before="0" w:beforeAutospacing="0" w:after="0" w:afterAutospacing="0" w:line="360" w:lineRule="auto"/>
        <w:ind w:left="720" w:firstLine="720"/>
        <w:jc w:val="both"/>
        <w:rPr>
          <w:rStyle w:val="Hyperlink"/>
          <w:rFonts w:asciiTheme="minorHAnsi" w:hAnsiTheme="minorHAnsi" w:cstheme="minorHAnsi"/>
          <w:color w:val="auto"/>
          <w:sz w:val="22"/>
          <w:szCs w:val="22"/>
          <w:u w:val="none"/>
        </w:rPr>
      </w:pPr>
      <w:r w:rsidRPr="004F5221">
        <w:rPr>
          <w:rFonts w:asciiTheme="minorHAnsi" w:hAnsiTheme="minorHAnsi" w:cstheme="minorHAnsi"/>
          <w:sz w:val="22"/>
          <w:szCs w:val="22"/>
        </w:rPr>
        <w:t xml:space="preserve">Ozer, E. J., Best, S. R., Lipsey, T. L., &amp; Weiss, D. S. (2003). Predictors of posttraumatic stress disorder and symptoms in adults: a meta-analysis. </w:t>
      </w:r>
      <w:r w:rsidRPr="004F5221">
        <w:rPr>
          <w:rFonts w:asciiTheme="minorHAnsi" w:hAnsiTheme="minorHAnsi" w:cstheme="minorHAnsi"/>
          <w:i/>
          <w:iCs/>
          <w:sz w:val="22"/>
          <w:szCs w:val="22"/>
        </w:rPr>
        <w:t>Psychological Bulletin</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129</w:t>
      </w:r>
      <w:r w:rsidRPr="004F5221">
        <w:rPr>
          <w:rFonts w:asciiTheme="minorHAnsi" w:hAnsiTheme="minorHAnsi" w:cstheme="minorHAnsi"/>
          <w:sz w:val="22"/>
          <w:szCs w:val="22"/>
        </w:rPr>
        <w:t xml:space="preserve">(1), 52–73. </w:t>
      </w:r>
      <w:hyperlink r:id="rId67" w:history="1">
        <w:r w:rsidRPr="004F5221">
          <w:rPr>
            <w:rStyle w:val="Hyperlink"/>
            <w:rFonts w:asciiTheme="minorHAnsi" w:eastAsiaTheme="majorEastAsia" w:hAnsiTheme="minorHAnsi" w:cstheme="minorHAnsi"/>
            <w:sz w:val="22"/>
            <w:szCs w:val="22"/>
          </w:rPr>
          <w:t>https://doi.org/10.1037/0033-2909.129.1.52</w:t>
        </w:r>
      </w:hyperlink>
    </w:p>
    <w:p w14:paraId="4EBCB6BB"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 xml:space="preserve">Page, M. J., McKenzie, J. E., Bossuyt, P. M., Boutron, I., Hoffmann, T. C., Mulrow, C. D., Shamseer, L., Tetzlaff, J. M., Akl, E. A., Brennan, S. E., Chou, R., Glanville, J., Grimshaw, J. M., Hróbjartsson, A., Lalu, M. M., Li, T., Loder, E. W., Mayo-Wilson, E., McDonald, S., &amp; McGuinness, L. A. (2021). The PRISMA 2020 statement: an Updated Guideline for Reporting Systematic Reviews. </w:t>
      </w:r>
      <w:r w:rsidRPr="004F5221">
        <w:rPr>
          <w:rFonts w:asciiTheme="minorHAnsi" w:hAnsiTheme="minorHAnsi" w:cstheme="minorHAnsi"/>
          <w:i/>
          <w:iCs/>
          <w:sz w:val="22"/>
          <w:szCs w:val="22"/>
        </w:rPr>
        <w:t>British Medical Journal</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372</w:t>
      </w:r>
      <w:r w:rsidRPr="004F5221">
        <w:rPr>
          <w:rFonts w:asciiTheme="minorHAnsi" w:hAnsiTheme="minorHAnsi" w:cstheme="minorHAnsi"/>
          <w:sz w:val="22"/>
          <w:szCs w:val="22"/>
        </w:rPr>
        <w:t xml:space="preserve">(71), n71. </w:t>
      </w:r>
      <w:hyperlink r:id="rId68" w:history="1">
        <w:r w:rsidR="001435E1" w:rsidRPr="004F5221">
          <w:rPr>
            <w:rStyle w:val="Hyperlink"/>
            <w:rFonts w:asciiTheme="minorHAnsi" w:hAnsiTheme="minorHAnsi" w:cstheme="minorHAnsi"/>
            <w:sz w:val="22"/>
            <w:szCs w:val="22"/>
          </w:rPr>
          <w:t>https://doi.org/10.1136/bmj.n71</w:t>
        </w:r>
      </w:hyperlink>
    </w:p>
    <w:p w14:paraId="38BB0CFC"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 xml:space="preserve">Qi, W., Gevonden, M., &amp; Shalev, A. (2016). Prevention of Post-Traumatic Stress Disorder After Trauma: Current Evidence and Future Directions. </w:t>
      </w:r>
      <w:r w:rsidRPr="004F5221">
        <w:rPr>
          <w:rFonts w:asciiTheme="minorHAnsi" w:hAnsiTheme="minorHAnsi" w:cstheme="minorHAnsi"/>
          <w:i/>
          <w:iCs/>
          <w:sz w:val="22"/>
          <w:szCs w:val="22"/>
        </w:rPr>
        <w:t>Current Psychiatry Reports</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18</w:t>
      </w:r>
      <w:r w:rsidRPr="004F5221">
        <w:rPr>
          <w:rFonts w:asciiTheme="minorHAnsi" w:hAnsiTheme="minorHAnsi" w:cstheme="minorHAnsi"/>
          <w:sz w:val="22"/>
          <w:szCs w:val="22"/>
        </w:rPr>
        <w:t xml:space="preserve">(2), 1-11. </w:t>
      </w:r>
      <w:hyperlink r:id="rId69" w:history="1">
        <w:r w:rsidRPr="004F5221">
          <w:rPr>
            <w:rStyle w:val="Hyperlink"/>
            <w:rFonts w:asciiTheme="minorHAnsi" w:eastAsiaTheme="majorEastAsia" w:hAnsiTheme="minorHAnsi" w:cstheme="minorHAnsi"/>
            <w:sz w:val="22"/>
            <w:szCs w:val="22"/>
          </w:rPr>
          <w:t>https://doi.org/10.1007/s11920-015-0655-0</w:t>
        </w:r>
      </w:hyperlink>
    </w:p>
    <w:p w14:paraId="7AEDEC58"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 xml:space="preserve">Raines, A. M., Oglesby, M. E., Walton, J. L., True, G., &amp; Franklin, C. L. (2019). Intolerance of uncertainty and DSM-5 PTSD symptoms: Associations among a treatment seeking veteran sample. </w:t>
      </w:r>
      <w:r w:rsidRPr="004F5221">
        <w:rPr>
          <w:rFonts w:asciiTheme="minorHAnsi" w:hAnsiTheme="minorHAnsi" w:cstheme="minorHAnsi"/>
          <w:i/>
          <w:iCs/>
          <w:sz w:val="22"/>
          <w:szCs w:val="22"/>
        </w:rPr>
        <w:t>Journal of Anxiety Disorders</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62</w:t>
      </w:r>
      <w:r w:rsidRPr="004F5221">
        <w:rPr>
          <w:rFonts w:asciiTheme="minorHAnsi" w:hAnsiTheme="minorHAnsi" w:cstheme="minorHAnsi"/>
          <w:sz w:val="22"/>
          <w:szCs w:val="22"/>
        </w:rPr>
        <w:t xml:space="preserve">, 61–67. </w:t>
      </w:r>
      <w:hyperlink r:id="rId70" w:history="1">
        <w:r w:rsidRPr="004F5221">
          <w:rPr>
            <w:rStyle w:val="Hyperlink"/>
            <w:rFonts w:asciiTheme="minorHAnsi" w:eastAsiaTheme="majorEastAsia" w:hAnsiTheme="minorHAnsi" w:cstheme="minorHAnsi"/>
            <w:sz w:val="22"/>
            <w:szCs w:val="22"/>
          </w:rPr>
          <w:t>https://doi.org/10.1016/j.janxdis.2018.12.002</w:t>
        </w:r>
      </w:hyperlink>
    </w:p>
    <w:p w14:paraId="1490F324"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 xml:space="preserve">Roberts, K., Meiser-Stedman, R., Brightwell, A., &amp; Young, J. (2021). Parental Anxiety and Posttraumatic Stress Symptoms in Pediatric Food Allergy. </w:t>
      </w:r>
      <w:r w:rsidRPr="004F5221">
        <w:rPr>
          <w:rFonts w:asciiTheme="minorHAnsi" w:hAnsiTheme="minorHAnsi" w:cstheme="minorHAnsi"/>
          <w:i/>
          <w:iCs/>
          <w:sz w:val="22"/>
          <w:szCs w:val="22"/>
        </w:rPr>
        <w:t>Journal of Pediatric Psychology</w:t>
      </w:r>
      <w:r w:rsidRPr="004F5221">
        <w:rPr>
          <w:rFonts w:asciiTheme="minorHAnsi" w:hAnsiTheme="minorHAnsi" w:cstheme="minorHAnsi"/>
          <w:sz w:val="22"/>
          <w:szCs w:val="22"/>
        </w:rPr>
        <w:t>. https://</w:t>
      </w:r>
      <w:r w:rsidR="001435E1" w:rsidRPr="004F5221">
        <w:rPr>
          <w:rFonts w:asciiTheme="minorHAnsi" w:hAnsiTheme="minorHAnsi" w:cstheme="minorHAnsi"/>
          <w:sz w:val="22"/>
          <w:szCs w:val="22"/>
        </w:rPr>
        <w:t xml:space="preserve">doi.org/10.1093/jpepsy/jsab012 </w:t>
      </w:r>
    </w:p>
    <w:p w14:paraId="17CC79A2"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 xml:space="preserve">Ruggiero, K. J., Ben, K. D., Scotti, J. R., &amp; Rabalais, A. E. (2003). Psychometric properties of the PTSD checklist—civilian version. </w:t>
      </w:r>
      <w:r w:rsidRPr="004F5221">
        <w:rPr>
          <w:rFonts w:asciiTheme="minorHAnsi" w:hAnsiTheme="minorHAnsi" w:cstheme="minorHAnsi"/>
          <w:i/>
          <w:iCs/>
          <w:sz w:val="22"/>
          <w:szCs w:val="22"/>
        </w:rPr>
        <w:t>Journal of Traumatic Stress</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16</w:t>
      </w:r>
      <w:r w:rsidRPr="004F5221">
        <w:rPr>
          <w:rFonts w:asciiTheme="minorHAnsi" w:hAnsiTheme="minorHAnsi" w:cstheme="minorHAnsi"/>
          <w:sz w:val="22"/>
          <w:szCs w:val="22"/>
        </w:rPr>
        <w:t xml:space="preserve">(5), 495–502. </w:t>
      </w:r>
      <w:hyperlink r:id="rId71" w:history="1">
        <w:r w:rsidR="001435E1" w:rsidRPr="004F5221">
          <w:rPr>
            <w:rStyle w:val="Hyperlink"/>
            <w:rFonts w:asciiTheme="minorHAnsi" w:hAnsiTheme="minorHAnsi" w:cstheme="minorHAnsi"/>
            <w:sz w:val="22"/>
            <w:szCs w:val="22"/>
          </w:rPr>
          <w:t>https://doi.org/10.1023/a:1025714729117</w:t>
        </w:r>
      </w:hyperlink>
    </w:p>
    <w:p w14:paraId="1A62EF41"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 xml:space="preserve">Sareen, J. (2014). Posttraumatic Stress Disorder in Adults: Impact, Comorbidity, Risk Factors, and Treatment. </w:t>
      </w:r>
      <w:r w:rsidRPr="004F5221">
        <w:rPr>
          <w:rFonts w:asciiTheme="minorHAnsi" w:hAnsiTheme="minorHAnsi" w:cstheme="minorHAnsi"/>
          <w:i/>
          <w:iCs/>
          <w:sz w:val="22"/>
          <w:szCs w:val="22"/>
        </w:rPr>
        <w:t>The Canadian Journal of Psychiatry</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59</w:t>
      </w:r>
      <w:r w:rsidRPr="004F5221">
        <w:rPr>
          <w:rFonts w:asciiTheme="minorHAnsi" w:hAnsiTheme="minorHAnsi" w:cstheme="minorHAnsi"/>
          <w:sz w:val="22"/>
          <w:szCs w:val="22"/>
        </w:rPr>
        <w:t xml:space="preserve">(9), 460–467. </w:t>
      </w:r>
      <w:hyperlink r:id="rId72" w:history="1">
        <w:r w:rsidR="001435E1" w:rsidRPr="004F5221">
          <w:rPr>
            <w:rStyle w:val="Hyperlink"/>
            <w:rFonts w:asciiTheme="minorHAnsi" w:hAnsiTheme="minorHAnsi" w:cstheme="minorHAnsi"/>
            <w:sz w:val="22"/>
            <w:szCs w:val="22"/>
          </w:rPr>
          <w:t>https://doi.org/10.1177/070674371405900902</w:t>
        </w:r>
      </w:hyperlink>
    </w:p>
    <w:p w14:paraId="60815B51" w14:textId="77777777" w:rsidR="001435E1" w:rsidRPr="004F5221" w:rsidRDefault="005B760F" w:rsidP="004F5221">
      <w:pPr>
        <w:pStyle w:val="NormalWeb"/>
        <w:spacing w:before="0" w:beforeAutospacing="0" w:after="0" w:afterAutospacing="0" w:line="360" w:lineRule="auto"/>
        <w:ind w:left="720" w:firstLine="720"/>
        <w:jc w:val="both"/>
        <w:rPr>
          <w:rStyle w:val="Hyperlink"/>
          <w:rFonts w:asciiTheme="minorHAnsi" w:hAnsiTheme="minorHAnsi" w:cstheme="minorHAnsi"/>
          <w:color w:val="auto"/>
          <w:sz w:val="22"/>
          <w:szCs w:val="22"/>
          <w:u w:val="none"/>
        </w:rPr>
      </w:pPr>
      <w:r w:rsidRPr="004F5221">
        <w:rPr>
          <w:rFonts w:asciiTheme="minorHAnsi" w:hAnsiTheme="minorHAnsi" w:cstheme="minorHAnsi"/>
          <w:sz w:val="22"/>
          <w:szCs w:val="22"/>
        </w:rPr>
        <w:t xml:space="preserve">Saulnier, K. G., Allan, N. P., Raines, A. M., &amp; Schmidt, N. B. (2019). Depression and Intolerance of Uncertainty: Relations between Uncertainty Subfactors and Depression Dimensions. </w:t>
      </w:r>
      <w:r w:rsidRPr="004F5221">
        <w:rPr>
          <w:rFonts w:asciiTheme="minorHAnsi" w:hAnsiTheme="minorHAnsi" w:cstheme="minorHAnsi"/>
          <w:i/>
          <w:iCs/>
          <w:sz w:val="22"/>
          <w:szCs w:val="22"/>
        </w:rPr>
        <w:t>Psychiatry</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82</w:t>
      </w:r>
      <w:r w:rsidRPr="004F5221">
        <w:rPr>
          <w:rFonts w:asciiTheme="minorHAnsi" w:hAnsiTheme="minorHAnsi" w:cstheme="minorHAnsi"/>
          <w:sz w:val="22"/>
          <w:szCs w:val="22"/>
        </w:rPr>
        <w:t xml:space="preserve">(1), 72–79. </w:t>
      </w:r>
      <w:hyperlink r:id="rId73" w:history="1">
        <w:r w:rsidRPr="004F5221">
          <w:rPr>
            <w:rStyle w:val="Hyperlink"/>
            <w:rFonts w:asciiTheme="minorHAnsi" w:eastAsiaTheme="majorEastAsia" w:hAnsiTheme="minorHAnsi" w:cstheme="minorHAnsi"/>
            <w:sz w:val="22"/>
            <w:szCs w:val="22"/>
          </w:rPr>
          <w:t>https://doi.org/10.1080/00332747.2018.1560583</w:t>
        </w:r>
      </w:hyperlink>
    </w:p>
    <w:p w14:paraId="5D990FEF" w14:textId="77777777" w:rsidR="005B760F"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lastRenderedPageBreak/>
        <w:t xml:space="preserve">Shapiro, F., &amp; Laliotis, D. (2010). EMDR and the Adaptive Information Processing Model: Integrative Treatment and Case Conceptualization. </w:t>
      </w:r>
      <w:r w:rsidRPr="004F5221">
        <w:rPr>
          <w:rFonts w:asciiTheme="minorHAnsi" w:hAnsiTheme="minorHAnsi" w:cstheme="minorHAnsi"/>
          <w:i/>
          <w:iCs/>
          <w:sz w:val="22"/>
          <w:szCs w:val="22"/>
        </w:rPr>
        <w:t>Clinical Social Work Journal</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39</w:t>
      </w:r>
      <w:r w:rsidRPr="004F5221">
        <w:rPr>
          <w:rFonts w:asciiTheme="minorHAnsi" w:hAnsiTheme="minorHAnsi" w:cstheme="minorHAnsi"/>
          <w:sz w:val="22"/>
          <w:szCs w:val="22"/>
        </w:rPr>
        <w:t xml:space="preserve">(2), 191–200. </w:t>
      </w:r>
      <w:hyperlink r:id="rId74" w:history="1">
        <w:r w:rsidRPr="004F5221">
          <w:rPr>
            <w:rStyle w:val="Hyperlink"/>
            <w:rFonts w:asciiTheme="minorHAnsi" w:eastAsiaTheme="majorEastAsia" w:hAnsiTheme="minorHAnsi" w:cstheme="minorHAnsi"/>
            <w:sz w:val="22"/>
            <w:szCs w:val="22"/>
          </w:rPr>
          <w:t>https://doi.org/10.1007/s10615-010-0300-7</w:t>
        </w:r>
      </w:hyperlink>
    </w:p>
    <w:p w14:paraId="54053809" w14:textId="77777777" w:rsidR="001435E1" w:rsidRPr="004F5221" w:rsidRDefault="005B760F" w:rsidP="004F5221">
      <w:pPr>
        <w:spacing w:after="0" w:line="360" w:lineRule="auto"/>
        <w:ind w:left="720" w:firstLine="720"/>
        <w:jc w:val="both"/>
        <w:rPr>
          <w:rStyle w:val="Hyperlink"/>
          <w:rFonts w:eastAsia="Times New Roman" w:cstheme="minorHAnsi"/>
          <w:lang w:eastAsia="en-GB"/>
        </w:rPr>
      </w:pPr>
      <w:r w:rsidRPr="004F5221">
        <w:rPr>
          <w:rFonts w:eastAsia="Times New Roman" w:cstheme="minorHAnsi"/>
          <w:lang w:eastAsia="en-GB"/>
        </w:rPr>
        <w:t xml:space="preserve">Shapiro, M. O., Thompson, J. S., Short, N. A., &amp; Schmidt, N. B. (2022). Uncertainty after sexual assault: Understanding associations between IU and PTSD within a treatment-seeking sample. </w:t>
      </w:r>
      <w:r w:rsidRPr="004F5221">
        <w:rPr>
          <w:rFonts w:eastAsia="Times New Roman" w:cstheme="minorHAnsi"/>
          <w:i/>
          <w:iCs/>
          <w:lang w:eastAsia="en-GB"/>
        </w:rPr>
        <w:t>Current Psychology</w:t>
      </w:r>
      <w:r w:rsidRPr="004F5221">
        <w:rPr>
          <w:rFonts w:eastAsia="Times New Roman" w:cstheme="minorHAnsi"/>
          <w:lang w:eastAsia="en-GB"/>
        </w:rPr>
        <w:t xml:space="preserve">. </w:t>
      </w:r>
      <w:hyperlink r:id="rId75" w:history="1">
        <w:r w:rsidRPr="004F5221">
          <w:rPr>
            <w:rStyle w:val="Hyperlink"/>
            <w:rFonts w:eastAsia="Times New Roman" w:cstheme="minorHAnsi"/>
            <w:lang w:eastAsia="en-GB"/>
          </w:rPr>
          <w:t>https://doi.org/10.1007/s12144-021-02554-1</w:t>
        </w:r>
      </w:hyperlink>
    </w:p>
    <w:p w14:paraId="6743A6E8" w14:textId="77777777" w:rsidR="001435E1" w:rsidRPr="004F5221" w:rsidRDefault="005B760F" w:rsidP="004F5221">
      <w:pPr>
        <w:spacing w:after="0" w:line="360" w:lineRule="auto"/>
        <w:ind w:left="720" w:firstLine="720"/>
        <w:jc w:val="both"/>
        <w:rPr>
          <w:rStyle w:val="Hyperlink"/>
          <w:rFonts w:eastAsiaTheme="majorEastAsia" w:cstheme="minorHAnsi"/>
        </w:rPr>
      </w:pPr>
      <w:r w:rsidRPr="004F5221">
        <w:rPr>
          <w:rFonts w:cstheme="minorHAnsi"/>
        </w:rPr>
        <w:t xml:space="preserve">Shihata, S., McEvoy, P. M., &amp; Mullan, B. A. (2018). A bifactor model of intolerance of uncertainty in undergraduate and clinical samples: Do we need to reconsider the two-factor model? </w:t>
      </w:r>
      <w:r w:rsidRPr="004F5221">
        <w:rPr>
          <w:rFonts w:cstheme="minorHAnsi"/>
          <w:i/>
          <w:iCs/>
        </w:rPr>
        <w:t>Psychological Assessment</w:t>
      </w:r>
      <w:r w:rsidRPr="004F5221">
        <w:rPr>
          <w:rFonts w:cstheme="minorHAnsi"/>
        </w:rPr>
        <w:t xml:space="preserve">, </w:t>
      </w:r>
      <w:r w:rsidRPr="004F5221">
        <w:rPr>
          <w:rFonts w:cstheme="minorHAnsi"/>
          <w:i/>
          <w:iCs/>
        </w:rPr>
        <w:t>30</w:t>
      </w:r>
      <w:r w:rsidRPr="004F5221">
        <w:rPr>
          <w:rFonts w:cstheme="minorHAnsi"/>
        </w:rPr>
        <w:t xml:space="preserve">(7), 893–903. </w:t>
      </w:r>
      <w:hyperlink r:id="rId76" w:history="1">
        <w:r w:rsidRPr="004F5221">
          <w:rPr>
            <w:rStyle w:val="Hyperlink"/>
            <w:rFonts w:eastAsiaTheme="majorEastAsia" w:cstheme="minorHAnsi"/>
          </w:rPr>
          <w:t>https://doi.org/10.1037/pas0000540</w:t>
        </w:r>
      </w:hyperlink>
    </w:p>
    <w:p w14:paraId="2966F2DE" w14:textId="77777777" w:rsidR="001435E1" w:rsidRPr="004F5221" w:rsidRDefault="005B760F" w:rsidP="004F5221">
      <w:pPr>
        <w:spacing w:after="0" w:line="360" w:lineRule="auto"/>
        <w:ind w:left="720" w:firstLine="720"/>
        <w:jc w:val="both"/>
        <w:rPr>
          <w:rFonts w:cstheme="minorHAnsi"/>
        </w:rPr>
      </w:pPr>
      <w:r w:rsidRPr="004F5221">
        <w:rPr>
          <w:rFonts w:cstheme="minorHAnsi"/>
        </w:rPr>
        <w:t xml:space="preserve">Taylor, PhD, S., Asmundson, PhD, G. J. G., Carleton, MA, R. N., &amp; Brundin, MA, P. (2007). Acute posttraumatic stress symptoms and depression after exposure to the 2005 Saskatchewan Centennial Air Show disaster: Prevalence and predictors. </w:t>
      </w:r>
      <w:r w:rsidRPr="004F5221">
        <w:rPr>
          <w:rFonts w:cstheme="minorHAnsi"/>
          <w:i/>
          <w:iCs/>
        </w:rPr>
        <w:t>American Journal of Disaster Medicine</w:t>
      </w:r>
      <w:r w:rsidRPr="004F5221">
        <w:rPr>
          <w:rFonts w:cstheme="minorHAnsi"/>
        </w:rPr>
        <w:t xml:space="preserve">, </w:t>
      </w:r>
      <w:r w:rsidRPr="004F5221">
        <w:rPr>
          <w:rFonts w:cstheme="minorHAnsi"/>
          <w:i/>
          <w:iCs/>
        </w:rPr>
        <w:t>2</w:t>
      </w:r>
      <w:r w:rsidRPr="004F5221">
        <w:rPr>
          <w:rFonts w:cstheme="minorHAnsi"/>
        </w:rPr>
        <w:t xml:space="preserve">(5), 217–230. </w:t>
      </w:r>
      <w:hyperlink r:id="rId77" w:history="1">
        <w:r w:rsidR="001435E1" w:rsidRPr="004F5221">
          <w:rPr>
            <w:rStyle w:val="Hyperlink"/>
            <w:rFonts w:cstheme="minorHAnsi"/>
          </w:rPr>
          <w:t>https://doi.org/10.5055/ajdm.2007.0031</w:t>
        </w:r>
      </w:hyperlink>
    </w:p>
    <w:p w14:paraId="6D7FE74B" w14:textId="77777777" w:rsidR="001435E1" w:rsidRPr="004F5221" w:rsidRDefault="005B760F" w:rsidP="004F5221">
      <w:pPr>
        <w:spacing w:after="0" w:line="360" w:lineRule="auto"/>
        <w:ind w:left="720" w:firstLine="720"/>
        <w:jc w:val="both"/>
        <w:rPr>
          <w:rFonts w:cstheme="minorHAnsi"/>
        </w:rPr>
      </w:pPr>
      <w:r w:rsidRPr="004F5221">
        <w:rPr>
          <w:rFonts w:cstheme="minorHAnsi"/>
        </w:rPr>
        <w:t xml:space="preserve">Taylor, S. (2017). </w:t>
      </w:r>
      <w:r w:rsidRPr="004F5221">
        <w:rPr>
          <w:rFonts w:cstheme="minorHAnsi"/>
          <w:i/>
          <w:iCs/>
        </w:rPr>
        <w:t>Clinician’s guide to PTSD : a cognitive-behavioral approach</w:t>
      </w:r>
      <w:r w:rsidRPr="004F5221">
        <w:rPr>
          <w:rFonts w:cstheme="minorHAnsi"/>
        </w:rPr>
        <w:t>. The Guilford Press.</w:t>
      </w:r>
    </w:p>
    <w:p w14:paraId="5ED90E5F" w14:textId="77777777" w:rsidR="001435E1" w:rsidRPr="004F5221" w:rsidRDefault="005B760F" w:rsidP="004F5221">
      <w:pPr>
        <w:spacing w:after="0" w:line="360" w:lineRule="auto"/>
        <w:ind w:left="720" w:firstLine="720"/>
        <w:jc w:val="both"/>
        <w:rPr>
          <w:rFonts w:eastAsia="Times New Roman" w:cstheme="minorHAnsi"/>
          <w:lang w:eastAsia="en-GB"/>
        </w:rPr>
      </w:pPr>
      <w:r w:rsidRPr="004F5221">
        <w:rPr>
          <w:rFonts w:cstheme="minorHAnsi"/>
        </w:rPr>
        <w:t xml:space="preserve">Taylor, S., Zvolensky, M. J., Cox, B. J., Deacon, B., Heimberg, R. G., Ledley, D. R., Abramowitz, J. S., Holaway, R. M., Sandin, B., Stewart, S. H., Coles, M., Eng, W., Daly, E. S., Arrindell, W. A., Bouvard, M., &amp; Cardenas, S. J. (2007). Robust dimensions of anxiety sensitivity: Development and initial validation of the Anxiety Sensitivity Index-3. </w:t>
      </w:r>
      <w:r w:rsidRPr="004F5221">
        <w:rPr>
          <w:rFonts w:cstheme="minorHAnsi"/>
          <w:i/>
          <w:iCs/>
        </w:rPr>
        <w:t>Psychological Assessment</w:t>
      </w:r>
      <w:r w:rsidRPr="004F5221">
        <w:rPr>
          <w:rFonts w:cstheme="minorHAnsi"/>
        </w:rPr>
        <w:t xml:space="preserve">, </w:t>
      </w:r>
      <w:r w:rsidRPr="004F5221">
        <w:rPr>
          <w:rFonts w:cstheme="minorHAnsi"/>
          <w:i/>
          <w:iCs/>
        </w:rPr>
        <w:t>19</w:t>
      </w:r>
      <w:r w:rsidRPr="004F5221">
        <w:rPr>
          <w:rFonts w:cstheme="minorHAnsi"/>
        </w:rPr>
        <w:t xml:space="preserve">(2), 176–188. </w:t>
      </w:r>
      <w:hyperlink r:id="rId78" w:history="1">
        <w:r w:rsidRPr="004F5221">
          <w:rPr>
            <w:rStyle w:val="Hyperlink"/>
            <w:rFonts w:eastAsiaTheme="majorEastAsia" w:cstheme="minorHAnsi"/>
          </w:rPr>
          <w:t>https://doi.org/10.1037/1040-3590.19.2.176</w:t>
        </w:r>
      </w:hyperlink>
    </w:p>
    <w:p w14:paraId="48094288" w14:textId="77777777" w:rsidR="001435E1" w:rsidRPr="004F5221" w:rsidRDefault="005B760F" w:rsidP="004F5221">
      <w:pPr>
        <w:spacing w:after="0" w:line="360" w:lineRule="auto"/>
        <w:ind w:left="720" w:firstLine="720"/>
        <w:jc w:val="both"/>
        <w:rPr>
          <w:rFonts w:eastAsia="Times New Roman" w:cstheme="minorHAnsi"/>
          <w:lang w:eastAsia="en-GB"/>
        </w:rPr>
      </w:pPr>
      <w:r w:rsidRPr="004F5221">
        <w:rPr>
          <w:rFonts w:eastAsia="Times New Roman" w:cstheme="minorHAnsi"/>
          <w:lang w:eastAsia="en-GB"/>
        </w:rPr>
        <w:t xml:space="preserve">Thibodeau, M. A., Carleton, R. N., McEvoy, P. M., Zvolensky, M. J., Brandt, C. P., Boelen, P. A., Mahoney, A. E. J., Deacon, B. J., &amp; Asmundson, G. J. G. (2015). Developing scales measuring disorder-specific intolerance of uncertainty (DSIU): A new perspective on transdiagnostic. </w:t>
      </w:r>
      <w:r w:rsidRPr="004F5221">
        <w:rPr>
          <w:rFonts w:eastAsia="Times New Roman" w:cstheme="minorHAnsi"/>
          <w:i/>
          <w:iCs/>
          <w:lang w:eastAsia="en-GB"/>
        </w:rPr>
        <w:t>Journal of Anxiety Disorders</w:t>
      </w:r>
      <w:r w:rsidRPr="004F5221">
        <w:rPr>
          <w:rFonts w:eastAsia="Times New Roman" w:cstheme="minorHAnsi"/>
          <w:lang w:eastAsia="en-GB"/>
        </w:rPr>
        <w:t xml:space="preserve">, </w:t>
      </w:r>
      <w:r w:rsidRPr="004F5221">
        <w:rPr>
          <w:rFonts w:eastAsia="Times New Roman" w:cstheme="minorHAnsi"/>
          <w:i/>
          <w:iCs/>
          <w:lang w:eastAsia="en-GB"/>
        </w:rPr>
        <w:t>31</w:t>
      </w:r>
      <w:r w:rsidRPr="004F5221">
        <w:rPr>
          <w:rFonts w:eastAsia="Times New Roman" w:cstheme="minorHAnsi"/>
          <w:lang w:eastAsia="en-GB"/>
        </w:rPr>
        <w:t xml:space="preserve">, 49–57. </w:t>
      </w:r>
      <w:hyperlink r:id="rId79" w:history="1">
        <w:r w:rsidR="001435E1" w:rsidRPr="004F5221">
          <w:rPr>
            <w:rStyle w:val="Hyperlink"/>
            <w:rFonts w:eastAsia="Times New Roman" w:cstheme="minorHAnsi"/>
            <w:lang w:eastAsia="en-GB"/>
          </w:rPr>
          <w:t>https://doi.org/10.1016/j.janxdis.2015.01.006</w:t>
        </w:r>
      </w:hyperlink>
    </w:p>
    <w:p w14:paraId="264A2417" w14:textId="77777777" w:rsidR="001435E1" w:rsidRPr="004F5221" w:rsidRDefault="005B760F" w:rsidP="004F5221">
      <w:pPr>
        <w:spacing w:after="0" w:line="360" w:lineRule="auto"/>
        <w:ind w:left="720" w:firstLine="720"/>
        <w:jc w:val="both"/>
        <w:rPr>
          <w:rFonts w:cstheme="minorHAnsi"/>
        </w:rPr>
      </w:pPr>
      <w:r w:rsidRPr="004F5221">
        <w:rPr>
          <w:rFonts w:cstheme="minorHAnsi"/>
        </w:rPr>
        <w:t xml:space="preserve">Tolin, D. F., Abramowitz, J. S., Brigidi, B. D., &amp; Foa, E. B. (2003). Intolerance of uncertainty in obsessive-compulsive disorder. </w:t>
      </w:r>
      <w:r w:rsidRPr="004F5221">
        <w:rPr>
          <w:rFonts w:cstheme="minorHAnsi"/>
          <w:i/>
          <w:iCs/>
        </w:rPr>
        <w:t>Journal of Anxiety Disorders</w:t>
      </w:r>
      <w:r w:rsidRPr="004F5221">
        <w:rPr>
          <w:rFonts w:cstheme="minorHAnsi"/>
        </w:rPr>
        <w:t xml:space="preserve">, </w:t>
      </w:r>
      <w:r w:rsidRPr="004F5221">
        <w:rPr>
          <w:rFonts w:cstheme="minorHAnsi"/>
          <w:i/>
          <w:iCs/>
        </w:rPr>
        <w:t>17</w:t>
      </w:r>
      <w:r w:rsidRPr="004F5221">
        <w:rPr>
          <w:rFonts w:cstheme="minorHAnsi"/>
        </w:rPr>
        <w:t xml:space="preserve">(2), 233–242. </w:t>
      </w:r>
      <w:hyperlink r:id="rId80" w:history="1">
        <w:r w:rsidR="001435E1" w:rsidRPr="004F5221">
          <w:rPr>
            <w:rStyle w:val="Hyperlink"/>
            <w:rFonts w:cstheme="minorHAnsi"/>
          </w:rPr>
          <w:t>https://doi.org/10.1016/s0887-6185(02)00182-2</w:t>
        </w:r>
      </w:hyperlink>
    </w:p>
    <w:p w14:paraId="0557412E" w14:textId="77777777" w:rsidR="001435E1" w:rsidRPr="004F5221" w:rsidRDefault="005B760F" w:rsidP="004F5221">
      <w:pPr>
        <w:spacing w:after="0" w:line="360" w:lineRule="auto"/>
        <w:ind w:left="720" w:firstLine="720"/>
        <w:jc w:val="both"/>
        <w:rPr>
          <w:rStyle w:val="Hyperlink"/>
          <w:rFonts w:eastAsiaTheme="majorEastAsia" w:cstheme="minorHAnsi"/>
        </w:rPr>
      </w:pPr>
      <w:r w:rsidRPr="004F5221">
        <w:rPr>
          <w:rFonts w:cstheme="minorHAnsi"/>
        </w:rPr>
        <w:t xml:space="preserve">Tortella-Feliu, M., Fullana, M. A., Pérez-Vigil, A., Torres, X., Chamorro, J., Littarelli, S. A., Solanes, A., Ramella-Cravaro, V., Vilar, A., González-Parra, J. A., Andero, R., Reichenberg, A., Mataix-Cols, D., Vieta, E., Fusar-Poli, P., Ioannidis, J. P. A., Stein, M. B., Radua, J., &amp; Fernández de la Cruz, L. (2019). Risk factors for posttraumatic stress disorder: An umbrella review of systematic reviews and meta-analyses. </w:t>
      </w:r>
      <w:r w:rsidRPr="004F5221">
        <w:rPr>
          <w:rFonts w:cstheme="minorHAnsi"/>
          <w:i/>
          <w:iCs/>
        </w:rPr>
        <w:t>Neuroscience and Biobehavioral Reviews</w:t>
      </w:r>
      <w:r w:rsidRPr="004F5221">
        <w:rPr>
          <w:rFonts w:cstheme="minorHAnsi"/>
        </w:rPr>
        <w:t xml:space="preserve">, </w:t>
      </w:r>
      <w:r w:rsidRPr="004F5221">
        <w:rPr>
          <w:rFonts w:cstheme="minorHAnsi"/>
          <w:i/>
          <w:iCs/>
        </w:rPr>
        <w:t>107</w:t>
      </w:r>
      <w:r w:rsidRPr="004F5221">
        <w:rPr>
          <w:rFonts w:cstheme="minorHAnsi"/>
        </w:rPr>
        <w:t xml:space="preserve">, 154–165. </w:t>
      </w:r>
      <w:hyperlink r:id="rId81" w:history="1">
        <w:r w:rsidRPr="004F5221">
          <w:rPr>
            <w:rStyle w:val="Hyperlink"/>
            <w:rFonts w:eastAsiaTheme="majorEastAsia" w:cstheme="minorHAnsi"/>
          </w:rPr>
          <w:t>https://doi.org/10.1016/j.neubiorev.2019.09.013</w:t>
        </w:r>
      </w:hyperlink>
    </w:p>
    <w:p w14:paraId="7F6C2560" w14:textId="77777777" w:rsidR="005B760F" w:rsidRPr="004F5221" w:rsidRDefault="005B760F" w:rsidP="004F5221">
      <w:pPr>
        <w:spacing w:after="0" w:line="360" w:lineRule="auto"/>
        <w:ind w:left="720" w:firstLine="720"/>
        <w:jc w:val="both"/>
        <w:rPr>
          <w:rFonts w:eastAsia="Times New Roman" w:cstheme="minorHAnsi"/>
          <w:lang w:eastAsia="en-GB"/>
        </w:rPr>
      </w:pPr>
      <w:r w:rsidRPr="004F5221">
        <w:rPr>
          <w:rFonts w:cstheme="minorHAnsi"/>
        </w:rPr>
        <w:lastRenderedPageBreak/>
        <w:t xml:space="preserve">Ullman, S. E., &amp; Filipas, H. H. (2001). Predictors of PTSD symptom severity and social reactions in sexual assault victims. </w:t>
      </w:r>
      <w:r w:rsidRPr="004F5221">
        <w:rPr>
          <w:rFonts w:cstheme="minorHAnsi"/>
          <w:i/>
          <w:iCs/>
        </w:rPr>
        <w:t>Journal of Traumatic Stress</w:t>
      </w:r>
      <w:r w:rsidRPr="004F5221">
        <w:rPr>
          <w:rFonts w:cstheme="minorHAnsi"/>
        </w:rPr>
        <w:t xml:space="preserve">, </w:t>
      </w:r>
      <w:r w:rsidRPr="004F5221">
        <w:rPr>
          <w:rFonts w:cstheme="minorHAnsi"/>
          <w:i/>
          <w:iCs/>
        </w:rPr>
        <w:t>14</w:t>
      </w:r>
      <w:r w:rsidRPr="004F5221">
        <w:rPr>
          <w:rFonts w:cstheme="minorHAnsi"/>
        </w:rPr>
        <w:t xml:space="preserve">(2), 369–389. </w:t>
      </w:r>
      <w:hyperlink r:id="rId82" w:history="1">
        <w:r w:rsidRPr="004F5221">
          <w:rPr>
            <w:rStyle w:val="Hyperlink"/>
            <w:rFonts w:eastAsiaTheme="majorEastAsia" w:cstheme="minorHAnsi"/>
          </w:rPr>
          <w:t>https://doi.org/10.1023/a:1011125220522</w:t>
        </w:r>
      </w:hyperlink>
    </w:p>
    <w:p w14:paraId="72E2BF65" w14:textId="77777777" w:rsidR="005B760F"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p>
    <w:p w14:paraId="7FD578B4"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 xml:space="preserve">Van der Heiden, C., Muris, P., &amp; van der Molen, H. T. (2012). Randomized controlled trial on the effectiveness of metacognitive therapy and intolerance-of-uncertainty therapy for generalized anxiety disorder. </w:t>
      </w:r>
      <w:r w:rsidRPr="004F5221">
        <w:rPr>
          <w:rFonts w:asciiTheme="minorHAnsi" w:hAnsiTheme="minorHAnsi" w:cstheme="minorHAnsi"/>
          <w:i/>
          <w:iCs/>
          <w:sz w:val="22"/>
          <w:szCs w:val="22"/>
        </w:rPr>
        <w:t>Behaviour Research and Therapy</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50</w:t>
      </w:r>
      <w:r w:rsidRPr="004F5221">
        <w:rPr>
          <w:rFonts w:asciiTheme="minorHAnsi" w:hAnsiTheme="minorHAnsi" w:cstheme="minorHAnsi"/>
          <w:sz w:val="22"/>
          <w:szCs w:val="22"/>
        </w:rPr>
        <w:t xml:space="preserve">(2), 100–109. </w:t>
      </w:r>
      <w:hyperlink r:id="rId83" w:history="1">
        <w:r w:rsidR="001435E1" w:rsidRPr="004F5221">
          <w:rPr>
            <w:rStyle w:val="Hyperlink"/>
            <w:rFonts w:asciiTheme="minorHAnsi" w:hAnsiTheme="minorHAnsi" w:cstheme="minorHAnsi"/>
            <w:sz w:val="22"/>
            <w:szCs w:val="22"/>
          </w:rPr>
          <w:t>https://doi.org/10.1016/j.brat.2011.12.005</w:t>
        </w:r>
      </w:hyperlink>
    </w:p>
    <w:p w14:paraId="3B848AB3"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 xml:space="preserve">Vazquez, C., Valiente, C., García, F. E., Contreras, A., Peinado, V., Trucharte, A., &amp; Bentall, R. P. (2021). Post-Traumatic Growth and Stress-Related Responses During the COVID-19 Pandemic in a National Representative Sample: The Role of Positive Core Beliefs About the World and Others. </w:t>
      </w:r>
      <w:r w:rsidRPr="004F5221">
        <w:rPr>
          <w:rFonts w:asciiTheme="minorHAnsi" w:hAnsiTheme="minorHAnsi" w:cstheme="minorHAnsi"/>
          <w:i/>
          <w:iCs/>
          <w:sz w:val="22"/>
          <w:szCs w:val="22"/>
        </w:rPr>
        <w:t>Journal of Happiness Studies</w:t>
      </w:r>
      <w:r w:rsidRPr="004F5221">
        <w:rPr>
          <w:rFonts w:asciiTheme="minorHAnsi" w:hAnsiTheme="minorHAnsi" w:cstheme="minorHAnsi"/>
          <w:sz w:val="22"/>
          <w:szCs w:val="22"/>
        </w:rPr>
        <w:t xml:space="preserve">. </w:t>
      </w:r>
      <w:hyperlink r:id="rId84" w:history="1">
        <w:r w:rsidR="001435E1" w:rsidRPr="004F5221">
          <w:rPr>
            <w:rStyle w:val="Hyperlink"/>
            <w:rFonts w:asciiTheme="minorHAnsi" w:hAnsiTheme="minorHAnsi" w:cstheme="minorHAnsi"/>
            <w:sz w:val="22"/>
            <w:szCs w:val="22"/>
          </w:rPr>
          <w:t>https://doi.org/10.1007/s10902-020-00352-3</w:t>
        </w:r>
      </w:hyperlink>
    </w:p>
    <w:p w14:paraId="66C9D1DD" w14:textId="77777777" w:rsidR="001435E1" w:rsidRPr="004F5221" w:rsidRDefault="005B760F" w:rsidP="004F5221">
      <w:pPr>
        <w:pStyle w:val="NormalWeb"/>
        <w:spacing w:before="0" w:beforeAutospacing="0" w:after="0" w:afterAutospacing="0" w:line="360" w:lineRule="auto"/>
        <w:ind w:left="720" w:firstLine="720"/>
        <w:jc w:val="both"/>
        <w:rPr>
          <w:rStyle w:val="Hyperlink"/>
          <w:rFonts w:asciiTheme="minorHAnsi" w:eastAsiaTheme="majorEastAsia" w:hAnsiTheme="minorHAnsi" w:cstheme="minorHAnsi"/>
          <w:sz w:val="22"/>
          <w:szCs w:val="22"/>
        </w:rPr>
      </w:pPr>
      <w:r w:rsidRPr="004F5221">
        <w:rPr>
          <w:rFonts w:asciiTheme="minorHAnsi" w:hAnsiTheme="minorHAnsi" w:cstheme="minorHAnsi"/>
          <w:sz w:val="22"/>
          <w:szCs w:val="22"/>
        </w:rPr>
        <w:t xml:space="preserve">Watkins, L. E., Sprang, K. R., &amp; Rothbaum, B. O. (2018). Treating PTSD: a Review of Evidence-Based Psychotherapy Interventions. </w:t>
      </w:r>
      <w:r w:rsidRPr="004F5221">
        <w:rPr>
          <w:rFonts w:asciiTheme="minorHAnsi" w:hAnsiTheme="minorHAnsi" w:cstheme="minorHAnsi"/>
          <w:i/>
          <w:iCs/>
          <w:sz w:val="22"/>
          <w:szCs w:val="22"/>
        </w:rPr>
        <w:t>Frontiers in Behavioral Neuroscience</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12</w:t>
      </w:r>
      <w:r w:rsidRPr="004F5221">
        <w:rPr>
          <w:rFonts w:asciiTheme="minorHAnsi" w:hAnsiTheme="minorHAnsi" w:cstheme="minorHAnsi"/>
          <w:sz w:val="22"/>
          <w:szCs w:val="22"/>
        </w:rPr>
        <w:t xml:space="preserve">(258), 1–9. </w:t>
      </w:r>
      <w:hyperlink r:id="rId85" w:history="1">
        <w:r w:rsidRPr="004F5221">
          <w:rPr>
            <w:rStyle w:val="Hyperlink"/>
            <w:rFonts w:asciiTheme="minorHAnsi" w:eastAsiaTheme="majorEastAsia" w:hAnsiTheme="minorHAnsi" w:cstheme="minorHAnsi"/>
            <w:sz w:val="22"/>
            <w:szCs w:val="22"/>
          </w:rPr>
          <w:t>https://doi.org/10.3389/fnbeh.2018.00258</w:t>
        </w:r>
      </w:hyperlink>
    </w:p>
    <w:p w14:paraId="6784E725"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 xml:space="preserve">Watson, D., O’Hara, M. W., Simms, L. J., Kotov, R., Chmielewski, M., McDade-Montez, E. A., Gamez, W., &amp; Stuart, S. (2007). Development and validation of the Inventory of Depression and Anxiety Symptoms (IDAS). </w:t>
      </w:r>
      <w:r w:rsidRPr="004F5221">
        <w:rPr>
          <w:rFonts w:asciiTheme="minorHAnsi" w:hAnsiTheme="minorHAnsi" w:cstheme="minorHAnsi"/>
          <w:i/>
          <w:iCs/>
          <w:sz w:val="22"/>
          <w:szCs w:val="22"/>
        </w:rPr>
        <w:t>Psychological Assessment</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19</w:t>
      </w:r>
      <w:r w:rsidRPr="004F5221">
        <w:rPr>
          <w:rFonts w:asciiTheme="minorHAnsi" w:hAnsiTheme="minorHAnsi" w:cstheme="minorHAnsi"/>
          <w:sz w:val="22"/>
          <w:szCs w:val="22"/>
        </w:rPr>
        <w:t xml:space="preserve">(3), 253–268. </w:t>
      </w:r>
      <w:hyperlink r:id="rId86" w:history="1">
        <w:r w:rsidRPr="004F5221">
          <w:rPr>
            <w:rStyle w:val="Hyperlink"/>
            <w:rFonts w:asciiTheme="minorHAnsi" w:hAnsiTheme="minorHAnsi" w:cstheme="minorHAnsi"/>
            <w:sz w:val="22"/>
            <w:szCs w:val="22"/>
          </w:rPr>
          <w:t>https://doi.org/10.1037/1040-3590.19.3.253</w:t>
        </w:r>
      </w:hyperlink>
    </w:p>
    <w:p w14:paraId="70A46ACD"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Weathers, F., Litz, B., Herman, D., Huska, J., &amp; Keane, T. (1994). The PTSD checklist-civilian version (PCL-C). National Center for PTSD.</w:t>
      </w:r>
    </w:p>
    <w:p w14:paraId="6EA23E0B"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 xml:space="preserve">Weathers, F.W., Litz, B.T., Keane, T.M., Palmieri, P.A., Marx, B.P., &amp; Schnurr, P.P. (2013). The PTSD Checklist for DSM-5 (PCL-5). Scale available from the National Center for PTSD at </w:t>
      </w:r>
      <w:hyperlink r:id="rId87" w:history="1">
        <w:r w:rsidRPr="004F5221">
          <w:rPr>
            <w:rStyle w:val="Hyperlink"/>
            <w:rFonts w:asciiTheme="minorHAnsi" w:eastAsiaTheme="majorEastAsia" w:hAnsiTheme="minorHAnsi" w:cstheme="minorHAnsi"/>
            <w:sz w:val="22"/>
            <w:szCs w:val="22"/>
          </w:rPr>
          <w:t>www.ptsd.va.gov</w:t>
        </w:r>
      </w:hyperlink>
      <w:r w:rsidRPr="004F5221">
        <w:rPr>
          <w:rFonts w:asciiTheme="minorHAnsi" w:hAnsiTheme="minorHAnsi" w:cstheme="minorHAnsi"/>
          <w:sz w:val="22"/>
          <w:szCs w:val="22"/>
        </w:rPr>
        <w:t>.</w:t>
      </w:r>
    </w:p>
    <w:p w14:paraId="61332AB3"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Weiss, D. S. (2007). The Impact of Event Scale: Revised. In J. P. Wilson &amp; C. S. Tang (Eds.), Crosscultural assessment of psychological trauma and PTSD (pp. 219–238). Spri</w:t>
      </w:r>
      <w:r w:rsidR="001435E1" w:rsidRPr="004F5221">
        <w:rPr>
          <w:rFonts w:asciiTheme="minorHAnsi" w:hAnsiTheme="minorHAnsi" w:cstheme="minorHAnsi"/>
          <w:sz w:val="22"/>
          <w:szCs w:val="22"/>
        </w:rPr>
        <w:t>nger Science and Business Media</w:t>
      </w:r>
    </w:p>
    <w:p w14:paraId="02F9F4DD"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 xml:space="preserve">White, R. G., &amp; Gumley, A. I. (2009). Postpsychotic Posttraumatic Stress Disorder. </w:t>
      </w:r>
      <w:r w:rsidRPr="004F5221">
        <w:rPr>
          <w:rFonts w:asciiTheme="minorHAnsi" w:hAnsiTheme="minorHAnsi" w:cstheme="minorHAnsi"/>
          <w:i/>
          <w:iCs/>
          <w:sz w:val="22"/>
          <w:szCs w:val="22"/>
        </w:rPr>
        <w:t>The Journal of Nervous and Mental Disease</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197</w:t>
      </w:r>
      <w:r w:rsidRPr="004F5221">
        <w:rPr>
          <w:rFonts w:asciiTheme="minorHAnsi" w:hAnsiTheme="minorHAnsi" w:cstheme="minorHAnsi"/>
          <w:sz w:val="22"/>
          <w:szCs w:val="22"/>
        </w:rPr>
        <w:t xml:space="preserve">(11), 841–849. </w:t>
      </w:r>
      <w:hyperlink r:id="rId88" w:history="1">
        <w:r w:rsidRPr="004F5221">
          <w:rPr>
            <w:rStyle w:val="Hyperlink"/>
            <w:rFonts w:asciiTheme="minorHAnsi" w:eastAsiaTheme="majorEastAsia" w:hAnsiTheme="minorHAnsi" w:cstheme="minorHAnsi"/>
            <w:sz w:val="22"/>
            <w:szCs w:val="22"/>
          </w:rPr>
          <w:t>https://doi.org/10.1097/nmd.0b013e3181bea625</w:t>
        </w:r>
      </w:hyperlink>
    </w:p>
    <w:p w14:paraId="4A3381F9" w14:textId="77777777" w:rsidR="001435E1"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 xml:space="preserve">Whiting, S. E., Jenkins, W. S., May, A. C., Rudy, B. M., Davis, T. E., &amp; Reuther, E. T. (2013). The Role of Intolerance of Uncertainty in Social Anxiety Subtypes. </w:t>
      </w:r>
      <w:r w:rsidRPr="004F5221">
        <w:rPr>
          <w:rFonts w:asciiTheme="minorHAnsi" w:hAnsiTheme="minorHAnsi" w:cstheme="minorHAnsi"/>
          <w:i/>
          <w:iCs/>
          <w:sz w:val="22"/>
          <w:szCs w:val="22"/>
        </w:rPr>
        <w:t>Journal of Clinical Psychology</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70</w:t>
      </w:r>
      <w:r w:rsidRPr="004F5221">
        <w:rPr>
          <w:rFonts w:asciiTheme="minorHAnsi" w:hAnsiTheme="minorHAnsi" w:cstheme="minorHAnsi"/>
          <w:sz w:val="22"/>
          <w:szCs w:val="22"/>
        </w:rPr>
        <w:t xml:space="preserve">(3), 260–272. </w:t>
      </w:r>
      <w:hyperlink r:id="rId89" w:history="1">
        <w:r w:rsidRPr="004F5221">
          <w:rPr>
            <w:rStyle w:val="Hyperlink"/>
            <w:rFonts w:asciiTheme="minorHAnsi" w:eastAsiaTheme="majorEastAsia" w:hAnsiTheme="minorHAnsi" w:cstheme="minorHAnsi"/>
            <w:sz w:val="22"/>
            <w:szCs w:val="22"/>
          </w:rPr>
          <w:t>https://doi.org/10.1002/jclp.22024</w:t>
        </w:r>
      </w:hyperlink>
    </w:p>
    <w:p w14:paraId="350E166F" w14:textId="77777777" w:rsidR="005B760F"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lastRenderedPageBreak/>
        <w:t xml:space="preserve">World Health Organization (2019). International Statistical Classification of Diseases and Related Health Problems (11th ed.). </w:t>
      </w:r>
      <w:hyperlink r:id="rId90" w:history="1">
        <w:r w:rsidRPr="004F5221">
          <w:rPr>
            <w:rStyle w:val="Hyperlink"/>
            <w:rFonts w:asciiTheme="minorHAnsi" w:eastAsiaTheme="majorEastAsia" w:hAnsiTheme="minorHAnsi" w:cstheme="minorHAnsi"/>
            <w:sz w:val="22"/>
            <w:szCs w:val="22"/>
          </w:rPr>
          <w:t>https://icd.who.int/</w:t>
        </w:r>
      </w:hyperlink>
    </w:p>
    <w:p w14:paraId="787F7D28" w14:textId="77777777" w:rsidR="005B760F" w:rsidRPr="004F5221" w:rsidRDefault="005B760F" w:rsidP="004F5221">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4F5221">
        <w:rPr>
          <w:rFonts w:asciiTheme="minorHAnsi" w:hAnsiTheme="minorHAnsi" w:cstheme="minorHAnsi"/>
          <w:sz w:val="22"/>
          <w:szCs w:val="22"/>
        </w:rPr>
        <w:t xml:space="preserve">Zerach, G., &amp; Magal, O. (2016). Anxiety Sensitivity Among First-Time Fathers Moderates the Relationship Between Exposure to Stress During Birth and Posttraumatic Stress Symptoms. </w:t>
      </w:r>
      <w:r w:rsidRPr="004F5221">
        <w:rPr>
          <w:rFonts w:asciiTheme="minorHAnsi" w:hAnsiTheme="minorHAnsi" w:cstheme="minorHAnsi"/>
          <w:i/>
          <w:iCs/>
          <w:sz w:val="22"/>
          <w:szCs w:val="22"/>
        </w:rPr>
        <w:t>The Journal of Nervous and Mental Disease</w:t>
      </w:r>
      <w:r w:rsidRPr="004F5221">
        <w:rPr>
          <w:rFonts w:asciiTheme="minorHAnsi" w:hAnsiTheme="minorHAnsi" w:cstheme="minorHAnsi"/>
          <w:sz w:val="22"/>
          <w:szCs w:val="22"/>
        </w:rPr>
        <w:t xml:space="preserve">, </w:t>
      </w:r>
      <w:r w:rsidRPr="004F5221">
        <w:rPr>
          <w:rFonts w:asciiTheme="minorHAnsi" w:hAnsiTheme="minorHAnsi" w:cstheme="minorHAnsi"/>
          <w:i/>
          <w:iCs/>
          <w:sz w:val="22"/>
          <w:szCs w:val="22"/>
        </w:rPr>
        <w:t>204</w:t>
      </w:r>
      <w:r w:rsidRPr="004F5221">
        <w:rPr>
          <w:rFonts w:asciiTheme="minorHAnsi" w:hAnsiTheme="minorHAnsi" w:cstheme="minorHAnsi"/>
          <w:sz w:val="22"/>
          <w:szCs w:val="22"/>
        </w:rPr>
        <w:t xml:space="preserve">(5), 381–387. </w:t>
      </w:r>
      <w:hyperlink r:id="rId91" w:history="1">
        <w:r w:rsidRPr="004F5221">
          <w:rPr>
            <w:rStyle w:val="Hyperlink"/>
            <w:rFonts w:asciiTheme="minorHAnsi" w:eastAsiaTheme="majorEastAsia" w:hAnsiTheme="minorHAnsi" w:cstheme="minorHAnsi"/>
            <w:sz w:val="22"/>
            <w:szCs w:val="22"/>
          </w:rPr>
          <w:t>https://doi.org/10.1097/nmd.0000000000000482</w:t>
        </w:r>
      </w:hyperlink>
    </w:p>
    <w:p w14:paraId="4DF169C2" w14:textId="77777777" w:rsidR="005B760F" w:rsidRDefault="005B760F" w:rsidP="00027769">
      <w:pPr>
        <w:pStyle w:val="Heading1"/>
      </w:pPr>
    </w:p>
    <w:p w14:paraId="417305A1" w14:textId="77777777" w:rsidR="00615B50" w:rsidRDefault="00615B50" w:rsidP="00615B50"/>
    <w:p w14:paraId="74ABB645" w14:textId="77777777" w:rsidR="00615B50" w:rsidRDefault="00615B50" w:rsidP="00615B50"/>
    <w:p w14:paraId="7A7C6B86" w14:textId="77777777" w:rsidR="00615B50" w:rsidRDefault="00615B50" w:rsidP="00615B50"/>
    <w:p w14:paraId="1235FAA1" w14:textId="77777777" w:rsidR="00615B50" w:rsidRDefault="00615B50" w:rsidP="00615B50"/>
    <w:p w14:paraId="3BDCAB36" w14:textId="77777777" w:rsidR="00615B50" w:rsidRDefault="00615B50" w:rsidP="00615B50"/>
    <w:p w14:paraId="1BA0FD5A" w14:textId="77777777" w:rsidR="00615B50" w:rsidRDefault="00615B50" w:rsidP="00615B50"/>
    <w:p w14:paraId="0A242B28" w14:textId="77777777" w:rsidR="00615B50" w:rsidRDefault="00615B50" w:rsidP="00615B50"/>
    <w:p w14:paraId="28985F9F" w14:textId="77777777" w:rsidR="00615B50" w:rsidRDefault="00615B50" w:rsidP="00615B50"/>
    <w:p w14:paraId="7899122D" w14:textId="77777777" w:rsidR="00615B50" w:rsidRDefault="00615B50" w:rsidP="00615B50"/>
    <w:p w14:paraId="235B4A20" w14:textId="77777777" w:rsidR="00615B50" w:rsidRDefault="00615B50" w:rsidP="00615B50"/>
    <w:p w14:paraId="0037782F" w14:textId="77777777" w:rsidR="00615B50" w:rsidRDefault="00615B50" w:rsidP="00027769">
      <w:pPr>
        <w:pStyle w:val="Heading1"/>
        <w:rPr>
          <w:rFonts w:eastAsiaTheme="minorHAnsi"/>
        </w:rPr>
      </w:pPr>
    </w:p>
    <w:p w14:paraId="6B0A4C48" w14:textId="77777777" w:rsidR="00C470E0" w:rsidRDefault="00C470E0" w:rsidP="00C470E0"/>
    <w:p w14:paraId="051D629E" w14:textId="77777777" w:rsidR="00C470E0" w:rsidRPr="00C470E0" w:rsidRDefault="00C470E0" w:rsidP="00C470E0"/>
    <w:p w14:paraId="535CFE05" w14:textId="77777777" w:rsidR="00615B50" w:rsidRDefault="00747028" w:rsidP="00747028">
      <w:pPr>
        <w:tabs>
          <w:tab w:val="left" w:pos="2503"/>
        </w:tabs>
      </w:pPr>
      <w:r>
        <w:tab/>
      </w:r>
    </w:p>
    <w:p w14:paraId="3189EF9E" w14:textId="77777777" w:rsidR="00747028" w:rsidRDefault="00747028" w:rsidP="00747028">
      <w:pPr>
        <w:tabs>
          <w:tab w:val="left" w:pos="2503"/>
        </w:tabs>
      </w:pPr>
    </w:p>
    <w:p w14:paraId="13BA4629" w14:textId="77777777" w:rsidR="00747028" w:rsidRDefault="00747028" w:rsidP="00747028">
      <w:pPr>
        <w:tabs>
          <w:tab w:val="left" w:pos="2503"/>
        </w:tabs>
      </w:pPr>
    </w:p>
    <w:p w14:paraId="6C224A7D" w14:textId="77777777" w:rsidR="00747028" w:rsidRDefault="00747028" w:rsidP="00747028">
      <w:pPr>
        <w:tabs>
          <w:tab w:val="left" w:pos="2503"/>
        </w:tabs>
      </w:pPr>
    </w:p>
    <w:p w14:paraId="7A909511" w14:textId="77777777" w:rsidR="00747028" w:rsidRDefault="00747028" w:rsidP="00747028">
      <w:pPr>
        <w:tabs>
          <w:tab w:val="left" w:pos="2503"/>
        </w:tabs>
      </w:pPr>
    </w:p>
    <w:p w14:paraId="17B3B087" w14:textId="77777777" w:rsidR="00747028" w:rsidRDefault="00747028" w:rsidP="00747028">
      <w:pPr>
        <w:tabs>
          <w:tab w:val="left" w:pos="2503"/>
        </w:tabs>
      </w:pPr>
    </w:p>
    <w:p w14:paraId="6387EE8D" w14:textId="77777777" w:rsidR="00747028" w:rsidRPr="00615B50" w:rsidRDefault="00747028" w:rsidP="00747028">
      <w:pPr>
        <w:tabs>
          <w:tab w:val="left" w:pos="2503"/>
        </w:tabs>
      </w:pPr>
    </w:p>
    <w:p w14:paraId="1E988DF6" w14:textId="77777777" w:rsidR="004F5221" w:rsidRDefault="004F5221">
      <w:pPr>
        <w:rPr>
          <w:rFonts w:eastAsiaTheme="majorEastAsia" w:cstheme="minorHAnsi"/>
          <w:b/>
        </w:rPr>
      </w:pPr>
      <w:r>
        <w:br w:type="page"/>
      </w:r>
    </w:p>
    <w:p w14:paraId="70D78A4F" w14:textId="047BDB4B" w:rsidR="00615B50" w:rsidRPr="00C470E0" w:rsidRDefault="00052A22" w:rsidP="00027769">
      <w:pPr>
        <w:pStyle w:val="Heading1"/>
      </w:pPr>
      <w:bookmarkStart w:id="132" w:name="_Toc133487807"/>
      <w:r w:rsidRPr="00C470E0">
        <w:lastRenderedPageBreak/>
        <w:t>Appendix  A</w:t>
      </w:r>
      <w:r w:rsidR="00615B50" w:rsidRPr="00C470E0">
        <w:t xml:space="preserve"> : </w:t>
      </w:r>
      <w:r w:rsidRPr="00C470E0">
        <w:t>Journal of Traumatic Stress</w:t>
      </w:r>
      <w:bookmarkEnd w:id="132"/>
    </w:p>
    <w:p w14:paraId="17E1F8E8" w14:textId="77777777" w:rsidR="00615B50" w:rsidRPr="006F58C4" w:rsidRDefault="00615B50" w:rsidP="00615B50">
      <w:pPr>
        <w:rPr>
          <w:rFonts w:cstheme="minorHAnsi"/>
        </w:rPr>
      </w:pPr>
    </w:p>
    <w:p w14:paraId="531687AA" w14:textId="77777777" w:rsidR="008933A6" w:rsidRPr="000B56EA" w:rsidRDefault="00615B50" w:rsidP="00747028">
      <w:pPr>
        <w:spacing w:line="360" w:lineRule="auto"/>
        <w:ind w:firstLine="720"/>
        <w:rPr>
          <w:rFonts w:cstheme="minorHAnsi"/>
        </w:rPr>
      </w:pPr>
      <w:r w:rsidRPr="000B56EA">
        <w:rPr>
          <w:rFonts w:cstheme="minorHAnsi"/>
        </w:rPr>
        <w:t>In order to meet university requirements, the structure and word count of this liter</w:t>
      </w:r>
      <w:r w:rsidR="008933A6" w:rsidRPr="000B56EA">
        <w:rPr>
          <w:rFonts w:cstheme="minorHAnsi"/>
        </w:rPr>
        <w:t>ature review will be adapted following submission for examination.</w:t>
      </w:r>
      <w:r w:rsidR="00747028" w:rsidRPr="000B56EA">
        <w:rPr>
          <w:rFonts w:cstheme="minorHAnsi"/>
        </w:rPr>
        <w:t xml:space="preserve"> </w:t>
      </w:r>
      <w:r w:rsidR="00A379D0" w:rsidRPr="000B56EA">
        <w:rPr>
          <w:rFonts w:cstheme="minorHAnsi"/>
        </w:rPr>
        <w:t>Brief guidance to author</w:t>
      </w:r>
      <w:r w:rsidR="00E10C82" w:rsidRPr="000B56EA">
        <w:rPr>
          <w:rFonts w:cstheme="minorHAnsi"/>
        </w:rPr>
        <w:t xml:space="preserve">s </w:t>
      </w:r>
      <w:r w:rsidR="00747028" w:rsidRPr="000B56EA">
        <w:rPr>
          <w:rFonts w:cstheme="minorHAnsi"/>
        </w:rPr>
        <w:t xml:space="preserve">for the Journal of Traumatic Stress </w:t>
      </w:r>
      <w:r w:rsidR="00E10C82" w:rsidRPr="000B56EA">
        <w:rPr>
          <w:rFonts w:cstheme="minorHAnsi"/>
        </w:rPr>
        <w:t>can be found below</w:t>
      </w:r>
      <w:r w:rsidR="008933A6" w:rsidRPr="000B56EA">
        <w:rPr>
          <w:rFonts w:cstheme="minorHAnsi"/>
        </w:rPr>
        <w:t>, for a full guide, please refer to:</w:t>
      </w:r>
    </w:p>
    <w:p w14:paraId="225F651E" w14:textId="77777777" w:rsidR="00052A22" w:rsidRPr="000B56EA" w:rsidRDefault="00000000" w:rsidP="00436994">
      <w:pPr>
        <w:spacing w:line="360" w:lineRule="auto"/>
        <w:ind w:firstLine="720"/>
        <w:rPr>
          <w:rFonts w:cstheme="minorHAnsi"/>
        </w:rPr>
      </w:pPr>
      <w:hyperlink r:id="rId92" w:history="1">
        <w:r w:rsidR="00052A22" w:rsidRPr="000B56EA">
          <w:rPr>
            <w:rStyle w:val="Hyperlink"/>
            <w:rFonts w:cstheme="minorHAnsi"/>
          </w:rPr>
          <w:t>https://onlinelibrary.wiley.com/page/journal/15736598/homepage/forauthors.html</w:t>
        </w:r>
      </w:hyperlink>
    </w:p>
    <w:p w14:paraId="40B6FA01" w14:textId="77777777" w:rsidR="00052A22" w:rsidRPr="000B56EA" w:rsidRDefault="00052A22" w:rsidP="00436994">
      <w:pPr>
        <w:pStyle w:val="NormalWeb"/>
        <w:shd w:val="clear" w:color="auto" w:fill="FFFFFF"/>
        <w:spacing w:line="360" w:lineRule="auto"/>
        <w:ind w:firstLine="720"/>
        <w:rPr>
          <w:rFonts w:asciiTheme="minorHAnsi" w:hAnsiTheme="minorHAnsi" w:cstheme="minorHAnsi"/>
          <w:color w:val="1C1D1E"/>
          <w:sz w:val="22"/>
          <w:szCs w:val="22"/>
        </w:rPr>
      </w:pPr>
      <w:r w:rsidRPr="000B56EA">
        <w:rPr>
          <w:rStyle w:val="Strong"/>
          <w:rFonts w:asciiTheme="minorHAnsi" w:hAnsiTheme="minorHAnsi" w:cstheme="minorHAnsi"/>
          <w:color w:val="1C1D1E"/>
          <w:sz w:val="22"/>
          <w:szCs w:val="22"/>
        </w:rPr>
        <w:t>“Reference Style</w:t>
      </w:r>
    </w:p>
    <w:p w14:paraId="46A1C47E" w14:textId="77777777" w:rsidR="00052A22" w:rsidRPr="000B56EA" w:rsidRDefault="00052A22" w:rsidP="00436994">
      <w:pPr>
        <w:pStyle w:val="NormalWeb"/>
        <w:shd w:val="clear" w:color="auto" w:fill="FFFFFF"/>
        <w:spacing w:line="360" w:lineRule="auto"/>
        <w:ind w:firstLine="720"/>
        <w:rPr>
          <w:rFonts w:asciiTheme="minorHAnsi" w:hAnsiTheme="minorHAnsi" w:cstheme="minorHAnsi"/>
          <w:color w:val="1C1D1E"/>
          <w:sz w:val="22"/>
          <w:szCs w:val="22"/>
        </w:rPr>
      </w:pPr>
      <w:r w:rsidRPr="000B56EA">
        <w:rPr>
          <w:rStyle w:val="Emphasis"/>
          <w:rFonts w:asciiTheme="minorHAnsi" w:eastAsiaTheme="majorEastAsia" w:hAnsiTheme="minorHAnsi" w:cstheme="minorHAnsi"/>
          <w:color w:val="1C1D1E"/>
          <w:sz w:val="22"/>
          <w:szCs w:val="22"/>
        </w:rPr>
        <w:t>Journal of Traumatic Stress</w:t>
      </w:r>
      <w:r w:rsidRPr="000B56EA">
        <w:rPr>
          <w:rFonts w:asciiTheme="minorHAnsi" w:hAnsiTheme="minorHAnsi" w:cstheme="minorHAnsi"/>
          <w:color w:val="1C1D1E"/>
          <w:sz w:val="22"/>
          <w:szCs w:val="22"/>
        </w:rPr>
        <w:t> uses APA reference style. However, because </w:t>
      </w:r>
      <w:r w:rsidRPr="000B56EA">
        <w:rPr>
          <w:rStyle w:val="Emphasis"/>
          <w:rFonts w:asciiTheme="minorHAnsi" w:eastAsiaTheme="majorEastAsia" w:hAnsiTheme="minorHAnsi" w:cstheme="minorHAnsi"/>
          <w:color w:val="1C1D1E"/>
          <w:sz w:val="22"/>
          <w:szCs w:val="22"/>
        </w:rPr>
        <w:t>JTS</w:t>
      </w:r>
      <w:r w:rsidRPr="000B56EA">
        <w:rPr>
          <w:rFonts w:asciiTheme="minorHAnsi" w:hAnsiTheme="minorHAnsi" w:cstheme="minorHAnsi"/>
          <w:color w:val="1C1D1E"/>
          <w:sz w:val="22"/>
          <w:szCs w:val="22"/>
        </w:rPr>
        <w:t> offers Free Format submission, you do not need to format the references in your article until the revision stage when your article is more likely to be accepted.</w:t>
      </w:r>
    </w:p>
    <w:p w14:paraId="46FBDE3B" w14:textId="77777777" w:rsidR="00052A22" w:rsidRPr="000B56EA" w:rsidRDefault="00052A22" w:rsidP="00436994">
      <w:pPr>
        <w:pStyle w:val="NormalWeb"/>
        <w:shd w:val="clear" w:color="auto" w:fill="FFFFFF"/>
        <w:spacing w:line="360" w:lineRule="auto"/>
        <w:ind w:firstLine="720"/>
        <w:rPr>
          <w:rFonts w:asciiTheme="minorHAnsi" w:hAnsiTheme="minorHAnsi" w:cstheme="minorHAnsi"/>
          <w:color w:val="1C1D1E"/>
          <w:sz w:val="22"/>
          <w:szCs w:val="22"/>
        </w:rPr>
      </w:pPr>
      <w:r w:rsidRPr="000B56EA">
        <w:rPr>
          <w:rStyle w:val="Strong"/>
          <w:rFonts w:asciiTheme="minorHAnsi" w:hAnsiTheme="minorHAnsi" w:cstheme="minorHAnsi"/>
          <w:color w:val="1C1D1E"/>
          <w:sz w:val="22"/>
          <w:szCs w:val="22"/>
        </w:rPr>
        <w:t>Figures and Supporting Information</w:t>
      </w:r>
    </w:p>
    <w:p w14:paraId="478949B6" w14:textId="77777777" w:rsidR="00052A22" w:rsidRPr="000B56EA" w:rsidRDefault="00052A22" w:rsidP="000B56EA">
      <w:pPr>
        <w:pStyle w:val="NormalWeb"/>
        <w:shd w:val="clear" w:color="auto" w:fill="FFFFFF"/>
        <w:spacing w:line="360" w:lineRule="auto"/>
        <w:ind w:firstLine="720"/>
        <w:rPr>
          <w:rFonts w:asciiTheme="minorHAnsi" w:hAnsiTheme="minorHAnsi" w:cstheme="minorHAnsi"/>
          <w:color w:val="1C1D1E"/>
          <w:sz w:val="22"/>
          <w:szCs w:val="22"/>
        </w:rPr>
      </w:pPr>
      <w:r w:rsidRPr="000B56EA">
        <w:rPr>
          <w:rFonts w:asciiTheme="minorHAnsi" w:hAnsiTheme="minorHAnsi" w:cstheme="minorHAnsi"/>
          <w:color w:val="1C1D1E"/>
          <w:sz w:val="22"/>
          <w:szCs w:val="22"/>
        </w:rPr>
        <w:t>Figures, supporting information, and appendices should be supplied as separate files, preferably in Word. You should review the </w:t>
      </w:r>
      <w:hyperlink r:id="rId93" w:history="1">
        <w:r w:rsidRPr="000B56EA">
          <w:rPr>
            <w:rStyle w:val="Hyperlink"/>
            <w:rFonts w:asciiTheme="minorHAnsi" w:hAnsiTheme="minorHAnsi" w:cstheme="minorHAnsi"/>
            <w:b/>
            <w:bCs/>
            <w:color w:val="005274"/>
            <w:sz w:val="22"/>
            <w:szCs w:val="22"/>
          </w:rPr>
          <w:t>basic figure requirements</w:t>
        </w:r>
      </w:hyperlink>
      <w:r w:rsidRPr="000B56EA">
        <w:rPr>
          <w:rFonts w:asciiTheme="minorHAnsi" w:hAnsiTheme="minorHAnsi" w:cstheme="minorHAnsi"/>
          <w:color w:val="1C1D1E"/>
          <w:sz w:val="22"/>
          <w:szCs w:val="22"/>
        </w:rPr>
        <w:t> for manuscripts for peer review, as well as the more detailed post-acceptance figure requirements. View </w:t>
      </w:r>
      <w:hyperlink r:id="rId94" w:history="1">
        <w:r w:rsidRPr="000B56EA">
          <w:rPr>
            <w:rStyle w:val="Hyperlink"/>
            <w:rFonts w:asciiTheme="minorHAnsi" w:hAnsiTheme="minorHAnsi" w:cstheme="minorHAnsi"/>
            <w:b/>
            <w:bCs/>
            <w:color w:val="005274"/>
            <w:sz w:val="22"/>
            <w:szCs w:val="22"/>
          </w:rPr>
          <w:t>Wiley’s FAQs</w:t>
        </w:r>
      </w:hyperlink>
      <w:r w:rsidRPr="000B56EA">
        <w:rPr>
          <w:rFonts w:asciiTheme="minorHAnsi" w:hAnsiTheme="minorHAnsi" w:cstheme="minorHAnsi"/>
          <w:color w:val="1C1D1E"/>
          <w:sz w:val="22"/>
          <w:szCs w:val="22"/>
        </w:rPr>
        <w:t> on supporting information.</w:t>
      </w:r>
    </w:p>
    <w:p w14:paraId="78DDA182" w14:textId="77777777" w:rsidR="00052A22" w:rsidRPr="000B56EA" w:rsidRDefault="00052A22" w:rsidP="001435E1">
      <w:pPr>
        <w:rPr>
          <w:rFonts w:cstheme="minorHAnsi"/>
        </w:rPr>
      </w:pPr>
    </w:p>
    <w:tbl>
      <w:tblPr>
        <w:tblW w:w="9450" w:type="dxa"/>
        <w:shd w:val="clear" w:color="auto" w:fill="FFFFFF"/>
        <w:tblCellMar>
          <w:top w:w="15" w:type="dxa"/>
          <w:left w:w="15" w:type="dxa"/>
          <w:bottom w:w="15" w:type="dxa"/>
          <w:right w:w="15" w:type="dxa"/>
        </w:tblCellMar>
        <w:tblLook w:val="04A0" w:firstRow="1" w:lastRow="0" w:firstColumn="1" w:lastColumn="0" w:noHBand="0" w:noVBand="1"/>
      </w:tblPr>
      <w:tblGrid>
        <w:gridCol w:w="1838"/>
        <w:gridCol w:w="530"/>
        <w:gridCol w:w="2386"/>
        <w:gridCol w:w="1488"/>
        <w:gridCol w:w="1465"/>
        <w:gridCol w:w="1743"/>
      </w:tblGrid>
      <w:tr w:rsidR="00052A22" w:rsidRPr="000B56EA" w14:paraId="1819EFCF" w14:textId="77777777" w:rsidTr="000B56EA">
        <w:trPr>
          <w:trHeight w:val="2405"/>
        </w:trPr>
        <w:tc>
          <w:tcPr>
            <w:tcW w:w="1920" w:type="dxa"/>
            <w:shd w:val="clear" w:color="auto" w:fill="FFFFFF"/>
            <w:tcMar>
              <w:top w:w="240" w:type="dxa"/>
              <w:left w:w="240" w:type="dxa"/>
              <w:bottom w:w="240" w:type="dxa"/>
              <w:right w:w="240" w:type="dxa"/>
            </w:tcMar>
            <w:vAlign w:val="center"/>
            <w:hideMark/>
          </w:tcPr>
          <w:p w14:paraId="6989E29F" w14:textId="77777777" w:rsidR="00052A22" w:rsidRPr="000B56EA" w:rsidRDefault="00052A22" w:rsidP="00052A22">
            <w:pPr>
              <w:spacing w:before="100" w:beforeAutospacing="1" w:after="100" w:afterAutospacing="1" w:line="240" w:lineRule="auto"/>
              <w:rPr>
                <w:rFonts w:eastAsia="Times New Roman" w:cstheme="minorHAnsi"/>
                <w:color w:val="1C1D1E"/>
                <w:lang w:eastAsia="en-GB"/>
              </w:rPr>
            </w:pPr>
            <w:r w:rsidRPr="000B56EA">
              <w:rPr>
                <w:rFonts w:eastAsia="Times New Roman" w:cstheme="minorHAnsi"/>
                <w:b/>
                <w:bCs/>
                <w:color w:val="1C1D1E"/>
                <w:lang w:eastAsia="en-GB"/>
              </w:rPr>
              <w:t>Review Article</w:t>
            </w:r>
          </w:p>
        </w:tc>
        <w:tc>
          <w:tcPr>
            <w:tcW w:w="240" w:type="dxa"/>
            <w:shd w:val="clear" w:color="auto" w:fill="FFFFFF"/>
            <w:tcMar>
              <w:top w:w="240" w:type="dxa"/>
              <w:left w:w="240" w:type="dxa"/>
              <w:bottom w:w="240" w:type="dxa"/>
              <w:right w:w="240" w:type="dxa"/>
            </w:tcMar>
            <w:vAlign w:val="center"/>
            <w:hideMark/>
          </w:tcPr>
          <w:p w14:paraId="69C7EB44" w14:textId="77777777" w:rsidR="00052A22" w:rsidRPr="000B56EA" w:rsidRDefault="00052A22" w:rsidP="00052A22">
            <w:pPr>
              <w:spacing w:before="100" w:beforeAutospacing="1" w:after="100" w:afterAutospacing="1" w:line="240" w:lineRule="auto"/>
              <w:rPr>
                <w:rFonts w:eastAsia="Times New Roman" w:cstheme="minorHAnsi"/>
                <w:color w:val="1C1D1E"/>
                <w:lang w:eastAsia="en-GB"/>
              </w:rPr>
            </w:pPr>
            <w:r w:rsidRPr="000B56EA">
              <w:rPr>
                <w:rFonts w:eastAsia="Times New Roman" w:cstheme="minorHAnsi"/>
                <w:color w:val="1C1D1E"/>
                <w:lang w:eastAsia="en-GB"/>
              </w:rPr>
              <w:t> </w:t>
            </w:r>
          </w:p>
        </w:tc>
        <w:tc>
          <w:tcPr>
            <w:tcW w:w="2460" w:type="dxa"/>
            <w:shd w:val="clear" w:color="auto" w:fill="FFFFFF"/>
            <w:tcMar>
              <w:top w:w="240" w:type="dxa"/>
              <w:left w:w="240" w:type="dxa"/>
              <w:bottom w:w="240" w:type="dxa"/>
              <w:right w:w="240" w:type="dxa"/>
            </w:tcMar>
            <w:vAlign w:val="center"/>
            <w:hideMark/>
          </w:tcPr>
          <w:p w14:paraId="3599730F" w14:textId="77777777" w:rsidR="00052A22" w:rsidRPr="000B56EA" w:rsidRDefault="00052A22" w:rsidP="00052A22">
            <w:pPr>
              <w:spacing w:before="100" w:beforeAutospacing="1" w:after="100" w:afterAutospacing="1" w:line="240" w:lineRule="auto"/>
              <w:rPr>
                <w:rFonts w:eastAsia="Times New Roman" w:cstheme="minorHAnsi"/>
                <w:color w:val="1C1D1E"/>
                <w:lang w:eastAsia="en-GB"/>
              </w:rPr>
            </w:pPr>
            <w:r w:rsidRPr="000B56EA">
              <w:rPr>
                <w:rFonts w:eastAsia="Times New Roman" w:cstheme="minorHAnsi"/>
                <w:color w:val="1C1D1E"/>
                <w:lang w:eastAsia="en-GB"/>
              </w:rPr>
              <w:t>Overview of developments in the field or current lines of thought; synthesizes multiple sources of information and has long list of references</w:t>
            </w:r>
          </w:p>
        </w:tc>
        <w:tc>
          <w:tcPr>
            <w:tcW w:w="1080" w:type="dxa"/>
            <w:shd w:val="clear" w:color="auto" w:fill="FFFFFF"/>
            <w:tcMar>
              <w:top w:w="240" w:type="dxa"/>
              <w:left w:w="240" w:type="dxa"/>
              <w:bottom w:w="240" w:type="dxa"/>
              <w:right w:w="240" w:type="dxa"/>
            </w:tcMar>
            <w:vAlign w:val="center"/>
            <w:hideMark/>
          </w:tcPr>
          <w:p w14:paraId="5ADFDABE" w14:textId="77777777" w:rsidR="00052A22" w:rsidRPr="000B56EA" w:rsidRDefault="00052A22" w:rsidP="00052A22">
            <w:pPr>
              <w:spacing w:before="100" w:beforeAutospacing="1" w:after="100" w:afterAutospacing="1" w:line="240" w:lineRule="auto"/>
              <w:rPr>
                <w:rFonts w:eastAsia="Times New Roman" w:cstheme="minorHAnsi"/>
                <w:color w:val="1C1D1E"/>
                <w:lang w:eastAsia="en-GB"/>
              </w:rPr>
            </w:pPr>
            <w:r w:rsidRPr="000B56EA">
              <w:rPr>
                <w:rFonts w:eastAsia="Times New Roman" w:cstheme="minorHAnsi"/>
                <w:color w:val="1C1D1E"/>
                <w:lang w:eastAsia="en-GB"/>
              </w:rPr>
              <w:t>7,500 words, including abstract, references, tables, and figures</w:t>
            </w:r>
          </w:p>
        </w:tc>
        <w:tc>
          <w:tcPr>
            <w:tcW w:w="1545" w:type="dxa"/>
            <w:shd w:val="clear" w:color="auto" w:fill="FFFFFF"/>
            <w:tcMar>
              <w:top w:w="240" w:type="dxa"/>
              <w:left w:w="240" w:type="dxa"/>
              <w:bottom w:w="240" w:type="dxa"/>
              <w:right w:w="240" w:type="dxa"/>
            </w:tcMar>
            <w:vAlign w:val="center"/>
            <w:hideMark/>
          </w:tcPr>
          <w:p w14:paraId="58D79220" w14:textId="77777777" w:rsidR="00052A22" w:rsidRPr="000B56EA" w:rsidRDefault="00052A22" w:rsidP="00052A22">
            <w:pPr>
              <w:spacing w:before="100" w:beforeAutospacing="1" w:after="100" w:afterAutospacing="1" w:line="240" w:lineRule="auto"/>
              <w:rPr>
                <w:rFonts w:eastAsia="Times New Roman" w:cstheme="minorHAnsi"/>
                <w:color w:val="1C1D1E"/>
                <w:lang w:eastAsia="en-GB"/>
              </w:rPr>
            </w:pPr>
            <w:r w:rsidRPr="000B56EA">
              <w:rPr>
                <w:rFonts w:eastAsia="Times New Roman" w:cstheme="minorHAnsi"/>
                <w:color w:val="1C1D1E"/>
                <w:lang w:eastAsia="en-GB"/>
              </w:rPr>
              <w:t>Yes</w:t>
            </w:r>
          </w:p>
        </w:tc>
        <w:tc>
          <w:tcPr>
            <w:tcW w:w="1770" w:type="dxa"/>
            <w:shd w:val="clear" w:color="auto" w:fill="FFFFFF"/>
            <w:tcMar>
              <w:top w:w="240" w:type="dxa"/>
              <w:left w:w="240" w:type="dxa"/>
              <w:bottom w:w="240" w:type="dxa"/>
              <w:right w:w="240" w:type="dxa"/>
            </w:tcMar>
            <w:vAlign w:val="center"/>
            <w:hideMark/>
          </w:tcPr>
          <w:p w14:paraId="610DAD11" w14:textId="77777777" w:rsidR="00052A22" w:rsidRPr="000B56EA" w:rsidRDefault="00052A22" w:rsidP="00052A22">
            <w:pPr>
              <w:spacing w:before="100" w:beforeAutospacing="1" w:after="100" w:afterAutospacing="1" w:line="240" w:lineRule="auto"/>
              <w:rPr>
                <w:rFonts w:eastAsia="Times New Roman" w:cstheme="minorHAnsi"/>
                <w:color w:val="1C1D1E"/>
                <w:lang w:eastAsia="en-GB"/>
              </w:rPr>
            </w:pPr>
            <w:r w:rsidRPr="000B56EA">
              <w:rPr>
                <w:rFonts w:eastAsia="Times New Roman" w:cstheme="minorHAnsi"/>
                <w:color w:val="1C1D1E"/>
                <w:lang w:eastAsia="en-GB"/>
              </w:rPr>
              <w:t>Data Availability Statement</w:t>
            </w:r>
          </w:p>
          <w:p w14:paraId="64B53E0A" w14:textId="77777777" w:rsidR="00052A22" w:rsidRPr="000B56EA" w:rsidRDefault="00052A22" w:rsidP="00052A22">
            <w:pPr>
              <w:spacing w:before="100" w:beforeAutospacing="1" w:after="100" w:afterAutospacing="1" w:line="240" w:lineRule="auto"/>
              <w:rPr>
                <w:rFonts w:eastAsia="Times New Roman" w:cstheme="minorHAnsi"/>
                <w:color w:val="1C1D1E"/>
                <w:lang w:eastAsia="en-GB"/>
              </w:rPr>
            </w:pPr>
            <w:r w:rsidRPr="000B56EA">
              <w:rPr>
                <w:rFonts w:eastAsia="Times New Roman" w:cstheme="minorHAnsi"/>
                <w:color w:val="1C1D1E"/>
                <w:lang w:eastAsia="en-GB"/>
              </w:rPr>
              <w:t>IRB Statement”</w:t>
            </w:r>
          </w:p>
        </w:tc>
      </w:tr>
    </w:tbl>
    <w:p w14:paraId="6487AE62" w14:textId="091FC6EF" w:rsidR="009427A4" w:rsidRDefault="009427A4" w:rsidP="009427A4">
      <w:pPr>
        <w:rPr>
          <w:rFonts w:cstheme="minorHAnsi"/>
          <w:sz w:val="24"/>
          <w:szCs w:val="24"/>
        </w:rPr>
      </w:pPr>
    </w:p>
    <w:p w14:paraId="231F6171" w14:textId="51C9790D" w:rsidR="000B56EA" w:rsidRDefault="000B56EA" w:rsidP="009427A4">
      <w:pPr>
        <w:rPr>
          <w:rFonts w:cstheme="minorHAnsi"/>
          <w:sz w:val="24"/>
          <w:szCs w:val="24"/>
        </w:rPr>
      </w:pPr>
    </w:p>
    <w:p w14:paraId="3935C78F" w14:textId="089C3A9C" w:rsidR="000B56EA" w:rsidRDefault="000B56EA" w:rsidP="009427A4">
      <w:pPr>
        <w:rPr>
          <w:rFonts w:cstheme="minorHAnsi"/>
          <w:sz w:val="24"/>
          <w:szCs w:val="24"/>
        </w:rPr>
      </w:pPr>
    </w:p>
    <w:p w14:paraId="6C811D61" w14:textId="7C2A5EEF" w:rsidR="000B56EA" w:rsidRDefault="000B56EA" w:rsidP="009427A4">
      <w:pPr>
        <w:rPr>
          <w:rFonts w:cstheme="minorHAnsi"/>
          <w:sz w:val="24"/>
          <w:szCs w:val="24"/>
        </w:rPr>
      </w:pPr>
    </w:p>
    <w:p w14:paraId="0088E93E" w14:textId="5140952E" w:rsidR="000B56EA" w:rsidRDefault="000B56EA" w:rsidP="009427A4">
      <w:pPr>
        <w:rPr>
          <w:rFonts w:cstheme="minorHAnsi"/>
          <w:sz w:val="24"/>
          <w:szCs w:val="24"/>
        </w:rPr>
      </w:pPr>
    </w:p>
    <w:p w14:paraId="70475EC0" w14:textId="63263C30" w:rsidR="000B56EA" w:rsidRDefault="000B56EA" w:rsidP="009427A4">
      <w:pPr>
        <w:rPr>
          <w:rFonts w:cstheme="minorHAnsi"/>
          <w:sz w:val="24"/>
          <w:szCs w:val="24"/>
        </w:rPr>
      </w:pPr>
    </w:p>
    <w:p w14:paraId="2C67EAA0" w14:textId="77777777" w:rsidR="000B56EA" w:rsidRDefault="000B56EA" w:rsidP="00027769">
      <w:pPr>
        <w:pStyle w:val="Heading1"/>
        <w:sectPr w:rsidR="000B56EA" w:rsidSect="00214334">
          <w:pgSz w:w="11906" w:h="16838"/>
          <w:pgMar w:top="1440" w:right="1440" w:bottom="1440" w:left="1440" w:header="709" w:footer="709" w:gutter="0"/>
          <w:cols w:space="708"/>
          <w:docGrid w:linePitch="360"/>
        </w:sectPr>
      </w:pPr>
    </w:p>
    <w:tbl>
      <w:tblPr>
        <w:tblW w:w="0" w:type="auto"/>
        <w:tblLook w:val="04A0" w:firstRow="1" w:lastRow="0" w:firstColumn="1" w:lastColumn="0" w:noHBand="0" w:noVBand="1"/>
      </w:tblPr>
      <w:tblGrid>
        <w:gridCol w:w="6415"/>
        <w:gridCol w:w="356"/>
        <w:gridCol w:w="944"/>
        <w:gridCol w:w="985"/>
        <w:gridCol w:w="718"/>
        <w:gridCol w:w="718"/>
        <w:gridCol w:w="929"/>
        <w:gridCol w:w="903"/>
        <w:gridCol w:w="951"/>
        <w:gridCol w:w="1039"/>
      </w:tblGrid>
      <w:tr w:rsidR="000B56EA" w:rsidRPr="00307A57" w14:paraId="4CB16849" w14:textId="77777777" w:rsidTr="000B56EA">
        <w:trPr>
          <w:trHeight w:val="290"/>
        </w:trPr>
        <w:tc>
          <w:tcPr>
            <w:tcW w:w="0" w:type="auto"/>
            <w:tcBorders>
              <w:top w:val="single" w:sz="4" w:space="0" w:color="000000"/>
              <w:left w:val="nil"/>
              <w:bottom w:val="single" w:sz="4" w:space="0" w:color="000000"/>
              <w:right w:val="nil"/>
            </w:tcBorders>
            <w:shd w:val="clear" w:color="auto" w:fill="auto"/>
            <w:noWrap/>
            <w:vAlign w:val="bottom"/>
          </w:tcPr>
          <w:p w14:paraId="1DF14313" w14:textId="18FB0428" w:rsidR="000B56EA" w:rsidRPr="00307A57" w:rsidRDefault="000B56EA" w:rsidP="00027769">
            <w:pPr>
              <w:pStyle w:val="Heading1"/>
              <w:rPr>
                <w:rFonts w:ascii="Calibri" w:eastAsia="Times New Roman" w:hAnsi="Calibri" w:cs="Calibri"/>
                <w:bCs/>
                <w:color w:val="000000"/>
                <w:lang w:eastAsia="en-GB"/>
              </w:rPr>
            </w:pPr>
            <w:bookmarkStart w:id="133" w:name="_Toc133487808"/>
            <w:r>
              <w:lastRenderedPageBreak/>
              <w:t>Appendix 2 – Quality appraisal scoring using modified AXIS tool</w:t>
            </w:r>
            <w:bookmarkEnd w:id="133"/>
          </w:p>
        </w:tc>
        <w:tc>
          <w:tcPr>
            <w:tcW w:w="0" w:type="auto"/>
            <w:tcBorders>
              <w:top w:val="single" w:sz="4" w:space="0" w:color="000000"/>
              <w:left w:val="nil"/>
              <w:bottom w:val="single" w:sz="4" w:space="0" w:color="000000"/>
              <w:right w:val="nil"/>
            </w:tcBorders>
            <w:shd w:val="clear" w:color="auto" w:fill="auto"/>
            <w:noWrap/>
            <w:vAlign w:val="bottom"/>
          </w:tcPr>
          <w:p w14:paraId="4BA6EBC5" w14:textId="77777777" w:rsidR="000B56EA" w:rsidRPr="00307A57" w:rsidRDefault="000B56EA" w:rsidP="000B56EA">
            <w:pPr>
              <w:spacing w:after="0" w:line="240" w:lineRule="auto"/>
              <w:rPr>
                <w:rFonts w:ascii="Calibri" w:eastAsia="Times New Roman" w:hAnsi="Calibri" w:cs="Calibri"/>
                <w:b/>
                <w:bCs/>
                <w:color w:val="000000"/>
                <w:lang w:eastAsia="en-GB"/>
              </w:rPr>
            </w:pPr>
          </w:p>
        </w:tc>
        <w:tc>
          <w:tcPr>
            <w:tcW w:w="0" w:type="auto"/>
            <w:tcBorders>
              <w:top w:val="single" w:sz="4" w:space="0" w:color="000000"/>
              <w:left w:val="nil"/>
              <w:bottom w:val="single" w:sz="4" w:space="0" w:color="000000"/>
              <w:right w:val="nil"/>
            </w:tcBorders>
            <w:shd w:val="clear" w:color="auto" w:fill="auto"/>
            <w:noWrap/>
            <w:vAlign w:val="bottom"/>
          </w:tcPr>
          <w:p w14:paraId="5DAFC36D" w14:textId="77777777" w:rsidR="000B56EA" w:rsidRPr="00307A57" w:rsidRDefault="000B56EA" w:rsidP="000B56EA">
            <w:pPr>
              <w:spacing w:after="0" w:line="240" w:lineRule="auto"/>
              <w:rPr>
                <w:rFonts w:ascii="Calibri" w:eastAsia="Times New Roman" w:hAnsi="Calibri" w:cs="Calibri"/>
                <w:b/>
                <w:bCs/>
                <w:color w:val="000000"/>
                <w:lang w:eastAsia="en-GB"/>
              </w:rPr>
            </w:pPr>
          </w:p>
        </w:tc>
        <w:tc>
          <w:tcPr>
            <w:tcW w:w="0" w:type="auto"/>
            <w:tcBorders>
              <w:top w:val="single" w:sz="4" w:space="0" w:color="000000"/>
              <w:left w:val="nil"/>
              <w:bottom w:val="single" w:sz="4" w:space="0" w:color="000000"/>
              <w:right w:val="nil"/>
            </w:tcBorders>
            <w:shd w:val="clear" w:color="auto" w:fill="auto"/>
            <w:noWrap/>
            <w:vAlign w:val="bottom"/>
          </w:tcPr>
          <w:p w14:paraId="3AE904CA" w14:textId="77777777" w:rsidR="000B56EA" w:rsidRPr="00307A57" w:rsidRDefault="000B56EA" w:rsidP="000B56EA">
            <w:pPr>
              <w:spacing w:after="0" w:line="240" w:lineRule="auto"/>
              <w:rPr>
                <w:rFonts w:ascii="Calibri" w:eastAsia="Times New Roman" w:hAnsi="Calibri" w:cs="Calibri"/>
                <w:b/>
                <w:bCs/>
                <w:color w:val="000000"/>
                <w:lang w:eastAsia="en-GB"/>
              </w:rPr>
            </w:pPr>
          </w:p>
        </w:tc>
        <w:tc>
          <w:tcPr>
            <w:tcW w:w="0" w:type="auto"/>
            <w:tcBorders>
              <w:top w:val="single" w:sz="4" w:space="0" w:color="000000"/>
              <w:left w:val="nil"/>
              <w:bottom w:val="single" w:sz="4" w:space="0" w:color="000000"/>
              <w:right w:val="nil"/>
            </w:tcBorders>
            <w:shd w:val="clear" w:color="auto" w:fill="auto"/>
            <w:noWrap/>
            <w:vAlign w:val="bottom"/>
          </w:tcPr>
          <w:p w14:paraId="18698B35" w14:textId="77777777" w:rsidR="000B56EA" w:rsidRPr="00307A57" w:rsidRDefault="000B56EA" w:rsidP="000B56EA">
            <w:pPr>
              <w:spacing w:after="0" w:line="240" w:lineRule="auto"/>
              <w:rPr>
                <w:rFonts w:ascii="Calibri" w:eastAsia="Times New Roman" w:hAnsi="Calibri" w:cs="Calibri"/>
                <w:b/>
                <w:bCs/>
                <w:color w:val="000000"/>
                <w:lang w:eastAsia="en-GB"/>
              </w:rPr>
            </w:pPr>
          </w:p>
        </w:tc>
        <w:tc>
          <w:tcPr>
            <w:tcW w:w="0" w:type="auto"/>
            <w:tcBorders>
              <w:top w:val="single" w:sz="4" w:space="0" w:color="000000"/>
              <w:left w:val="nil"/>
              <w:bottom w:val="single" w:sz="4" w:space="0" w:color="000000"/>
              <w:right w:val="nil"/>
            </w:tcBorders>
            <w:shd w:val="clear" w:color="auto" w:fill="auto"/>
            <w:noWrap/>
            <w:vAlign w:val="bottom"/>
          </w:tcPr>
          <w:p w14:paraId="240E3138" w14:textId="77777777" w:rsidR="000B56EA" w:rsidRPr="00307A57" w:rsidRDefault="000B56EA" w:rsidP="000B56EA">
            <w:pPr>
              <w:spacing w:after="0" w:line="240" w:lineRule="auto"/>
              <w:rPr>
                <w:rFonts w:ascii="Calibri" w:eastAsia="Times New Roman" w:hAnsi="Calibri" w:cs="Calibri"/>
                <w:b/>
                <w:bCs/>
                <w:color w:val="000000"/>
                <w:lang w:eastAsia="en-GB"/>
              </w:rPr>
            </w:pPr>
          </w:p>
        </w:tc>
        <w:tc>
          <w:tcPr>
            <w:tcW w:w="0" w:type="auto"/>
            <w:tcBorders>
              <w:top w:val="single" w:sz="4" w:space="0" w:color="000000"/>
              <w:left w:val="nil"/>
              <w:bottom w:val="single" w:sz="4" w:space="0" w:color="000000"/>
              <w:right w:val="nil"/>
            </w:tcBorders>
            <w:shd w:val="clear" w:color="auto" w:fill="auto"/>
            <w:noWrap/>
            <w:vAlign w:val="bottom"/>
          </w:tcPr>
          <w:p w14:paraId="4F82F753" w14:textId="77777777" w:rsidR="000B56EA" w:rsidRPr="00307A57" w:rsidRDefault="000B56EA" w:rsidP="000B56EA">
            <w:pPr>
              <w:spacing w:after="0" w:line="240" w:lineRule="auto"/>
              <w:rPr>
                <w:rFonts w:ascii="Calibri" w:eastAsia="Times New Roman" w:hAnsi="Calibri" w:cs="Calibri"/>
                <w:b/>
                <w:bCs/>
                <w:color w:val="000000"/>
                <w:lang w:eastAsia="en-GB"/>
              </w:rPr>
            </w:pPr>
          </w:p>
        </w:tc>
        <w:tc>
          <w:tcPr>
            <w:tcW w:w="0" w:type="auto"/>
            <w:tcBorders>
              <w:top w:val="single" w:sz="4" w:space="0" w:color="000000"/>
              <w:left w:val="nil"/>
              <w:bottom w:val="single" w:sz="4" w:space="0" w:color="000000"/>
              <w:right w:val="nil"/>
            </w:tcBorders>
            <w:shd w:val="clear" w:color="auto" w:fill="auto"/>
            <w:noWrap/>
            <w:vAlign w:val="bottom"/>
          </w:tcPr>
          <w:p w14:paraId="6E571E04" w14:textId="77777777" w:rsidR="000B56EA" w:rsidRPr="00307A57" w:rsidRDefault="000B56EA" w:rsidP="000B56EA">
            <w:pPr>
              <w:spacing w:after="0" w:line="240" w:lineRule="auto"/>
              <w:rPr>
                <w:rFonts w:ascii="Calibri" w:eastAsia="Times New Roman" w:hAnsi="Calibri" w:cs="Calibri"/>
                <w:b/>
                <w:bCs/>
                <w:color w:val="000000"/>
                <w:lang w:eastAsia="en-GB"/>
              </w:rPr>
            </w:pPr>
          </w:p>
        </w:tc>
        <w:tc>
          <w:tcPr>
            <w:tcW w:w="0" w:type="auto"/>
            <w:tcBorders>
              <w:top w:val="single" w:sz="4" w:space="0" w:color="000000"/>
              <w:left w:val="nil"/>
              <w:bottom w:val="single" w:sz="4" w:space="0" w:color="000000"/>
              <w:right w:val="nil"/>
            </w:tcBorders>
            <w:shd w:val="clear" w:color="auto" w:fill="auto"/>
            <w:noWrap/>
            <w:vAlign w:val="bottom"/>
          </w:tcPr>
          <w:p w14:paraId="1F276AC1" w14:textId="77777777" w:rsidR="000B56EA" w:rsidRPr="00307A57" w:rsidRDefault="000B56EA" w:rsidP="000B56EA">
            <w:pPr>
              <w:spacing w:after="0" w:line="240" w:lineRule="auto"/>
              <w:rPr>
                <w:rFonts w:ascii="Calibri" w:eastAsia="Times New Roman" w:hAnsi="Calibri" w:cs="Calibri"/>
                <w:b/>
                <w:bCs/>
                <w:color w:val="000000"/>
                <w:lang w:eastAsia="en-GB"/>
              </w:rPr>
            </w:pPr>
          </w:p>
        </w:tc>
        <w:tc>
          <w:tcPr>
            <w:tcW w:w="0" w:type="auto"/>
            <w:tcBorders>
              <w:top w:val="single" w:sz="4" w:space="0" w:color="000000"/>
              <w:left w:val="nil"/>
              <w:bottom w:val="single" w:sz="4" w:space="0" w:color="000000"/>
              <w:right w:val="nil"/>
            </w:tcBorders>
            <w:shd w:val="clear" w:color="auto" w:fill="auto"/>
            <w:noWrap/>
            <w:vAlign w:val="bottom"/>
          </w:tcPr>
          <w:p w14:paraId="463725C9" w14:textId="77777777" w:rsidR="000B56EA" w:rsidRPr="00307A57" w:rsidRDefault="000B56EA" w:rsidP="000B56EA">
            <w:pPr>
              <w:spacing w:after="0" w:line="240" w:lineRule="auto"/>
              <w:rPr>
                <w:rFonts w:ascii="Calibri" w:eastAsia="Times New Roman" w:hAnsi="Calibri" w:cs="Calibri"/>
                <w:b/>
                <w:bCs/>
                <w:color w:val="000000"/>
                <w:lang w:eastAsia="en-GB"/>
              </w:rPr>
            </w:pPr>
          </w:p>
        </w:tc>
      </w:tr>
      <w:tr w:rsidR="000B56EA" w:rsidRPr="00307A57" w14:paraId="4E27C87C" w14:textId="77777777" w:rsidTr="000B56EA">
        <w:trPr>
          <w:trHeight w:val="290"/>
        </w:trPr>
        <w:tc>
          <w:tcPr>
            <w:tcW w:w="0" w:type="auto"/>
            <w:tcBorders>
              <w:top w:val="single" w:sz="4" w:space="0" w:color="000000"/>
              <w:left w:val="nil"/>
              <w:bottom w:val="single" w:sz="4" w:space="0" w:color="000000"/>
              <w:right w:val="nil"/>
            </w:tcBorders>
            <w:shd w:val="clear" w:color="auto" w:fill="auto"/>
            <w:noWrap/>
            <w:vAlign w:val="bottom"/>
          </w:tcPr>
          <w:p w14:paraId="4CFA914F" w14:textId="77777777" w:rsidR="000B56EA" w:rsidRPr="00307A57" w:rsidRDefault="000B56EA" w:rsidP="000B56EA">
            <w:pPr>
              <w:spacing w:after="0" w:line="240" w:lineRule="auto"/>
              <w:rPr>
                <w:rFonts w:ascii="Calibri" w:eastAsia="Times New Roman" w:hAnsi="Calibri" w:cs="Calibri"/>
                <w:b/>
                <w:bCs/>
                <w:color w:val="000000"/>
                <w:lang w:eastAsia="en-GB"/>
              </w:rPr>
            </w:pPr>
          </w:p>
        </w:tc>
        <w:tc>
          <w:tcPr>
            <w:tcW w:w="0" w:type="auto"/>
            <w:tcBorders>
              <w:top w:val="single" w:sz="4" w:space="0" w:color="000000"/>
              <w:left w:val="nil"/>
              <w:bottom w:val="single" w:sz="4" w:space="0" w:color="000000"/>
              <w:right w:val="nil"/>
            </w:tcBorders>
            <w:shd w:val="clear" w:color="auto" w:fill="auto"/>
            <w:noWrap/>
            <w:vAlign w:val="bottom"/>
          </w:tcPr>
          <w:p w14:paraId="43A566E8" w14:textId="77777777" w:rsidR="000B56EA" w:rsidRPr="00307A57" w:rsidRDefault="000B56EA" w:rsidP="000B56EA">
            <w:pPr>
              <w:spacing w:after="0" w:line="240" w:lineRule="auto"/>
              <w:rPr>
                <w:rFonts w:ascii="Calibri" w:eastAsia="Times New Roman" w:hAnsi="Calibri" w:cs="Calibri"/>
                <w:b/>
                <w:bCs/>
                <w:color w:val="000000"/>
                <w:lang w:eastAsia="en-GB"/>
              </w:rPr>
            </w:pPr>
          </w:p>
        </w:tc>
        <w:tc>
          <w:tcPr>
            <w:tcW w:w="0" w:type="auto"/>
            <w:tcBorders>
              <w:top w:val="single" w:sz="4" w:space="0" w:color="000000"/>
              <w:left w:val="nil"/>
              <w:bottom w:val="single" w:sz="4" w:space="0" w:color="000000"/>
              <w:right w:val="nil"/>
            </w:tcBorders>
            <w:shd w:val="clear" w:color="auto" w:fill="auto"/>
            <w:noWrap/>
            <w:vAlign w:val="bottom"/>
          </w:tcPr>
          <w:p w14:paraId="3B6998A4" w14:textId="77777777" w:rsidR="000B56EA" w:rsidRPr="00307A57" w:rsidRDefault="000B56EA" w:rsidP="000B56EA">
            <w:pPr>
              <w:spacing w:after="0" w:line="240" w:lineRule="auto"/>
              <w:rPr>
                <w:rFonts w:ascii="Calibri" w:eastAsia="Times New Roman" w:hAnsi="Calibri" w:cs="Calibri"/>
                <w:b/>
                <w:bCs/>
                <w:color w:val="000000"/>
                <w:lang w:eastAsia="en-GB"/>
              </w:rPr>
            </w:pPr>
          </w:p>
        </w:tc>
        <w:tc>
          <w:tcPr>
            <w:tcW w:w="0" w:type="auto"/>
            <w:tcBorders>
              <w:top w:val="single" w:sz="4" w:space="0" w:color="000000"/>
              <w:left w:val="nil"/>
              <w:bottom w:val="single" w:sz="4" w:space="0" w:color="000000"/>
              <w:right w:val="nil"/>
            </w:tcBorders>
            <w:shd w:val="clear" w:color="auto" w:fill="auto"/>
            <w:noWrap/>
            <w:vAlign w:val="bottom"/>
          </w:tcPr>
          <w:p w14:paraId="5D11948F" w14:textId="77777777" w:rsidR="000B56EA" w:rsidRPr="00307A57" w:rsidRDefault="000B56EA" w:rsidP="000B56EA">
            <w:pPr>
              <w:spacing w:after="0" w:line="240" w:lineRule="auto"/>
              <w:rPr>
                <w:rFonts w:ascii="Calibri" w:eastAsia="Times New Roman" w:hAnsi="Calibri" w:cs="Calibri"/>
                <w:b/>
                <w:bCs/>
                <w:color w:val="000000"/>
                <w:lang w:eastAsia="en-GB"/>
              </w:rPr>
            </w:pPr>
          </w:p>
        </w:tc>
        <w:tc>
          <w:tcPr>
            <w:tcW w:w="0" w:type="auto"/>
            <w:tcBorders>
              <w:top w:val="single" w:sz="4" w:space="0" w:color="000000"/>
              <w:left w:val="nil"/>
              <w:bottom w:val="single" w:sz="4" w:space="0" w:color="000000"/>
              <w:right w:val="nil"/>
            </w:tcBorders>
            <w:shd w:val="clear" w:color="auto" w:fill="auto"/>
            <w:noWrap/>
            <w:vAlign w:val="bottom"/>
          </w:tcPr>
          <w:p w14:paraId="067D08A5" w14:textId="77777777" w:rsidR="000B56EA" w:rsidRPr="00307A57" w:rsidRDefault="000B56EA" w:rsidP="000B56EA">
            <w:pPr>
              <w:spacing w:after="0" w:line="240" w:lineRule="auto"/>
              <w:rPr>
                <w:rFonts w:ascii="Calibri" w:eastAsia="Times New Roman" w:hAnsi="Calibri" w:cs="Calibri"/>
                <w:b/>
                <w:bCs/>
                <w:color w:val="000000"/>
                <w:lang w:eastAsia="en-GB"/>
              </w:rPr>
            </w:pPr>
          </w:p>
        </w:tc>
        <w:tc>
          <w:tcPr>
            <w:tcW w:w="0" w:type="auto"/>
            <w:tcBorders>
              <w:top w:val="single" w:sz="4" w:space="0" w:color="000000"/>
              <w:left w:val="nil"/>
              <w:bottom w:val="single" w:sz="4" w:space="0" w:color="000000"/>
              <w:right w:val="nil"/>
            </w:tcBorders>
            <w:shd w:val="clear" w:color="auto" w:fill="auto"/>
            <w:noWrap/>
            <w:vAlign w:val="bottom"/>
          </w:tcPr>
          <w:p w14:paraId="05C15B7D" w14:textId="77777777" w:rsidR="000B56EA" w:rsidRPr="00307A57" w:rsidRDefault="000B56EA" w:rsidP="000B56EA">
            <w:pPr>
              <w:spacing w:after="0" w:line="240" w:lineRule="auto"/>
              <w:rPr>
                <w:rFonts w:ascii="Calibri" w:eastAsia="Times New Roman" w:hAnsi="Calibri" w:cs="Calibri"/>
                <w:b/>
                <w:bCs/>
                <w:color w:val="000000"/>
                <w:lang w:eastAsia="en-GB"/>
              </w:rPr>
            </w:pPr>
          </w:p>
        </w:tc>
        <w:tc>
          <w:tcPr>
            <w:tcW w:w="0" w:type="auto"/>
            <w:tcBorders>
              <w:top w:val="single" w:sz="4" w:space="0" w:color="000000"/>
              <w:left w:val="nil"/>
              <w:bottom w:val="single" w:sz="4" w:space="0" w:color="000000"/>
              <w:right w:val="nil"/>
            </w:tcBorders>
            <w:shd w:val="clear" w:color="auto" w:fill="auto"/>
            <w:noWrap/>
            <w:vAlign w:val="bottom"/>
          </w:tcPr>
          <w:p w14:paraId="65DF9111" w14:textId="77777777" w:rsidR="000B56EA" w:rsidRPr="00307A57" w:rsidRDefault="000B56EA" w:rsidP="000B56EA">
            <w:pPr>
              <w:spacing w:after="0" w:line="240" w:lineRule="auto"/>
              <w:rPr>
                <w:rFonts w:ascii="Calibri" w:eastAsia="Times New Roman" w:hAnsi="Calibri" w:cs="Calibri"/>
                <w:b/>
                <w:bCs/>
                <w:color w:val="000000"/>
                <w:lang w:eastAsia="en-GB"/>
              </w:rPr>
            </w:pPr>
          </w:p>
        </w:tc>
        <w:tc>
          <w:tcPr>
            <w:tcW w:w="0" w:type="auto"/>
            <w:tcBorders>
              <w:top w:val="single" w:sz="4" w:space="0" w:color="000000"/>
              <w:left w:val="nil"/>
              <w:bottom w:val="single" w:sz="4" w:space="0" w:color="000000"/>
              <w:right w:val="nil"/>
            </w:tcBorders>
            <w:shd w:val="clear" w:color="auto" w:fill="auto"/>
            <w:noWrap/>
            <w:vAlign w:val="bottom"/>
          </w:tcPr>
          <w:p w14:paraId="4CCD1E07" w14:textId="77777777" w:rsidR="000B56EA" w:rsidRPr="00307A57" w:rsidRDefault="000B56EA" w:rsidP="000B56EA">
            <w:pPr>
              <w:spacing w:after="0" w:line="240" w:lineRule="auto"/>
              <w:rPr>
                <w:rFonts w:ascii="Calibri" w:eastAsia="Times New Roman" w:hAnsi="Calibri" w:cs="Calibri"/>
                <w:b/>
                <w:bCs/>
                <w:color w:val="000000"/>
                <w:lang w:eastAsia="en-GB"/>
              </w:rPr>
            </w:pPr>
          </w:p>
        </w:tc>
        <w:tc>
          <w:tcPr>
            <w:tcW w:w="0" w:type="auto"/>
            <w:tcBorders>
              <w:top w:val="single" w:sz="4" w:space="0" w:color="000000"/>
              <w:left w:val="nil"/>
              <w:bottom w:val="single" w:sz="4" w:space="0" w:color="000000"/>
              <w:right w:val="nil"/>
            </w:tcBorders>
            <w:shd w:val="clear" w:color="auto" w:fill="auto"/>
            <w:noWrap/>
            <w:vAlign w:val="bottom"/>
          </w:tcPr>
          <w:p w14:paraId="7405DF1C" w14:textId="77777777" w:rsidR="000B56EA" w:rsidRPr="00307A57" w:rsidRDefault="000B56EA" w:rsidP="000B56EA">
            <w:pPr>
              <w:spacing w:after="0" w:line="240" w:lineRule="auto"/>
              <w:rPr>
                <w:rFonts w:ascii="Calibri" w:eastAsia="Times New Roman" w:hAnsi="Calibri" w:cs="Calibri"/>
                <w:b/>
                <w:bCs/>
                <w:color w:val="000000"/>
                <w:lang w:eastAsia="en-GB"/>
              </w:rPr>
            </w:pPr>
          </w:p>
        </w:tc>
        <w:tc>
          <w:tcPr>
            <w:tcW w:w="0" w:type="auto"/>
            <w:tcBorders>
              <w:top w:val="single" w:sz="4" w:space="0" w:color="000000"/>
              <w:left w:val="nil"/>
              <w:bottom w:val="single" w:sz="4" w:space="0" w:color="000000"/>
              <w:right w:val="nil"/>
            </w:tcBorders>
            <w:shd w:val="clear" w:color="auto" w:fill="auto"/>
            <w:noWrap/>
            <w:vAlign w:val="bottom"/>
          </w:tcPr>
          <w:p w14:paraId="204D3CF2" w14:textId="77777777" w:rsidR="000B56EA" w:rsidRPr="00307A57" w:rsidRDefault="000B56EA" w:rsidP="000B56EA">
            <w:pPr>
              <w:spacing w:after="0" w:line="240" w:lineRule="auto"/>
              <w:rPr>
                <w:rFonts w:ascii="Calibri" w:eastAsia="Times New Roman" w:hAnsi="Calibri" w:cs="Calibri"/>
                <w:b/>
                <w:bCs/>
                <w:color w:val="000000"/>
                <w:lang w:eastAsia="en-GB"/>
              </w:rPr>
            </w:pPr>
          </w:p>
        </w:tc>
      </w:tr>
      <w:tr w:rsidR="000B56EA" w:rsidRPr="00307A57" w14:paraId="401F5498" w14:textId="77777777" w:rsidTr="000B56EA">
        <w:trPr>
          <w:trHeight w:val="290"/>
        </w:trPr>
        <w:tc>
          <w:tcPr>
            <w:tcW w:w="0" w:type="auto"/>
            <w:tcBorders>
              <w:top w:val="nil"/>
              <w:left w:val="nil"/>
              <w:bottom w:val="nil"/>
              <w:right w:val="nil"/>
            </w:tcBorders>
            <w:shd w:val="clear" w:color="D9D9D9" w:fill="D9D9D9"/>
            <w:noWrap/>
            <w:vAlign w:val="bottom"/>
            <w:hideMark/>
          </w:tcPr>
          <w:p w14:paraId="67431C34" w14:textId="77777777" w:rsidR="000B56EA" w:rsidRPr="00912477" w:rsidRDefault="000B56EA" w:rsidP="000B56EA">
            <w:pPr>
              <w:spacing w:after="0" w:line="240" w:lineRule="auto"/>
              <w:rPr>
                <w:rFonts w:ascii="Calibri" w:eastAsia="Times New Roman" w:hAnsi="Calibri" w:cs="Calibri"/>
                <w:bCs/>
                <w:color w:val="000000"/>
                <w:lang w:eastAsia="en-GB"/>
              </w:rPr>
            </w:pPr>
            <w:r w:rsidRPr="00912477">
              <w:rPr>
                <w:rFonts w:ascii="Calibri" w:eastAsia="Times New Roman" w:hAnsi="Calibri" w:cs="Calibri"/>
                <w:bCs/>
                <w:color w:val="000000"/>
                <w:lang w:eastAsia="en-GB"/>
              </w:rPr>
              <w:t>Modified AXIS Questions</w:t>
            </w:r>
          </w:p>
        </w:tc>
        <w:tc>
          <w:tcPr>
            <w:tcW w:w="0" w:type="auto"/>
            <w:tcBorders>
              <w:top w:val="nil"/>
              <w:left w:val="nil"/>
              <w:bottom w:val="nil"/>
              <w:right w:val="nil"/>
            </w:tcBorders>
            <w:shd w:val="clear" w:color="D9D9D9" w:fill="D9D9D9"/>
            <w:noWrap/>
            <w:vAlign w:val="bottom"/>
            <w:hideMark/>
          </w:tcPr>
          <w:p w14:paraId="149DEAF5"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D9D9D9" w:fill="D9D9D9"/>
            <w:noWrap/>
            <w:vAlign w:val="bottom"/>
            <w:hideMark/>
          </w:tcPr>
          <w:p w14:paraId="094B7A58" w14:textId="77777777" w:rsidR="000B56EA" w:rsidRPr="00307A57" w:rsidRDefault="000B56EA" w:rsidP="000B56EA">
            <w:pPr>
              <w:spacing w:after="0" w:line="240" w:lineRule="auto"/>
              <w:rPr>
                <w:rFonts w:ascii="Calibri" w:eastAsia="Times New Roman" w:hAnsi="Calibri" w:cs="Calibri"/>
                <w:color w:val="000000"/>
                <w:lang w:eastAsia="en-GB"/>
              </w:rPr>
            </w:pPr>
            <w:r w:rsidRPr="00307A57">
              <w:rPr>
                <w:rFonts w:ascii="Calibri" w:eastAsia="Times New Roman" w:hAnsi="Calibri" w:cs="Calibri"/>
                <w:color w:val="000000"/>
                <w:lang w:eastAsia="en-GB"/>
              </w:rPr>
              <w:t>Arbona et al., 2021</w:t>
            </w:r>
          </w:p>
        </w:tc>
        <w:tc>
          <w:tcPr>
            <w:tcW w:w="0" w:type="auto"/>
            <w:tcBorders>
              <w:top w:val="nil"/>
              <w:left w:val="nil"/>
              <w:bottom w:val="nil"/>
              <w:right w:val="nil"/>
            </w:tcBorders>
            <w:shd w:val="clear" w:color="D9D9D9" w:fill="D9D9D9"/>
            <w:noWrap/>
            <w:vAlign w:val="bottom"/>
            <w:hideMark/>
          </w:tcPr>
          <w:p w14:paraId="2FA1446E" w14:textId="77777777" w:rsidR="000B56EA" w:rsidRPr="00307A57" w:rsidRDefault="000B56EA" w:rsidP="000B56EA">
            <w:pPr>
              <w:spacing w:after="0" w:line="240" w:lineRule="auto"/>
              <w:rPr>
                <w:rFonts w:ascii="Calibri" w:eastAsia="Times New Roman" w:hAnsi="Calibri" w:cs="Calibri"/>
                <w:color w:val="000000"/>
                <w:lang w:eastAsia="en-GB"/>
              </w:rPr>
            </w:pPr>
            <w:r w:rsidRPr="00307A57">
              <w:rPr>
                <w:rFonts w:ascii="Calibri" w:eastAsia="Times New Roman" w:hAnsi="Calibri" w:cs="Calibri"/>
                <w:color w:val="000000"/>
                <w:lang w:eastAsia="en-GB"/>
              </w:rPr>
              <w:t>Bardeen et al., 2012</w:t>
            </w:r>
          </w:p>
        </w:tc>
        <w:tc>
          <w:tcPr>
            <w:tcW w:w="0" w:type="auto"/>
            <w:tcBorders>
              <w:top w:val="nil"/>
              <w:left w:val="nil"/>
              <w:bottom w:val="nil"/>
              <w:right w:val="nil"/>
            </w:tcBorders>
            <w:shd w:val="clear" w:color="D9D9D9" w:fill="D9D9D9"/>
            <w:noWrap/>
            <w:vAlign w:val="bottom"/>
            <w:hideMark/>
          </w:tcPr>
          <w:p w14:paraId="58CB0E38" w14:textId="77777777" w:rsidR="000B56EA" w:rsidRPr="00307A57" w:rsidRDefault="000B56EA" w:rsidP="000B56EA">
            <w:pPr>
              <w:spacing w:after="0" w:line="240" w:lineRule="auto"/>
              <w:rPr>
                <w:rFonts w:ascii="Calibri" w:eastAsia="Times New Roman" w:hAnsi="Calibri" w:cs="Calibri"/>
                <w:color w:val="000000"/>
                <w:lang w:eastAsia="en-GB"/>
              </w:rPr>
            </w:pPr>
            <w:r w:rsidRPr="00307A57">
              <w:rPr>
                <w:rFonts w:ascii="Calibri" w:eastAsia="Times New Roman" w:hAnsi="Calibri" w:cs="Calibri"/>
                <w:color w:val="000000"/>
                <w:lang w:eastAsia="en-GB"/>
              </w:rPr>
              <w:t>Boelen, 2010</w:t>
            </w:r>
          </w:p>
        </w:tc>
        <w:tc>
          <w:tcPr>
            <w:tcW w:w="0" w:type="auto"/>
            <w:tcBorders>
              <w:top w:val="nil"/>
              <w:left w:val="nil"/>
              <w:bottom w:val="nil"/>
              <w:right w:val="nil"/>
            </w:tcBorders>
            <w:shd w:val="clear" w:color="D9D9D9" w:fill="D9D9D9"/>
            <w:noWrap/>
            <w:vAlign w:val="bottom"/>
            <w:hideMark/>
          </w:tcPr>
          <w:p w14:paraId="00ED6785" w14:textId="77777777" w:rsidR="000B56EA" w:rsidRPr="00307A57" w:rsidRDefault="000B56EA" w:rsidP="000B56EA">
            <w:pPr>
              <w:spacing w:after="0" w:line="240" w:lineRule="auto"/>
              <w:rPr>
                <w:rFonts w:ascii="Calibri" w:eastAsia="Times New Roman" w:hAnsi="Calibri" w:cs="Calibri"/>
                <w:color w:val="000000"/>
                <w:lang w:eastAsia="en-GB"/>
              </w:rPr>
            </w:pPr>
            <w:r w:rsidRPr="00307A57">
              <w:rPr>
                <w:rFonts w:ascii="Calibri" w:eastAsia="Times New Roman" w:hAnsi="Calibri" w:cs="Calibri"/>
                <w:color w:val="000000"/>
                <w:lang w:eastAsia="en-GB"/>
              </w:rPr>
              <w:t>Boelen, 2019</w:t>
            </w:r>
          </w:p>
        </w:tc>
        <w:tc>
          <w:tcPr>
            <w:tcW w:w="0" w:type="auto"/>
            <w:tcBorders>
              <w:top w:val="nil"/>
              <w:left w:val="nil"/>
              <w:bottom w:val="nil"/>
              <w:right w:val="nil"/>
            </w:tcBorders>
            <w:shd w:val="clear" w:color="D9D9D9" w:fill="D9D9D9"/>
            <w:noWrap/>
            <w:vAlign w:val="bottom"/>
            <w:hideMark/>
          </w:tcPr>
          <w:p w14:paraId="2EA8FF62" w14:textId="77777777" w:rsidR="000B56EA" w:rsidRPr="00307A57" w:rsidRDefault="000B56EA" w:rsidP="000B56EA">
            <w:pPr>
              <w:spacing w:after="0" w:line="240" w:lineRule="auto"/>
              <w:rPr>
                <w:rFonts w:ascii="Calibri" w:eastAsia="Times New Roman" w:hAnsi="Calibri" w:cs="Calibri"/>
                <w:color w:val="000000"/>
                <w:lang w:eastAsia="en-GB"/>
              </w:rPr>
            </w:pPr>
            <w:r w:rsidRPr="00307A57">
              <w:rPr>
                <w:rFonts w:ascii="Calibri" w:eastAsia="Times New Roman" w:hAnsi="Calibri" w:cs="Calibri"/>
                <w:color w:val="000000"/>
                <w:lang w:eastAsia="en-GB"/>
              </w:rPr>
              <w:t>Boelen et al., 2016</w:t>
            </w:r>
          </w:p>
        </w:tc>
        <w:tc>
          <w:tcPr>
            <w:tcW w:w="0" w:type="auto"/>
            <w:tcBorders>
              <w:top w:val="nil"/>
              <w:left w:val="nil"/>
              <w:bottom w:val="nil"/>
              <w:right w:val="nil"/>
            </w:tcBorders>
            <w:shd w:val="clear" w:color="D9D9D9" w:fill="D9D9D9"/>
            <w:noWrap/>
            <w:vAlign w:val="bottom"/>
            <w:hideMark/>
          </w:tcPr>
          <w:p w14:paraId="245A1092" w14:textId="77777777" w:rsidR="000B56EA" w:rsidRPr="00307A57" w:rsidRDefault="000B56EA" w:rsidP="000B56EA">
            <w:pPr>
              <w:spacing w:after="0" w:line="240" w:lineRule="auto"/>
              <w:rPr>
                <w:rFonts w:ascii="Calibri" w:eastAsia="Times New Roman" w:hAnsi="Calibri" w:cs="Calibri"/>
                <w:color w:val="000000"/>
                <w:lang w:eastAsia="en-GB"/>
              </w:rPr>
            </w:pPr>
            <w:r w:rsidRPr="00307A57">
              <w:rPr>
                <w:rFonts w:ascii="Calibri" w:eastAsia="Times New Roman" w:hAnsi="Calibri" w:cs="Calibri"/>
                <w:color w:val="000000"/>
                <w:lang w:eastAsia="en-GB"/>
              </w:rPr>
              <w:t>Clarke et al., 2021</w:t>
            </w:r>
          </w:p>
        </w:tc>
        <w:tc>
          <w:tcPr>
            <w:tcW w:w="0" w:type="auto"/>
            <w:tcBorders>
              <w:top w:val="nil"/>
              <w:left w:val="nil"/>
              <w:bottom w:val="nil"/>
              <w:right w:val="nil"/>
            </w:tcBorders>
            <w:shd w:val="clear" w:color="D9D9D9" w:fill="D9D9D9"/>
            <w:noWrap/>
            <w:vAlign w:val="bottom"/>
            <w:hideMark/>
          </w:tcPr>
          <w:p w14:paraId="2E3A7856" w14:textId="77777777" w:rsidR="000B56EA" w:rsidRPr="00307A57" w:rsidRDefault="000B56EA" w:rsidP="000B56EA">
            <w:pPr>
              <w:spacing w:after="0" w:line="240" w:lineRule="auto"/>
              <w:rPr>
                <w:rFonts w:ascii="Calibri" w:eastAsia="Times New Roman" w:hAnsi="Calibri" w:cs="Calibri"/>
                <w:color w:val="000000"/>
                <w:lang w:eastAsia="en-GB"/>
              </w:rPr>
            </w:pPr>
            <w:r w:rsidRPr="00307A57">
              <w:rPr>
                <w:rFonts w:ascii="Calibri" w:eastAsia="Times New Roman" w:hAnsi="Calibri" w:cs="Calibri"/>
                <w:color w:val="000000"/>
                <w:lang w:eastAsia="en-GB"/>
              </w:rPr>
              <w:t>Fetzner et al., 2013</w:t>
            </w:r>
          </w:p>
        </w:tc>
        <w:tc>
          <w:tcPr>
            <w:tcW w:w="0" w:type="auto"/>
            <w:tcBorders>
              <w:top w:val="nil"/>
              <w:left w:val="nil"/>
              <w:bottom w:val="nil"/>
              <w:right w:val="nil"/>
            </w:tcBorders>
            <w:shd w:val="clear" w:color="D9D9D9" w:fill="D9D9D9"/>
            <w:noWrap/>
            <w:vAlign w:val="bottom"/>
            <w:hideMark/>
          </w:tcPr>
          <w:p w14:paraId="14273B6C" w14:textId="77777777" w:rsidR="000B56EA" w:rsidRPr="00307A57" w:rsidRDefault="000B56EA" w:rsidP="000B56EA">
            <w:pPr>
              <w:spacing w:after="0" w:line="240" w:lineRule="auto"/>
              <w:rPr>
                <w:rFonts w:ascii="Calibri" w:eastAsia="Times New Roman" w:hAnsi="Calibri" w:cs="Calibri"/>
                <w:color w:val="000000"/>
                <w:lang w:eastAsia="en-GB"/>
              </w:rPr>
            </w:pPr>
            <w:r w:rsidRPr="00307A57">
              <w:rPr>
                <w:rFonts w:ascii="Calibri" w:eastAsia="Times New Roman" w:hAnsi="Calibri" w:cs="Calibri"/>
                <w:color w:val="000000"/>
                <w:lang w:eastAsia="en-GB"/>
              </w:rPr>
              <w:t>Kreminski et al., 2021</w:t>
            </w:r>
          </w:p>
        </w:tc>
      </w:tr>
      <w:tr w:rsidR="000B56EA" w:rsidRPr="00307A57" w14:paraId="7A269D6F" w14:textId="77777777" w:rsidTr="000B56EA">
        <w:trPr>
          <w:trHeight w:val="290"/>
        </w:trPr>
        <w:tc>
          <w:tcPr>
            <w:tcW w:w="0" w:type="auto"/>
            <w:gridSpan w:val="2"/>
            <w:tcBorders>
              <w:top w:val="nil"/>
              <w:left w:val="nil"/>
              <w:bottom w:val="nil"/>
              <w:right w:val="nil"/>
            </w:tcBorders>
            <w:shd w:val="clear" w:color="auto" w:fill="auto"/>
            <w:noWrap/>
            <w:vAlign w:val="center"/>
            <w:hideMark/>
          </w:tcPr>
          <w:p w14:paraId="0CFD2FD0" w14:textId="77777777" w:rsidR="000B56EA" w:rsidRPr="00307A57" w:rsidRDefault="000B56EA" w:rsidP="000B56EA">
            <w:pPr>
              <w:spacing w:after="0" w:line="240" w:lineRule="auto"/>
              <w:rPr>
                <w:rFonts w:ascii="Calibri" w:eastAsia="Times New Roman" w:hAnsi="Calibri" w:cs="Calibri"/>
                <w:i/>
                <w:iCs/>
                <w:color w:val="000000"/>
                <w:lang w:eastAsia="en-GB"/>
              </w:rPr>
            </w:pPr>
            <w:r w:rsidRPr="00307A57">
              <w:rPr>
                <w:rFonts w:ascii="Calibri" w:eastAsia="Times New Roman" w:hAnsi="Calibri" w:cs="Calibri"/>
                <w:i/>
                <w:iCs/>
                <w:color w:val="000000"/>
                <w:lang w:eastAsia="en-GB"/>
              </w:rPr>
              <w:t>Introduction</w:t>
            </w:r>
          </w:p>
        </w:tc>
        <w:tc>
          <w:tcPr>
            <w:tcW w:w="0" w:type="auto"/>
            <w:tcBorders>
              <w:top w:val="nil"/>
              <w:left w:val="nil"/>
              <w:bottom w:val="nil"/>
              <w:right w:val="nil"/>
            </w:tcBorders>
            <w:shd w:val="clear" w:color="auto" w:fill="auto"/>
            <w:noWrap/>
            <w:vAlign w:val="bottom"/>
            <w:hideMark/>
          </w:tcPr>
          <w:p w14:paraId="681FFF99" w14:textId="77777777" w:rsidR="000B56EA" w:rsidRPr="00307A57" w:rsidRDefault="000B56EA" w:rsidP="000B56EA">
            <w:pPr>
              <w:spacing w:after="0" w:line="240" w:lineRule="auto"/>
              <w:rPr>
                <w:rFonts w:ascii="Calibri" w:eastAsia="Times New Roman" w:hAnsi="Calibri" w:cs="Calibri"/>
                <w:i/>
                <w:iCs/>
                <w:color w:val="000000"/>
                <w:lang w:eastAsia="en-GB"/>
              </w:rPr>
            </w:pPr>
          </w:p>
        </w:tc>
        <w:tc>
          <w:tcPr>
            <w:tcW w:w="0" w:type="auto"/>
            <w:tcBorders>
              <w:top w:val="nil"/>
              <w:left w:val="nil"/>
              <w:bottom w:val="nil"/>
              <w:right w:val="nil"/>
            </w:tcBorders>
            <w:shd w:val="clear" w:color="auto" w:fill="auto"/>
            <w:noWrap/>
            <w:vAlign w:val="bottom"/>
            <w:hideMark/>
          </w:tcPr>
          <w:p w14:paraId="2E9D83E6"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6BD9D6EF"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1F177A80"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62C334B9"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5CA8E32"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6BE1111"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4A1B195"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r>
      <w:tr w:rsidR="000B56EA" w:rsidRPr="00307A57" w14:paraId="74E1C3A7" w14:textId="77777777" w:rsidTr="000B56EA">
        <w:trPr>
          <w:trHeight w:val="290"/>
        </w:trPr>
        <w:tc>
          <w:tcPr>
            <w:tcW w:w="0" w:type="auto"/>
            <w:gridSpan w:val="2"/>
            <w:tcBorders>
              <w:top w:val="nil"/>
              <w:left w:val="nil"/>
              <w:bottom w:val="nil"/>
              <w:right w:val="nil"/>
            </w:tcBorders>
            <w:shd w:val="clear" w:color="D9D9D9" w:fill="D9D9D9"/>
            <w:noWrap/>
            <w:vAlign w:val="center"/>
            <w:hideMark/>
          </w:tcPr>
          <w:p w14:paraId="3672925A" w14:textId="77777777" w:rsidR="000B56EA" w:rsidRPr="00307A57" w:rsidRDefault="000B56EA" w:rsidP="000B56EA">
            <w:pPr>
              <w:spacing w:after="0" w:line="240" w:lineRule="auto"/>
              <w:ind w:firstLineChars="400" w:firstLine="880"/>
              <w:rPr>
                <w:rFonts w:ascii="Calibri" w:eastAsia="Times New Roman" w:hAnsi="Calibri" w:cs="Calibri"/>
                <w:color w:val="000000"/>
                <w:lang w:eastAsia="en-GB"/>
              </w:rPr>
            </w:pPr>
            <w:r w:rsidRPr="00307A57">
              <w:rPr>
                <w:rFonts w:ascii="Calibri" w:eastAsia="Times New Roman" w:hAnsi="Calibri" w:cs="Calibri"/>
                <w:color w:val="000000"/>
                <w:lang w:eastAsia="en-GB"/>
              </w:rPr>
              <w:t>1.</w:t>
            </w:r>
            <w:r w:rsidRPr="00307A57">
              <w:rPr>
                <w:rFonts w:ascii="Times New Roman" w:eastAsia="Times New Roman" w:hAnsi="Times New Roman" w:cs="Times New Roman"/>
                <w:color w:val="000000"/>
                <w:sz w:val="14"/>
                <w:szCs w:val="14"/>
                <w:lang w:eastAsia="en-GB"/>
              </w:rPr>
              <w:t xml:space="preserve">       </w:t>
            </w:r>
            <w:r w:rsidRPr="00307A57">
              <w:rPr>
                <w:rFonts w:ascii="Calibri" w:eastAsia="Times New Roman" w:hAnsi="Calibri" w:cs="Calibri"/>
                <w:color w:val="000000"/>
                <w:lang w:eastAsia="en-GB"/>
              </w:rPr>
              <w:t>Were the aims/objectives of the study clear</w:t>
            </w:r>
          </w:p>
        </w:tc>
        <w:tc>
          <w:tcPr>
            <w:tcW w:w="0" w:type="auto"/>
            <w:tcBorders>
              <w:top w:val="nil"/>
              <w:left w:val="nil"/>
              <w:bottom w:val="nil"/>
              <w:right w:val="nil"/>
            </w:tcBorders>
            <w:shd w:val="clear" w:color="D9D9D9" w:fill="D9D9D9"/>
            <w:noWrap/>
            <w:vAlign w:val="bottom"/>
            <w:hideMark/>
          </w:tcPr>
          <w:p w14:paraId="6465573E"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1ED0C97B"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4ACE32FF"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63874D22"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58A6EBCA"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16B08771"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0D48B27A"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38F39D2E"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r>
      <w:tr w:rsidR="000B56EA" w:rsidRPr="00307A57" w14:paraId="5D482656" w14:textId="77777777" w:rsidTr="000B56EA">
        <w:trPr>
          <w:trHeight w:val="290"/>
        </w:trPr>
        <w:tc>
          <w:tcPr>
            <w:tcW w:w="0" w:type="auto"/>
            <w:tcBorders>
              <w:top w:val="nil"/>
              <w:left w:val="nil"/>
              <w:bottom w:val="nil"/>
              <w:right w:val="nil"/>
            </w:tcBorders>
            <w:shd w:val="clear" w:color="auto" w:fill="auto"/>
            <w:noWrap/>
            <w:vAlign w:val="center"/>
            <w:hideMark/>
          </w:tcPr>
          <w:p w14:paraId="141BC49F" w14:textId="77777777" w:rsidR="000B56EA" w:rsidRPr="00307A57" w:rsidRDefault="000B56EA" w:rsidP="000B56EA">
            <w:pPr>
              <w:spacing w:after="0" w:line="240" w:lineRule="auto"/>
              <w:rPr>
                <w:rFonts w:ascii="Calibri" w:eastAsia="Times New Roman" w:hAnsi="Calibri" w:cs="Calibri"/>
                <w:i/>
                <w:iCs/>
                <w:color w:val="000000"/>
                <w:lang w:eastAsia="en-GB"/>
              </w:rPr>
            </w:pPr>
            <w:r w:rsidRPr="00307A57">
              <w:rPr>
                <w:rFonts w:ascii="Calibri" w:eastAsia="Times New Roman" w:hAnsi="Calibri" w:cs="Calibri"/>
                <w:i/>
                <w:iCs/>
                <w:color w:val="000000"/>
                <w:lang w:eastAsia="en-GB"/>
              </w:rPr>
              <w:t>Method</w:t>
            </w:r>
          </w:p>
        </w:tc>
        <w:tc>
          <w:tcPr>
            <w:tcW w:w="0" w:type="auto"/>
            <w:tcBorders>
              <w:top w:val="nil"/>
              <w:left w:val="nil"/>
              <w:bottom w:val="nil"/>
              <w:right w:val="nil"/>
            </w:tcBorders>
            <w:shd w:val="clear" w:color="auto" w:fill="auto"/>
            <w:noWrap/>
            <w:vAlign w:val="bottom"/>
            <w:hideMark/>
          </w:tcPr>
          <w:p w14:paraId="0852D16C" w14:textId="77777777" w:rsidR="000B56EA" w:rsidRPr="00307A57" w:rsidRDefault="000B56EA" w:rsidP="000B56EA">
            <w:pPr>
              <w:spacing w:after="0" w:line="240" w:lineRule="auto"/>
              <w:rPr>
                <w:rFonts w:ascii="Calibri" w:eastAsia="Times New Roman" w:hAnsi="Calibri" w:cs="Calibri"/>
                <w:i/>
                <w:iCs/>
                <w:color w:val="000000"/>
                <w:lang w:eastAsia="en-GB"/>
              </w:rPr>
            </w:pPr>
          </w:p>
        </w:tc>
        <w:tc>
          <w:tcPr>
            <w:tcW w:w="0" w:type="auto"/>
            <w:tcBorders>
              <w:top w:val="nil"/>
              <w:left w:val="nil"/>
              <w:bottom w:val="nil"/>
              <w:right w:val="nil"/>
            </w:tcBorders>
            <w:shd w:val="clear" w:color="auto" w:fill="auto"/>
            <w:noWrap/>
            <w:vAlign w:val="bottom"/>
            <w:hideMark/>
          </w:tcPr>
          <w:p w14:paraId="6C38BE8D"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57F30867"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19647E3"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1D509B98"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386DDEAD"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6A045F1F"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44C22504"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6712F4D9"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r>
      <w:tr w:rsidR="000B56EA" w:rsidRPr="00307A57" w14:paraId="674F264E" w14:textId="77777777" w:rsidTr="000B56EA">
        <w:trPr>
          <w:trHeight w:val="290"/>
        </w:trPr>
        <w:tc>
          <w:tcPr>
            <w:tcW w:w="0" w:type="auto"/>
            <w:gridSpan w:val="2"/>
            <w:tcBorders>
              <w:top w:val="nil"/>
              <w:left w:val="nil"/>
              <w:bottom w:val="nil"/>
              <w:right w:val="nil"/>
            </w:tcBorders>
            <w:shd w:val="clear" w:color="D9D9D9" w:fill="D9D9D9"/>
            <w:noWrap/>
            <w:vAlign w:val="center"/>
            <w:hideMark/>
          </w:tcPr>
          <w:p w14:paraId="33F39499" w14:textId="77777777" w:rsidR="000B56EA" w:rsidRPr="00307A57" w:rsidRDefault="000B56EA" w:rsidP="000B56EA">
            <w:pPr>
              <w:spacing w:after="0" w:line="240" w:lineRule="auto"/>
              <w:ind w:firstLineChars="400" w:firstLine="880"/>
              <w:rPr>
                <w:rFonts w:ascii="Calibri" w:eastAsia="Times New Roman" w:hAnsi="Calibri" w:cs="Calibri"/>
                <w:color w:val="000000"/>
                <w:lang w:eastAsia="en-GB"/>
              </w:rPr>
            </w:pPr>
            <w:r w:rsidRPr="00307A57">
              <w:rPr>
                <w:rFonts w:ascii="Calibri" w:eastAsia="Times New Roman" w:hAnsi="Calibri" w:cs="Calibri"/>
                <w:color w:val="000000"/>
                <w:lang w:eastAsia="en-GB"/>
              </w:rPr>
              <w:t>2.</w:t>
            </w:r>
            <w:r w:rsidRPr="00307A57">
              <w:rPr>
                <w:rFonts w:ascii="Times New Roman" w:eastAsia="Times New Roman" w:hAnsi="Times New Roman" w:cs="Times New Roman"/>
                <w:color w:val="000000"/>
                <w:sz w:val="14"/>
                <w:szCs w:val="14"/>
                <w:lang w:eastAsia="en-GB"/>
              </w:rPr>
              <w:t xml:space="preserve">       </w:t>
            </w:r>
            <w:r w:rsidRPr="00307A57">
              <w:rPr>
                <w:rFonts w:ascii="Calibri" w:eastAsia="Times New Roman" w:hAnsi="Calibri" w:cs="Calibri"/>
                <w:color w:val="000000"/>
                <w:lang w:eastAsia="en-GB"/>
              </w:rPr>
              <w:t>Was the study design appropriate for the stated aims?</w:t>
            </w:r>
          </w:p>
        </w:tc>
        <w:tc>
          <w:tcPr>
            <w:tcW w:w="0" w:type="auto"/>
            <w:tcBorders>
              <w:top w:val="nil"/>
              <w:left w:val="nil"/>
              <w:bottom w:val="nil"/>
              <w:right w:val="nil"/>
            </w:tcBorders>
            <w:shd w:val="clear" w:color="D9D9D9" w:fill="D9D9D9"/>
            <w:noWrap/>
            <w:vAlign w:val="bottom"/>
            <w:hideMark/>
          </w:tcPr>
          <w:p w14:paraId="229885E1"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5054C97A"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5FC224C3"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360925B5"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17F85491"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2CD100EA"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691CDA5C"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12F1F4F5"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r>
      <w:tr w:rsidR="000B56EA" w:rsidRPr="00307A57" w14:paraId="3203F2D1" w14:textId="77777777" w:rsidTr="000B56EA">
        <w:trPr>
          <w:trHeight w:val="290"/>
        </w:trPr>
        <w:tc>
          <w:tcPr>
            <w:tcW w:w="0" w:type="auto"/>
            <w:gridSpan w:val="2"/>
            <w:tcBorders>
              <w:top w:val="nil"/>
              <w:left w:val="nil"/>
              <w:bottom w:val="nil"/>
              <w:right w:val="nil"/>
            </w:tcBorders>
            <w:shd w:val="clear" w:color="auto" w:fill="auto"/>
            <w:noWrap/>
            <w:vAlign w:val="center"/>
            <w:hideMark/>
          </w:tcPr>
          <w:p w14:paraId="627D6D3A" w14:textId="77777777" w:rsidR="000B56EA" w:rsidRPr="00307A57" w:rsidRDefault="000B56EA" w:rsidP="000B56EA">
            <w:pPr>
              <w:spacing w:after="0" w:line="240" w:lineRule="auto"/>
              <w:ind w:firstLineChars="400" w:firstLine="880"/>
              <w:rPr>
                <w:rFonts w:ascii="Calibri" w:eastAsia="Times New Roman" w:hAnsi="Calibri" w:cs="Calibri"/>
                <w:color w:val="000000"/>
                <w:lang w:eastAsia="en-GB"/>
              </w:rPr>
            </w:pPr>
            <w:r w:rsidRPr="00307A57">
              <w:rPr>
                <w:rFonts w:ascii="Calibri" w:eastAsia="Times New Roman" w:hAnsi="Calibri" w:cs="Calibri"/>
                <w:color w:val="000000"/>
                <w:lang w:eastAsia="en-GB"/>
              </w:rPr>
              <w:t>3.</w:t>
            </w:r>
            <w:r w:rsidRPr="00307A57">
              <w:rPr>
                <w:rFonts w:ascii="Times New Roman" w:eastAsia="Times New Roman" w:hAnsi="Times New Roman" w:cs="Times New Roman"/>
                <w:color w:val="000000"/>
                <w:sz w:val="14"/>
                <w:szCs w:val="14"/>
                <w:lang w:eastAsia="en-GB"/>
              </w:rPr>
              <w:t xml:space="preserve">       </w:t>
            </w:r>
            <w:r w:rsidRPr="00307A57">
              <w:rPr>
                <w:rFonts w:ascii="Calibri" w:eastAsia="Times New Roman" w:hAnsi="Calibri" w:cs="Calibri"/>
                <w:color w:val="000000"/>
                <w:lang w:eastAsia="en-GB"/>
              </w:rPr>
              <w:t>Was the sample size justified?</w:t>
            </w:r>
          </w:p>
        </w:tc>
        <w:tc>
          <w:tcPr>
            <w:tcW w:w="0" w:type="auto"/>
            <w:tcBorders>
              <w:top w:val="nil"/>
              <w:left w:val="nil"/>
              <w:bottom w:val="nil"/>
              <w:right w:val="nil"/>
            </w:tcBorders>
            <w:shd w:val="clear" w:color="auto" w:fill="auto"/>
            <w:noWrap/>
            <w:vAlign w:val="bottom"/>
            <w:hideMark/>
          </w:tcPr>
          <w:p w14:paraId="00D443AF"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auto" w:fill="auto"/>
            <w:noWrap/>
            <w:vAlign w:val="bottom"/>
            <w:hideMark/>
          </w:tcPr>
          <w:p w14:paraId="6A353C7B"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auto" w:fill="auto"/>
            <w:noWrap/>
            <w:vAlign w:val="bottom"/>
            <w:hideMark/>
          </w:tcPr>
          <w:p w14:paraId="175E2576"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auto" w:fill="auto"/>
            <w:noWrap/>
            <w:vAlign w:val="bottom"/>
            <w:hideMark/>
          </w:tcPr>
          <w:p w14:paraId="11CFD897"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auto" w:fill="auto"/>
            <w:noWrap/>
            <w:vAlign w:val="bottom"/>
            <w:hideMark/>
          </w:tcPr>
          <w:p w14:paraId="6DB4DF96"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auto" w:fill="auto"/>
            <w:noWrap/>
            <w:vAlign w:val="bottom"/>
            <w:hideMark/>
          </w:tcPr>
          <w:p w14:paraId="4EF26950"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auto" w:fill="auto"/>
            <w:noWrap/>
            <w:vAlign w:val="bottom"/>
            <w:hideMark/>
          </w:tcPr>
          <w:p w14:paraId="44BF0A96"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auto" w:fill="auto"/>
            <w:noWrap/>
            <w:vAlign w:val="bottom"/>
            <w:hideMark/>
          </w:tcPr>
          <w:p w14:paraId="7006053D"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r>
      <w:tr w:rsidR="000B56EA" w:rsidRPr="00307A57" w14:paraId="4C38B50F" w14:textId="77777777" w:rsidTr="000B56EA">
        <w:trPr>
          <w:trHeight w:val="290"/>
        </w:trPr>
        <w:tc>
          <w:tcPr>
            <w:tcW w:w="0" w:type="auto"/>
            <w:gridSpan w:val="2"/>
            <w:tcBorders>
              <w:top w:val="nil"/>
              <w:left w:val="nil"/>
              <w:bottom w:val="nil"/>
              <w:right w:val="nil"/>
            </w:tcBorders>
            <w:shd w:val="clear" w:color="D9D9D9" w:fill="D9D9D9"/>
            <w:noWrap/>
            <w:vAlign w:val="center"/>
            <w:hideMark/>
          </w:tcPr>
          <w:p w14:paraId="5C8706ED" w14:textId="77777777" w:rsidR="000B56EA" w:rsidRPr="00307A57" w:rsidRDefault="000B56EA" w:rsidP="000B56EA">
            <w:pPr>
              <w:spacing w:after="0" w:line="240" w:lineRule="auto"/>
              <w:ind w:firstLineChars="400" w:firstLine="880"/>
              <w:rPr>
                <w:rFonts w:ascii="Calibri" w:eastAsia="Times New Roman" w:hAnsi="Calibri" w:cs="Calibri"/>
                <w:color w:val="000000"/>
                <w:lang w:eastAsia="en-GB"/>
              </w:rPr>
            </w:pPr>
            <w:r w:rsidRPr="00307A57">
              <w:rPr>
                <w:rFonts w:ascii="Calibri" w:eastAsia="Times New Roman" w:hAnsi="Calibri" w:cs="Calibri"/>
                <w:color w:val="000000"/>
                <w:lang w:eastAsia="en-GB"/>
              </w:rPr>
              <w:t>4.</w:t>
            </w:r>
            <w:r w:rsidRPr="00307A57">
              <w:rPr>
                <w:rFonts w:ascii="Times New Roman" w:eastAsia="Times New Roman" w:hAnsi="Times New Roman" w:cs="Times New Roman"/>
                <w:color w:val="000000"/>
                <w:sz w:val="14"/>
                <w:szCs w:val="14"/>
                <w:lang w:eastAsia="en-GB"/>
              </w:rPr>
              <w:t xml:space="preserve">       </w:t>
            </w:r>
            <w:r w:rsidRPr="00307A57">
              <w:rPr>
                <w:rFonts w:ascii="Calibri" w:eastAsia="Times New Roman" w:hAnsi="Calibri" w:cs="Calibri"/>
                <w:color w:val="000000"/>
                <w:lang w:eastAsia="en-GB"/>
              </w:rPr>
              <w:t>Was the target/reference population clearly defined (is it clear who the research was about)?</w:t>
            </w:r>
          </w:p>
        </w:tc>
        <w:tc>
          <w:tcPr>
            <w:tcW w:w="0" w:type="auto"/>
            <w:tcBorders>
              <w:top w:val="nil"/>
              <w:left w:val="nil"/>
              <w:bottom w:val="nil"/>
              <w:right w:val="nil"/>
            </w:tcBorders>
            <w:shd w:val="clear" w:color="D9D9D9" w:fill="D9D9D9"/>
            <w:noWrap/>
            <w:vAlign w:val="bottom"/>
            <w:hideMark/>
          </w:tcPr>
          <w:p w14:paraId="4321AB7B"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7DBC7169"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4157C048"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5E785CCD"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D9D9D9" w:fill="D9D9D9"/>
            <w:noWrap/>
            <w:vAlign w:val="bottom"/>
            <w:hideMark/>
          </w:tcPr>
          <w:p w14:paraId="4A8D0BB9"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20079D96"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D9D9D9" w:fill="D9D9D9"/>
            <w:noWrap/>
            <w:vAlign w:val="bottom"/>
            <w:hideMark/>
          </w:tcPr>
          <w:p w14:paraId="5F35541D"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1BE8C776"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r>
      <w:tr w:rsidR="000B56EA" w:rsidRPr="00307A57" w14:paraId="49D0CA3D" w14:textId="77777777" w:rsidTr="000B56EA">
        <w:trPr>
          <w:trHeight w:val="290"/>
        </w:trPr>
        <w:tc>
          <w:tcPr>
            <w:tcW w:w="0" w:type="auto"/>
            <w:gridSpan w:val="2"/>
            <w:tcBorders>
              <w:top w:val="nil"/>
              <w:left w:val="nil"/>
              <w:bottom w:val="nil"/>
              <w:right w:val="nil"/>
            </w:tcBorders>
            <w:shd w:val="clear" w:color="auto" w:fill="auto"/>
            <w:noWrap/>
            <w:vAlign w:val="center"/>
            <w:hideMark/>
          </w:tcPr>
          <w:p w14:paraId="3686ED52" w14:textId="77777777" w:rsidR="000B56EA" w:rsidRPr="00307A57" w:rsidRDefault="000B56EA" w:rsidP="000B56EA">
            <w:pPr>
              <w:spacing w:after="0" w:line="240" w:lineRule="auto"/>
              <w:ind w:firstLineChars="400" w:firstLine="880"/>
              <w:rPr>
                <w:rFonts w:ascii="Calibri" w:eastAsia="Times New Roman" w:hAnsi="Calibri" w:cs="Calibri"/>
                <w:color w:val="000000"/>
                <w:lang w:eastAsia="en-GB"/>
              </w:rPr>
            </w:pPr>
            <w:r w:rsidRPr="00307A57">
              <w:rPr>
                <w:rFonts w:ascii="Calibri" w:eastAsia="Times New Roman" w:hAnsi="Calibri" w:cs="Calibri"/>
                <w:color w:val="000000"/>
                <w:lang w:eastAsia="en-GB"/>
              </w:rPr>
              <w:t>5.</w:t>
            </w:r>
            <w:r w:rsidRPr="00307A57">
              <w:rPr>
                <w:rFonts w:ascii="Times New Roman" w:eastAsia="Times New Roman" w:hAnsi="Times New Roman" w:cs="Times New Roman"/>
                <w:color w:val="000000"/>
                <w:sz w:val="14"/>
                <w:szCs w:val="14"/>
                <w:lang w:eastAsia="en-GB"/>
              </w:rPr>
              <w:t xml:space="preserve">       </w:t>
            </w:r>
            <w:r w:rsidRPr="00307A57">
              <w:rPr>
                <w:rFonts w:ascii="Calibri" w:eastAsia="Times New Roman" w:hAnsi="Calibri" w:cs="Calibri"/>
                <w:color w:val="000000"/>
                <w:lang w:eastAsia="en-GB"/>
              </w:rPr>
              <w:t>Was the sample frame taken from an appropriate population base so that it closely represented the target/reference population under investigation?</w:t>
            </w:r>
          </w:p>
        </w:tc>
        <w:tc>
          <w:tcPr>
            <w:tcW w:w="0" w:type="auto"/>
            <w:tcBorders>
              <w:top w:val="nil"/>
              <w:left w:val="nil"/>
              <w:bottom w:val="nil"/>
              <w:right w:val="nil"/>
            </w:tcBorders>
            <w:shd w:val="clear" w:color="auto" w:fill="auto"/>
            <w:noWrap/>
            <w:vAlign w:val="bottom"/>
            <w:hideMark/>
          </w:tcPr>
          <w:p w14:paraId="714B39B4"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6DF1A334"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auto" w:fill="auto"/>
            <w:noWrap/>
            <w:vAlign w:val="bottom"/>
            <w:hideMark/>
          </w:tcPr>
          <w:p w14:paraId="6A0EE29F"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auto" w:fill="auto"/>
            <w:noWrap/>
            <w:vAlign w:val="bottom"/>
            <w:hideMark/>
          </w:tcPr>
          <w:p w14:paraId="5818DAC8"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auto" w:fill="auto"/>
            <w:noWrap/>
            <w:vAlign w:val="bottom"/>
            <w:hideMark/>
          </w:tcPr>
          <w:p w14:paraId="4C8E0F82"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auto" w:fill="auto"/>
            <w:noWrap/>
            <w:vAlign w:val="bottom"/>
            <w:hideMark/>
          </w:tcPr>
          <w:p w14:paraId="00F5DACD"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72D7A583"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auto" w:fill="auto"/>
            <w:noWrap/>
            <w:vAlign w:val="bottom"/>
            <w:hideMark/>
          </w:tcPr>
          <w:p w14:paraId="55F597E3"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r>
      <w:tr w:rsidR="000B56EA" w:rsidRPr="00307A57" w14:paraId="26C8E938" w14:textId="77777777" w:rsidTr="000B56EA">
        <w:trPr>
          <w:trHeight w:val="290"/>
        </w:trPr>
        <w:tc>
          <w:tcPr>
            <w:tcW w:w="0" w:type="auto"/>
            <w:gridSpan w:val="2"/>
            <w:tcBorders>
              <w:top w:val="nil"/>
              <w:left w:val="nil"/>
              <w:bottom w:val="nil"/>
              <w:right w:val="nil"/>
            </w:tcBorders>
            <w:shd w:val="clear" w:color="D9D9D9" w:fill="D9D9D9"/>
            <w:noWrap/>
            <w:vAlign w:val="center"/>
            <w:hideMark/>
          </w:tcPr>
          <w:p w14:paraId="69EB59C7" w14:textId="77777777" w:rsidR="000B56EA" w:rsidRPr="00307A57" w:rsidRDefault="000B56EA" w:rsidP="000B56EA">
            <w:pPr>
              <w:spacing w:after="0" w:line="240" w:lineRule="auto"/>
              <w:ind w:firstLineChars="400" w:firstLine="880"/>
              <w:rPr>
                <w:rFonts w:ascii="Calibri" w:eastAsia="Times New Roman" w:hAnsi="Calibri" w:cs="Calibri"/>
                <w:color w:val="000000"/>
                <w:lang w:eastAsia="en-GB"/>
              </w:rPr>
            </w:pPr>
            <w:r w:rsidRPr="00307A57">
              <w:rPr>
                <w:rFonts w:ascii="Calibri" w:eastAsia="Times New Roman" w:hAnsi="Calibri" w:cs="Calibri"/>
                <w:color w:val="000000"/>
                <w:lang w:eastAsia="en-GB"/>
              </w:rPr>
              <w:t>6.</w:t>
            </w:r>
            <w:r w:rsidRPr="00307A57">
              <w:rPr>
                <w:rFonts w:ascii="Times New Roman" w:eastAsia="Times New Roman" w:hAnsi="Times New Roman" w:cs="Times New Roman"/>
                <w:color w:val="000000"/>
                <w:sz w:val="14"/>
                <w:szCs w:val="14"/>
                <w:lang w:eastAsia="en-GB"/>
              </w:rPr>
              <w:t xml:space="preserve">       </w:t>
            </w:r>
            <w:r w:rsidRPr="00307A57">
              <w:rPr>
                <w:rFonts w:ascii="Calibri" w:eastAsia="Times New Roman" w:hAnsi="Calibri" w:cs="Calibri"/>
                <w:color w:val="000000"/>
                <w:lang w:eastAsia="en-GB"/>
              </w:rPr>
              <w:t>Was the selection process likely to select subject/participants that were representative of the target/reference population under investigation?</w:t>
            </w:r>
          </w:p>
        </w:tc>
        <w:tc>
          <w:tcPr>
            <w:tcW w:w="0" w:type="auto"/>
            <w:tcBorders>
              <w:top w:val="nil"/>
              <w:left w:val="nil"/>
              <w:bottom w:val="nil"/>
              <w:right w:val="nil"/>
            </w:tcBorders>
            <w:shd w:val="clear" w:color="D9D9D9" w:fill="D9D9D9"/>
            <w:noWrap/>
            <w:vAlign w:val="bottom"/>
            <w:hideMark/>
          </w:tcPr>
          <w:p w14:paraId="04E01C69"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24AE97F3"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59081AC5"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26F7DB13"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0D9C23C6"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3A151B6D"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56C9FCCA"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1DF3A335"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r>
      <w:tr w:rsidR="000B56EA" w:rsidRPr="00307A57" w14:paraId="602B7D26" w14:textId="77777777" w:rsidTr="000B56EA">
        <w:trPr>
          <w:trHeight w:val="290"/>
        </w:trPr>
        <w:tc>
          <w:tcPr>
            <w:tcW w:w="0" w:type="auto"/>
            <w:gridSpan w:val="2"/>
            <w:tcBorders>
              <w:top w:val="nil"/>
              <w:left w:val="nil"/>
              <w:bottom w:val="nil"/>
              <w:right w:val="nil"/>
            </w:tcBorders>
            <w:shd w:val="clear" w:color="auto" w:fill="auto"/>
            <w:noWrap/>
            <w:vAlign w:val="center"/>
            <w:hideMark/>
          </w:tcPr>
          <w:p w14:paraId="04A7CF55" w14:textId="77777777" w:rsidR="000B56EA" w:rsidRPr="00307A57" w:rsidRDefault="000B56EA" w:rsidP="000B56EA">
            <w:pPr>
              <w:spacing w:after="0" w:line="240" w:lineRule="auto"/>
              <w:ind w:firstLineChars="400" w:firstLine="880"/>
              <w:rPr>
                <w:rFonts w:ascii="Calibri" w:eastAsia="Times New Roman" w:hAnsi="Calibri" w:cs="Calibri"/>
                <w:color w:val="000000"/>
                <w:lang w:eastAsia="en-GB"/>
              </w:rPr>
            </w:pPr>
            <w:r w:rsidRPr="00307A57">
              <w:rPr>
                <w:rFonts w:ascii="Calibri" w:eastAsia="Times New Roman" w:hAnsi="Calibri" w:cs="Calibri"/>
                <w:color w:val="000000"/>
                <w:lang w:eastAsia="en-GB"/>
              </w:rPr>
              <w:t>7.</w:t>
            </w:r>
            <w:r w:rsidRPr="00307A57">
              <w:rPr>
                <w:rFonts w:ascii="Times New Roman" w:eastAsia="Times New Roman" w:hAnsi="Times New Roman" w:cs="Times New Roman"/>
                <w:color w:val="000000"/>
                <w:sz w:val="14"/>
                <w:szCs w:val="14"/>
                <w:lang w:eastAsia="en-GB"/>
              </w:rPr>
              <w:t xml:space="preserve">       </w:t>
            </w:r>
            <w:r w:rsidRPr="00307A57">
              <w:rPr>
                <w:rFonts w:ascii="Calibri" w:eastAsia="Times New Roman" w:hAnsi="Calibri" w:cs="Calibri"/>
                <w:color w:val="000000"/>
                <w:lang w:eastAsia="en-GB"/>
              </w:rPr>
              <w:t>Were measures taken to address and categorise non-responders?</w:t>
            </w:r>
          </w:p>
        </w:tc>
        <w:tc>
          <w:tcPr>
            <w:tcW w:w="0" w:type="auto"/>
            <w:tcBorders>
              <w:top w:val="nil"/>
              <w:left w:val="nil"/>
              <w:bottom w:val="nil"/>
              <w:right w:val="nil"/>
            </w:tcBorders>
            <w:shd w:val="clear" w:color="auto" w:fill="auto"/>
            <w:noWrap/>
            <w:vAlign w:val="bottom"/>
            <w:hideMark/>
          </w:tcPr>
          <w:p w14:paraId="34C99605"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auto" w:fill="auto"/>
            <w:noWrap/>
            <w:vAlign w:val="bottom"/>
            <w:hideMark/>
          </w:tcPr>
          <w:p w14:paraId="348D02C0"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20AF5DCA"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auto" w:fill="auto"/>
            <w:noWrap/>
            <w:vAlign w:val="bottom"/>
            <w:hideMark/>
          </w:tcPr>
          <w:p w14:paraId="02ADC04A"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auto" w:fill="auto"/>
            <w:noWrap/>
            <w:vAlign w:val="bottom"/>
            <w:hideMark/>
          </w:tcPr>
          <w:p w14:paraId="5EB6894F"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auto" w:fill="auto"/>
            <w:noWrap/>
            <w:vAlign w:val="bottom"/>
            <w:hideMark/>
          </w:tcPr>
          <w:p w14:paraId="1BBE7EE9"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auto" w:fill="auto"/>
            <w:noWrap/>
            <w:vAlign w:val="bottom"/>
            <w:hideMark/>
          </w:tcPr>
          <w:p w14:paraId="761767A4"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auto" w:fill="auto"/>
            <w:noWrap/>
            <w:vAlign w:val="bottom"/>
            <w:hideMark/>
          </w:tcPr>
          <w:p w14:paraId="7AEFE4DA"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r>
      <w:tr w:rsidR="000B56EA" w:rsidRPr="00307A57" w14:paraId="32CFBBF7" w14:textId="77777777" w:rsidTr="000B56EA">
        <w:trPr>
          <w:trHeight w:val="290"/>
        </w:trPr>
        <w:tc>
          <w:tcPr>
            <w:tcW w:w="0" w:type="auto"/>
            <w:gridSpan w:val="2"/>
            <w:tcBorders>
              <w:top w:val="nil"/>
              <w:left w:val="nil"/>
              <w:bottom w:val="nil"/>
              <w:right w:val="nil"/>
            </w:tcBorders>
            <w:shd w:val="clear" w:color="D9D9D9" w:fill="D9D9D9"/>
            <w:noWrap/>
            <w:vAlign w:val="center"/>
            <w:hideMark/>
          </w:tcPr>
          <w:p w14:paraId="7F6D01AD" w14:textId="77777777" w:rsidR="000B56EA" w:rsidRPr="00307A57" w:rsidRDefault="000B56EA" w:rsidP="000B56EA">
            <w:pPr>
              <w:spacing w:after="0" w:line="240" w:lineRule="auto"/>
              <w:ind w:firstLineChars="400" w:firstLine="880"/>
              <w:rPr>
                <w:rFonts w:ascii="Calibri" w:eastAsia="Times New Roman" w:hAnsi="Calibri" w:cs="Calibri"/>
                <w:color w:val="000000"/>
                <w:lang w:eastAsia="en-GB"/>
              </w:rPr>
            </w:pPr>
            <w:r w:rsidRPr="00307A57">
              <w:rPr>
                <w:rFonts w:ascii="Calibri" w:eastAsia="Times New Roman" w:hAnsi="Calibri" w:cs="Calibri"/>
                <w:color w:val="000000"/>
                <w:lang w:eastAsia="en-GB"/>
              </w:rPr>
              <w:t>8.</w:t>
            </w:r>
            <w:r w:rsidRPr="00307A57">
              <w:rPr>
                <w:rFonts w:ascii="Times New Roman" w:eastAsia="Times New Roman" w:hAnsi="Times New Roman" w:cs="Times New Roman"/>
                <w:color w:val="000000"/>
                <w:sz w:val="14"/>
                <w:szCs w:val="14"/>
                <w:lang w:eastAsia="en-GB"/>
              </w:rPr>
              <w:t xml:space="preserve">       </w:t>
            </w:r>
            <w:r w:rsidRPr="00307A57">
              <w:rPr>
                <w:rFonts w:ascii="Calibri" w:eastAsia="Times New Roman" w:hAnsi="Calibri" w:cs="Calibri"/>
                <w:color w:val="000000"/>
                <w:lang w:eastAsia="en-GB"/>
              </w:rPr>
              <w:t>Were the risk factor and outcome variables measured appropriate to the aims of the study?</w:t>
            </w:r>
          </w:p>
        </w:tc>
        <w:tc>
          <w:tcPr>
            <w:tcW w:w="0" w:type="auto"/>
            <w:tcBorders>
              <w:top w:val="nil"/>
              <w:left w:val="nil"/>
              <w:bottom w:val="nil"/>
              <w:right w:val="nil"/>
            </w:tcBorders>
            <w:shd w:val="clear" w:color="D9D9D9" w:fill="D9D9D9"/>
            <w:noWrap/>
            <w:vAlign w:val="bottom"/>
            <w:hideMark/>
          </w:tcPr>
          <w:p w14:paraId="13E6591D"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06F56C67"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104C6E1B"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5F28CE9C"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3B8B177B"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6210973C"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3186B290"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177D0905"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r>
      <w:tr w:rsidR="000B56EA" w:rsidRPr="00307A57" w14:paraId="586785CA" w14:textId="77777777" w:rsidTr="000B56EA">
        <w:trPr>
          <w:trHeight w:val="290"/>
        </w:trPr>
        <w:tc>
          <w:tcPr>
            <w:tcW w:w="0" w:type="auto"/>
            <w:gridSpan w:val="2"/>
            <w:tcBorders>
              <w:top w:val="nil"/>
              <w:left w:val="nil"/>
              <w:bottom w:val="nil"/>
              <w:right w:val="nil"/>
            </w:tcBorders>
            <w:shd w:val="clear" w:color="auto" w:fill="auto"/>
            <w:noWrap/>
            <w:vAlign w:val="center"/>
            <w:hideMark/>
          </w:tcPr>
          <w:p w14:paraId="666AC094" w14:textId="77777777" w:rsidR="000B56EA" w:rsidRPr="00307A57" w:rsidRDefault="000B56EA" w:rsidP="000B56EA">
            <w:pPr>
              <w:spacing w:after="0" w:line="240" w:lineRule="auto"/>
              <w:ind w:firstLineChars="400" w:firstLine="880"/>
              <w:rPr>
                <w:rFonts w:ascii="Calibri" w:eastAsia="Times New Roman" w:hAnsi="Calibri" w:cs="Calibri"/>
                <w:color w:val="000000"/>
                <w:lang w:eastAsia="en-GB"/>
              </w:rPr>
            </w:pPr>
            <w:r w:rsidRPr="00307A57">
              <w:rPr>
                <w:rFonts w:ascii="Calibri" w:eastAsia="Times New Roman" w:hAnsi="Calibri" w:cs="Calibri"/>
                <w:color w:val="000000"/>
                <w:lang w:eastAsia="en-GB"/>
              </w:rPr>
              <w:t>9.</w:t>
            </w:r>
            <w:r w:rsidRPr="00307A57">
              <w:rPr>
                <w:rFonts w:ascii="Times New Roman" w:eastAsia="Times New Roman" w:hAnsi="Times New Roman" w:cs="Times New Roman"/>
                <w:color w:val="000000"/>
                <w:sz w:val="14"/>
                <w:szCs w:val="14"/>
                <w:lang w:eastAsia="en-GB"/>
              </w:rPr>
              <w:t xml:space="preserve">       </w:t>
            </w:r>
            <w:r w:rsidRPr="00307A57">
              <w:rPr>
                <w:rFonts w:ascii="Calibri" w:eastAsia="Times New Roman" w:hAnsi="Calibri" w:cs="Calibri"/>
                <w:color w:val="000000"/>
                <w:lang w:eastAsia="en-GB"/>
              </w:rPr>
              <w:t>Were the risk factor and outcome variables measured correctly using instruments/measurements that had been trialled, piloted, or published previously?</w:t>
            </w:r>
          </w:p>
        </w:tc>
        <w:tc>
          <w:tcPr>
            <w:tcW w:w="0" w:type="auto"/>
            <w:tcBorders>
              <w:top w:val="nil"/>
              <w:left w:val="nil"/>
              <w:bottom w:val="nil"/>
              <w:right w:val="nil"/>
            </w:tcBorders>
            <w:shd w:val="clear" w:color="auto" w:fill="auto"/>
            <w:noWrap/>
            <w:vAlign w:val="bottom"/>
            <w:hideMark/>
          </w:tcPr>
          <w:p w14:paraId="286AE368"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27A2C701"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2AB92A03"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1C8D74DB"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79C8BF23"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255989CB"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7707EFC2"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0685DC77"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r>
      <w:tr w:rsidR="000B56EA" w:rsidRPr="00307A57" w14:paraId="67C69556" w14:textId="77777777" w:rsidTr="000B56EA">
        <w:trPr>
          <w:trHeight w:val="290"/>
        </w:trPr>
        <w:tc>
          <w:tcPr>
            <w:tcW w:w="0" w:type="auto"/>
            <w:gridSpan w:val="2"/>
            <w:tcBorders>
              <w:top w:val="nil"/>
              <w:left w:val="nil"/>
              <w:bottom w:val="nil"/>
              <w:right w:val="nil"/>
            </w:tcBorders>
            <w:shd w:val="clear" w:color="D9D9D9" w:fill="D9D9D9"/>
            <w:noWrap/>
            <w:vAlign w:val="center"/>
            <w:hideMark/>
          </w:tcPr>
          <w:p w14:paraId="168477F1" w14:textId="77777777" w:rsidR="000B56EA" w:rsidRPr="00307A57" w:rsidRDefault="000B56EA" w:rsidP="000B56EA">
            <w:pPr>
              <w:spacing w:after="0" w:line="240" w:lineRule="auto"/>
              <w:ind w:firstLineChars="400" w:firstLine="880"/>
              <w:rPr>
                <w:rFonts w:ascii="Calibri" w:eastAsia="Times New Roman" w:hAnsi="Calibri" w:cs="Calibri"/>
                <w:color w:val="000000"/>
                <w:lang w:eastAsia="en-GB"/>
              </w:rPr>
            </w:pPr>
            <w:r w:rsidRPr="00307A57">
              <w:rPr>
                <w:rFonts w:ascii="Calibri" w:eastAsia="Times New Roman" w:hAnsi="Calibri" w:cs="Calibri"/>
                <w:color w:val="000000"/>
                <w:lang w:eastAsia="en-GB"/>
              </w:rPr>
              <w:t>10.</w:t>
            </w:r>
            <w:r w:rsidRPr="00307A57">
              <w:rPr>
                <w:rFonts w:ascii="Times New Roman" w:eastAsia="Times New Roman" w:hAnsi="Times New Roman" w:cs="Times New Roman"/>
                <w:color w:val="000000"/>
                <w:sz w:val="14"/>
                <w:szCs w:val="14"/>
                <w:lang w:eastAsia="en-GB"/>
              </w:rPr>
              <w:t xml:space="preserve">   </w:t>
            </w:r>
            <w:r w:rsidRPr="00307A57">
              <w:rPr>
                <w:rFonts w:ascii="Calibri" w:eastAsia="Times New Roman" w:hAnsi="Calibri" w:cs="Calibri"/>
                <w:color w:val="000000"/>
                <w:lang w:eastAsia="en-GB"/>
              </w:rPr>
              <w:t>Was the follow up of subjects complete enough?</w:t>
            </w:r>
          </w:p>
        </w:tc>
        <w:tc>
          <w:tcPr>
            <w:tcW w:w="0" w:type="auto"/>
            <w:tcBorders>
              <w:top w:val="nil"/>
              <w:left w:val="nil"/>
              <w:bottom w:val="nil"/>
              <w:right w:val="nil"/>
            </w:tcBorders>
            <w:shd w:val="clear" w:color="D9D9D9" w:fill="D9D9D9"/>
            <w:noWrap/>
            <w:vAlign w:val="bottom"/>
            <w:hideMark/>
          </w:tcPr>
          <w:p w14:paraId="72FA1F0E" w14:textId="77777777" w:rsidR="000B56EA" w:rsidRPr="00307A57" w:rsidRDefault="000B56EA" w:rsidP="000B56EA">
            <w:pPr>
              <w:spacing w:after="0" w:line="240" w:lineRule="auto"/>
              <w:rPr>
                <w:rFonts w:ascii="Calibri" w:eastAsia="Times New Roman" w:hAnsi="Calibri" w:cs="Calibri"/>
                <w:color w:val="000000"/>
                <w:lang w:eastAsia="en-GB"/>
              </w:rPr>
            </w:pPr>
            <w:r w:rsidRPr="00307A57">
              <w:rPr>
                <w:rFonts w:ascii="Calibri" w:eastAsia="Times New Roman" w:hAnsi="Calibri" w:cs="Calibri"/>
                <w:color w:val="000000"/>
                <w:lang w:eastAsia="en-GB"/>
              </w:rPr>
              <w:t>N/A</w:t>
            </w:r>
          </w:p>
        </w:tc>
        <w:tc>
          <w:tcPr>
            <w:tcW w:w="0" w:type="auto"/>
            <w:tcBorders>
              <w:top w:val="nil"/>
              <w:left w:val="nil"/>
              <w:bottom w:val="nil"/>
              <w:right w:val="nil"/>
            </w:tcBorders>
            <w:shd w:val="clear" w:color="D9D9D9" w:fill="D9D9D9"/>
            <w:noWrap/>
            <w:vAlign w:val="bottom"/>
            <w:hideMark/>
          </w:tcPr>
          <w:p w14:paraId="0086595F" w14:textId="77777777" w:rsidR="000B56EA" w:rsidRPr="00307A57" w:rsidRDefault="000B56EA" w:rsidP="000B56EA">
            <w:pPr>
              <w:spacing w:after="0" w:line="240" w:lineRule="auto"/>
              <w:rPr>
                <w:rFonts w:ascii="Calibri" w:eastAsia="Times New Roman" w:hAnsi="Calibri" w:cs="Calibri"/>
                <w:color w:val="000000"/>
                <w:lang w:eastAsia="en-GB"/>
              </w:rPr>
            </w:pPr>
            <w:r w:rsidRPr="00307A57">
              <w:rPr>
                <w:rFonts w:ascii="Calibri" w:eastAsia="Times New Roman" w:hAnsi="Calibri" w:cs="Calibri"/>
                <w:color w:val="000000"/>
                <w:lang w:eastAsia="en-GB"/>
              </w:rPr>
              <w:t>N/A</w:t>
            </w:r>
          </w:p>
        </w:tc>
        <w:tc>
          <w:tcPr>
            <w:tcW w:w="0" w:type="auto"/>
            <w:tcBorders>
              <w:top w:val="nil"/>
              <w:left w:val="nil"/>
              <w:bottom w:val="nil"/>
              <w:right w:val="nil"/>
            </w:tcBorders>
            <w:shd w:val="clear" w:color="D9D9D9" w:fill="D9D9D9"/>
            <w:noWrap/>
            <w:vAlign w:val="bottom"/>
            <w:hideMark/>
          </w:tcPr>
          <w:p w14:paraId="3D1F3999" w14:textId="77777777" w:rsidR="000B56EA" w:rsidRPr="00307A57" w:rsidRDefault="000B56EA" w:rsidP="000B56EA">
            <w:pPr>
              <w:spacing w:after="0" w:line="240" w:lineRule="auto"/>
              <w:rPr>
                <w:rFonts w:ascii="Calibri" w:eastAsia="Times New Roman" w:hAnsi="Calibri" w:cs="Calibri"/>
                <w:color w:val="000000"/>
                <w:lang w:eastAsia="en-GB"/>
              </w:rPr>
            </w:pPr>
            <w:r w:rsidRPr="00307A57">
              <w:rPr>
                <w:rFonts w:ascii="Calibri" w:eastAsia="Times New Roman" w:hAnsi="Calibri" w:cs="Calibri"/>
                <w:color w:val="000000"/>
                <w:lang w:eastAsia="en-GB"/>
              </w:rPr>
              <w:t>N/A</w:t>
            </w:r>
          </w:p>
        </w:tc>
        <w:tc>
          <w:tcPr>
            <w:tcW w:w="0" w:type="auto"/>
            <w:tcBorders>
              <w:top w:val="nil"/>
              <w:left w:val="nil"/>
              <w:bottom w:val="nil"/>
              <w:right w:val="nil"/>
            </w:tcBorders>
            <w:shd w:val="clear" w:color="D9D9D9" w:fill="D9D9D9"/>
            <w:noWrap/>
            <w:vAlign w:val="bottom"/>
            <w:hideMark/>
          </w:tcPr>
          <w:p w14:paraId="71F1833D"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5944AC9A"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3A9E6A16" w14:textId="77777777" w:rsidR="000B56EA" w:rsidRPr="00307A57" w:rsidRDefault="000B56EA" w:rsidP="000B56EA">
            <w:pPr>
              <w:spacing w:after="0" w:line="240" w:lineRule="auto"/>
              <w:rPr>
                <w:rFonts w:ascii="Calibri" w:eastAsia="Times New Roman" w:hAnsi="Calibri" w:cs="Calibri"/>
                <w:color w:val="000000"/>
                <w:lang w:eastAsia="en-GB"/>
              </w:rPr>
            </w:pPr>
            <w:r w:rsidRPr="00307A57">
              <w:rPr>
                <w:rFonts w:ascii="Calibri" w:eastAsia="Times New Roman" w:hAnsi="Calibri" w:cs="Calibri"/>
                <w:color w:val="000000"/>
                <w:lang w:eastAsia="en-GB"/>
              </w:rPr>
              <w:t>N/A</w:t>
            </w:r>
          </w:p>
        </w:tc>
        <w:tc>
          <w:tcPr>
            <w:tcW w:w="0" w:type="auto"/>
            <w:tcBorders>
              <w:top w:val="nil"/>
              <w:left w:val="nil"/>
              <w:bottom w:val="nil"/>
              <w:right w:val="nil"/>
            </w:tcBorders>
            <w:shd w:val="clear" w:color="D9D9D9" w:fill="D9D9D9"/>
            <w:noWrap/>
            <w:vAlign w:val="bottom"/>
            <w:hideMark/>
          </w:tcPr>
          <w:p w14:paraId="6A58952C" w14:textId="77777777" w:rsidR="000B56EA" w:rsidRPr="00307A57" w:rsidRDefault="000B56EA" w:rsidP="000B56EA">
            <w:pPr>
              <w:spacing w:after="0" w:line="240" w:lineRule="auto"/>
              <w:rPr>
                <w:rFonts w:ascii="Calibri" w:eastAsia="Times New Roman" w:hAnsi="Calibri" w:cs="Calibri"/>
                <w:color w:val="000000"/>
                <w:lang w:eastAsia="en-GB"/>
              </w:rPr>
            </w:pPr>
            <w:r w:rsidRPr="00307A57">
              <w:rPr>
                <w:rFonts w:ascii="Calibri" w:eastAsia="Times New Roman" w:hAnsi="Calibri" w:cs="Calibri"/>
                <w:color w:val="000000"/>
                <w:lang w:eastAsia="en-GB"/>
              </w:rPr>
              <w:t>N/A</w:t>
            </w:r>
          </w:p>
        </w:tc>
        <w:tc>
          <w:tcPr>
            <w:tcW w:w="0" w:type="auto"/>
            <w:tcBorders>
              <w:top w:val="nil"/>
              <w:left w:val="nil"/>
              <w:bottom w:val="nil"/>
              <w:right w:val="nil"/>
            </w:tcBorders>
            <w:shd w:val="clear" w:color="D9D9D9" w:fill="D9D9D9"/>
            <w:noWrap/>
            <w:vAlign w:val="bottom"/>
            <w:hideMark/>
          </w:tcPr>
          <w:p w14:paraId="635FA840" w14:textId="77777777" w:rsidR="000B56EA" w:rsidRPr="00307A57" w:rsidRDefault="000B56EA" w:rsidP="000B56EA">
            <w:pPr>
              <w:spacing w:after="0" w:line="240" w:lineRule="auto"/>
              <w:rPr>
                <w:rFonts w:ascii="Calibri" w:eastAsia="Times New Roman" w:hAnsi="Calibri" w:cs="Calibri"/>
                <w:color w:val="000000"/>
                <w:lang w:eastAsia="en-GB"/>
              </w:rPr>
            </w:pPr>
            <w:r w:rsidRPr="00307A57">
              <w:rPr>
                <w:rFonts w:ascii="Calibri" w:eastAsia="Times New Roman" w:hAnsi="Calibri" w:cs="Calibri"/>
                <w:color w:val="000000"/>
                <w:lang w:eastAsia="en-GB"/>
              </w:rPr>
              <w:t>N/A</w:t>
            </w:r>
          </w:p>
        </w:tc>
      </w:tr>
      <w:tr w:rsidR="000B56EA" w:rsidRPr="00307A57" w14:paraId="69DA7E10" w14:textId="77777777" w:rsidTr="000B56EA">
        <w:trPr>
          <w:trHeight w:val="290"/>
        </w:trPr>
        <w:tc>
          <w:tcPr>
            <w:tcW w:w="0" w:type="auto"/>
            <w:gridSpan w:val="2"/>
            <w:tcBorders>
              <w:top w:val="nil"/>
              <w:left w:val="nil"/>
              <w:bottom w:val="nil"/>
              <w:right w:val="nil"/>
            </w:tcBorders>
            <w:shd w:val="clear" w:color="auto" w:fill="auto"/>
            <w:noWrap/>
            <w:vAlign w:val="center"/>
            <w:hideMark/>
          </w:tcPr>
          <w:p w14:paraId="485BE845" w14:textId="77777777" w:rsidR="000B56EA" w:rsidRPr="00307A57" w:rsidRDefault="000B56EA" w:rsidP="000B56EA">
            <w:pPr>
              <w:spacing w:after="0" w:line="240" w:lineRule="auto"/>
              <w:ind w:firstLineChars="400" w:firstLine="880"/>
              <w:rPr>
                <w:rFonts w:ascii="Calibri" w:eastAsia="Times New Roman" w:hAnsi="Calibri" w:cs="Calibri"/>
                <w:color w:val="000000"/>
                <w:lang w:eastAsia="en-GB"/>
              </w:rPr>
            </w:pPr>
            <w:r w:rsidRPr="00307A57">
              <w:rPr>
                <w:rFonts w:ascii="Calibri" w:eastAsia="Times New Roman" w:hAnsi="Calibri" w:cs="Calibri"/>
                <w:color w:val="000000"/>
                <w:lang w:eastAsia="en-GB"/>
              </w:rPr>
              <w:t>11.</w:t>
            </w:r>
            <w:r w:rsidRPr="00307A57">
              <w:rPr>
                <w:rFonts w:ascii="Times New Roman" w:eastAsia="Times New Roman" w:hAnsi="Times New Roman" w:cs="Times New Roman"/>
                <w:color w:val="000000"/>
                <w:sz w:val="14"/>
                <w:szCs w:val="14"/>
                <w:lang w:eastAsia="en-GB"/>
              </w:rPr>
              <w:t xml:space="preserve">   </w:t>
            </w:r>
            <w:r w:rsidRPr="00307A57">
              <w:rPr>
                <w:rFonts w:ascii="Calibri" w:eastAsia="Times New Roman" w:hAnsi="Calibri" w:cs="Calibri"/>
                <w:color w:val="000000"/>
                <w:lang w:eastAsia="en-GB"/>
              </w:rPr>
              <w:t>Was the follow up of subject long enough?</w:t>
            </w:r>
          </w:p>
        </w:tc>
        <w:tc>
          <w:tcPr>
            <w:tcW w:w="0" w:type="auto"/>
            <w:tcBorders>
              <w:top w:val="nil"/>
              <w:left w:val="nil"/>
              <w:bottom w:val="nil"/>
              <w:right w:val="nil"/>
            </w:tcBorders>
            <w:shd w:val="clear" w:color="auto" w:fill="auto"/>
            <w:noWrap/>
            <w:vAlign w:val="bottom"/>
            <w:hideMark/>
          </w:tcPr>
          <w:p w14:paraId="08EA8BB7" w14:textId="77777777" w:rsidR="000B56EA" w:rsidRPr="00307A57" w:rsidRDefault="000B56EA" w:rsidP="000B56EA">
            <w:pPr>
              <w:spacing w:after="0" w:line="240" w:lineRule="auto"/>
              <w:rPr>
                <w:rFonts w:ascii="Calibri" w:eastAsia="Times New Roman" w:hAnsi="Calibri" w:cs="Calibri"/>
                <w:color w:val="000000"/>
                <w:lang w:eastAsia="en-GB"/>
              </w:rPr>
            </w:pPr>
            <w:r w:rsidRPr="00307A57">
              <w:rPr>
                <w:rFonts w:ascii="Calibri" w:eastAsia="Times New Roman" w:hAnsi="Calibri" w:cs="Calibri"/>
                <w:color w:val="000000"/>
                <w:lang w:eastAsia="en-GB"/>
              </w:rPr>
              <w:t>N/A</w:t>
            </w:r>
          </w:p>
        </w:tc>
        <w:tc>
          <w:tcPr>
            <w:tcW w:w="0" w:type="auto"/>
            <w:tcBorders>
              <w:top w:val="nil"/>
              <w:left w:val="nil"/>
              <w:bottom w:val="nil"/>
              <w:right w:val="nil"/>
            </w:tcBorders>
            <w:shd w:val="clear" w:color="auto" w:fill="auto"/>
            <w:noWrap/>
            <w:vAlign w:val="bottom"/>
            <w:hideMark/>
          </w:tcPr>
          <w:p w14:paraId="28FEAD7E" w14:textId="77777777" w:rsidR="000B56EA" w:rsidRPr="00307A57" w:rsidRDefault="000B56EA" w:rsidP="000B56EA">
            <w:pPr>
              <w:spacing w:after="0" w:line="240" w:lineRule="auto"/>
              <w:rPr>
                <w:rFonts w:ascii="Calibri" w:eastAsia="Times New Roman" w:hAnsi="Calibri" w:cs="Calibri"/>
                <w:color w:val="000000"/>
                <w:lang w:eastAsia="en-GB"/>
              </w:rPr>
            </w:pPr>
            <w:r w:rsidRPr="00307A57">
              <w:rPr>
                <w:rFonts w:ascii="Calibri" w:eastAsia="Times New Roman" w:hAnsi="Calibri" w:cs="Calibri"/>
                <w:color w:val="000000"/>
                <w:lang w:eastAsia="en-GB"/>
              </w:rPr>
              <w:t>N/A</w:t>
            </w:r>
          </w:p>
        </w:tc>
        <w:tc>
          <w:tcPr>
            <w:tcW w:w="0" w:type="auto"/>
            <w:tcBorders>
              <w:top w:val="nil"/>
              <w:left w:val="nil"/>
              <w:bottom w:val="nil"/>
              <w:right w:val="nil"/>
            </w:tcBorders>
            <w:shd w:val="clear" w:color="auto" w:fill="auto"/>
            <w:noWrap/>
            <w:vAlign w:val="bottom"/>
            <w:hideMark/>
          </w:tcPr>
          <w:p w14:paraId="4D529596" w14:textId="77777777" w:rsidR="000B56EA" w:rsidRPr="00307A57" w:rsidRDefault="000B56EA" w:rsidP="000B56EA">
            <w:pPr>
              <w:spacing w:after="0" w:line="240" w:lineRule="auto"/>
              <w:rPr>
                <w:rFonts w:ascii="Calibri" w:eastAsia="Times New Roman" w:hAnsi="Calibri" w:cs="Calibri"/>
                <w:color w:val="000000"/>
                <w:lang w:eastAsia="en-GB"/>
              </w:rPr>
            </w:pPr>
            <w:r w:rsidRPr="00307A57">
              <w:rPr>
                <w:rFonts w:ascii="Calibri" w:eastAsia="Times New Roman" w:hAnsi="Calibri" w:cs="Calibri"/>
                <w:color w:val="000000"/>
                <w:lang w:eastAsia="en-GB"/>
              </w:rPr>
              <w:t>N/A</w:t>
            </w:r>
          </w:p>
        </w:tc>
        <w:tc>
          <w:tcPr>
            <w:tcW w:w="0" w:type="auto"/>
            <w:tcBorders>
              <w:top w:val="nil"/>
              <w:left w:val="nil"/>
              <w:bottom w:val="nil"/>
              <w:right w:val="nil"/>
            </w:tcBorders>
            <w:shd w:val="clear" w:color="auto" w:fill="auto"/>
            <w:noWrap/>
            <w:vAlign w:val="bottom"/>
            <w:hideMark/>
          </w:tcPr>
          <w:p w14:paraId="74417B06"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0F1985BA"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612BDD73" w14:textId="77777777" w:rsidR="000B56EA" w:rsidRPr="00307A57" w:rsidRDefault="000B56EA" w:rsidP="000B56EA">
            <w:pPr>
              <w:spacing w:after="0" w:line="240" w:lineRule="auto"/>
              <w:rPr>
                <w:rFonts w:ascii="Calibri" w:eastAsia="Times New Roman" w:hAnsi="Calibri" w:cs="Calibri"/>
                <w:color w:val="000000"/>
                <w:lang w:eastAsia="en-GB"/>
              </w:rPr>
            </w:pPr>
            <w:r w:rsidRPr="00307A57">
              <w:rPr>
                <w:rFonts w:ascii="Calibri" w:eastAsia="Times New Roman" w:hAnsi="Calibri" w:cs="Calibri"/>
                <w:color w:val="000000"/>
                <w:lang w:eastAsia="en-GB"/>
              </w:rPr>
              <w:t>N/A</w:t>
            </w:r>
          </w:p>
        </w:tc>
        <w:tc>
          <w:tcPr>
            <w:tcW w:w="0" w:type="auto"/>
            <w:tcBorders>
              <w:top w:val="nil"/>
              <w:left w:val="nil"/>
              <w:bottom w:val="nil"/>
              <w:right w:val="nil"/>
            </w:tcBorders>
            <w:shd w:val="clear" w:color="auto" w:fill="auto"/>
            <w:noWrap/>
            <w:vAlign w:val="bottom"/>
            <w:hideMark/>
          </w:tcPr>
          <w:p w14:paraId="6ADB7D69" w14:textId="77777777" w:rsidR="000B56EA" w:rsidRPr="00307A57" w:rsidRDefault="000B56EA" w:rsidP="000B56EA">
            <w:pPr>
              <w:spacing w:after="0" w:line="240" w:lineRule="auto"/>
              <w:rPr>
                <w:rFonts w:ascii="Calibri" w:eastAsia="Times New Roman" w:hAnsi="Calibri" w:cs="Calibri"/>
                <w:color w:val="000000"/>
                <w:lang w:eastAsia="en-GB"/>
              </w:rPr>
            </w:pPr>
            <w:r w:rsidRPr="00307A57">
              <w:rPr>
                <w:rFonts w:ascii="Calibri" w:eastAsia="Times New Roman" w:hAnsi="Calibri" w:cs="Calibri"/>
                <w:color w:val="000000"/>
                <w:lang w:eastAsia="en-GB"/>
              </w:rPr>
              <w:t>N/A</w:t>
            </w:r>
          </w:p>
        </w:tc>
        <w:tc>
          <w:tcPr>
            <w:tcW w:w="0" w:type="auto"/>
            <w:tcBorders>
              <w:top w:val="nil"/>
              <w:left w:val="nil"/>
              <w:bottom w:val="nil"/>
              <w:right w:val="nil"/>
            </w:tcBorders>
            <w:shd w:val="clear" w:color="auto" w:fill="auto"/>
            <w:noWrap/>
            <w:vAlign w:val="bottom"/>
            <w:hideMark/>
          </w:tcPr>
          <w:p w14:paraId="01670FEC" w14:textId="77777777" w:rsidR="000B56EA" w:rsidRPr="00307A57" w:rsidRDefault="000B56EA" w:rsidP="000B56EA">
            <w:pPr>
              <w:spacing w:after="0" w:line="240" w:lineRule="auto"/>
              <w:rPr>
                <w:rFonts w:ascii="Calibri" w:eastAsia="Times New Roman" w:hAnsi="Calibri" w:cs="Calibri"/>
                <w:color w:val="000000"/>
                <w:lang w:eastAsia="en-GB"/>
              </w:rPr>
            </w:pPr>
            <w:r w:rsidRPr="00307A57">
              <w:rPr>
                <w:rFonts w:ascii="Calibri" w:eastAsia="Times New Roman" w:hAnsi="Calibri" w:cs="Calibri"/>
                <w:color w:val="000000"/>
                <w:lang w:eastAsia="en-GB"/>
              </w:rPr>
              <w:t>N/A</w:t>
            </w:r>
          </w:p>
        </w:tc>
      </w:tr>
      <w:tr w:rsidR="000B56EA" w:rsidRPr="00307A57" w14:paraId="548952CA" w14:textId="77777777" w:rsidTr="000B56EA">
        <w:trPr>
          <w:trHeight w:val="290"/>
        </w:trPr>
        <w:tc>
          <w:tcPr>
            <w:tcW w:w="0" w:type="auto"/>
            <w:gridSpan w:val="2"/>
            <w:tcBorders>
              <w:top w:val="nil"/>
              <w:left w:val="nil"/>
              <w:bottom w:val="nil"/>
              <w:right w:val="nil"/>
            </w:tcBorders>
            <w:shd w:val="clear" w:color="D9D9D9" w:fill="D9D9D9"/>
            <w:noWrap/>
            <w:vAlign w:val="center"/>
            <w:hideMark/>
          </w:tcPr>
          <w:p w14:paraId="7E2327E4" w14:textId="77777777" w:rsidR="000B56EA" w:rsidRPr="00307A57" w:rsidRDefault="000B56EA" w:rsidP="000B56EA">
            <w:pPr>
              <w:spacing w:after="0" w:line="240" w:lineRule="auto"/>
              <w:ind w:firstLineChars="400" w:firstLine="880"/>
              <w:rPr>
                <w:rFonts w:ascii="Calibri" w:eastAsia="Times New Roman" w:hAnsi="Calibri" w:cs="Calibri"/>
                <w:color w:val="000000"/>
                <w:lang w:eastAsia="en-GB"/>
              </w:rPr>
            </w:pPr>
            <w:r w:rsidRPr="00307A57">
              <w:rPr>
                <w:rFonts w:ascii="Calibri" w:eastAsia="Times New Roman" w:hAnsi="Calibri" w:cs="Calibri"/>
                <w:color w:val="000000"/>
                <w:lang w:eastAsia="en-GB"/>
              </w:rPr>
              <w:t>12.</w:t>
            </w:r>
            <w:r w:rsidRPr="00307A57">
              <w:rPr>
                <w:rFonts w:ascii="Times New Roman" w:eastAsia="Times New Roman" w:hAnsi="Times New Roman" w:cs="Times New Roman"/>
                <w:color w:val="000000"/>
                <w:sz w:val="14"/>
                <w:szCs w:val="14"/>
                <w:lang w:eastAsia="en-GB"/>
              </w:rPr>
              <w:t xml:space="preserve">   </w:t>
            </w:r>
            <w:r w:rsidRPr="00307A57">
              <w:rPr>
                <w:rFonts w:ascii="Calibri" w:eastAsia="Times New Roman" w:hAnsi="Calibri" w:cs="Calibri"/>
                <w:color w:val="000000"/>
                <w:lang w:eastAsia="en-GB"/>
              </w:rPr>
              <w:t>Is it clear what was used to determine statistical significance and or/precision estimates (e.g. p-values/confidence intervals)?</w:t>
            </w:r>
          </w:p>
        </w:tc>
        <w:tc>
          <w:tcPr>
            <w:tcW w:w="0" w:type="auto"/>
            <w:tcBorders>
              <w:top w:val="nil"/>
              <w:left w:val="nil"/>
              <w:bottom w:val="nil"/>
              <w:right w:val="nil"/>
            </w:tcBorders>
            <w:shd w:val="clear" w:color="D9D9D9" w:fill="D9D9D9"/>
            <w:noWrap/>
            <w:vAlign w:val="bottom"/>
            <w:hideMark/>
          </w:tcPr>
          <w:p w14:paraId="25BE59B4"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12841C3F"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713C45CB"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304E83B1"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4F1EFC62"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72C528B2"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10B7207D"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5C661D92"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r>
      <w:tr w:rsidR="000B56EA" w:rsidRPr="00307A57" w14:paraId="71E6A515" w14:textId="77777777" w:rsidTr="000B56EA">
        <w:trPr>
          <w:trHeight w:val="290"/>
        </w:trPr>
        <w:tc>
          <w:tcPr>
            <w:tcW w:w="0" w:type="auto"/>
            <w:gridSpan w:val="2"/>
            <w:tcBorders>
              <w:top w:val="nil"/>
              <w:left w:val="nil"/>
              <w:bottom w:val="nil"/>
              <w:right w:val="nil"/>
            </w:tcBorders>
            <w:shd w:val="clear" w:color="auto" w:fill="auto"/>
            <w:noWrap/>
            <w:vAlign w:val="center"/>
            <w:hideMark/>
          </w:tcPr>
          <w:p w14:paraId="3339E6AD" w14:textId="77777777" w:rsidR="000B56EA" w:rsidRPr="00307A57" w:rsidRDefault="000B56EA" w:rsidP="000B56EA">
            <w:pPr>
              <w:spacing w:after="0" w:line="240" w:lineRule="auto"/>
              <w:ind w:firstLineChars="400" w:firstLine="880"/>
              <w:rPr>
                <w:rFonts w:ascii="Calibri" w:eastAsia="Times New Roman" w:hAnsi="Calibri" w:cs="Calibri"/>
                <w:color w:val="000000"/>
                <w:lang w:eastAsia="en-GB"/>
              </w:rPr>
            </w:pPr>
            <w:r w:rsidRPr="00307A57">
              <w:rPr>
                <w:rFonts w:ascii="Calibri" w:eastAsia="Times New Roman" w:hAnsi="Calibri" w:cs="Calibri"/>
                <w:color w:val="000000"/>
                <w:lang w:eastAsia="en-GB"/>
              </w:rPr>
              <w:lastRenderedPageBreak/>
              <w:t>13.</w:t>
            </w:r>
            <w:r w:rsidRPr="00307A57">
              <w:rPr>
                <w:rFonts w:ascii="Times New Roman" w:eastAsia="Times New Roman" w:hAnsi="Times New Roman" w:cs="Times New Roman"/>
                <w:color w:val="000000"/>
                <w:sz w:val="14"/>
                <w:szCs w:val="14"/>
                <w:lang w:eastAsia="en-GB"/>
              </w:rPr>
              <w:t xml:space="preserve">   </w:t>
            </w:r>
            <w:r w:rsidRPr="00307A57">
              <w:rPr>
                <w:rFonts w:ascii="Calibri" w:eastAsia="Times New Roman" w:hAnsi="Calibri" w:cs="Calibri"/>
                <w:color w:val="000000"/>
                <w:lang w:eastAsia="en-GB"/>
              </w:rPr>
              <w:t>Were the methods (including statistical methods) sufficiently described to enable them to be repeated.</w:t>
            </w:r>
          </w:p>
        </w:tc>
        <w:tc>
          <w:tcPr>
            <w:tcW w:w="0" w:type="auto"/>
            <w:tcBorders>
              <w:top w:val="nil"/>
              <w:left w:val="nil"/>
              <w:bottom w:val="nil"/>
              <w:right w:val="nil"/>
            </w:tcBorders>
            <w:shd w:val="clear" w:color="auto" w:fill="auto"/>
            <w:noWrap/>
            <w:vAlign w:val="bottom"/>
            <w:hideMark/>
          </w:tcPr>
          <w:p w14:paraId="4F5345C6"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48A8AF58"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0A5BAAD3"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79B50AAF"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3167D7F5"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77D4998F"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3213EEB3"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41B9044C"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r>
      <w:tr w:rsidR="000B56EA" w:rsidRPr="00307A57" w14:paraId="15305EFE" w14:textId="77777777" w:rsidTr="000B56EA">
        <w:trPr>
          <w:trHeight w:val="290"/>
        </w:trPr>
        <w:tc>
          <w:tcPr>
            <w:tcW w:w="0" w:type="auto"/>
            <w:tcBorders>
              <w:top w:val="nil"/>
              <w:left w:val="nil"/>
              <w:bottom w:val="nil"/>
              <w:right w:val="nil"/>
            </w:tcBorders>
            <w:shd w:val="clear" w:color="D9D9D9" w:fill="D9D9D9"/>
            <w:noWrap/>
            <w:vAlign w:val="center"/>
            <w:hideMark/>
          </w:tcPr>
          <w:p w14:paraId="38580FCA" w14:textId="77777777" w:rsidR="000B56EA" w:rsidRPr="00307A57" w:rsidRDefault="000B56EA" w:rsidP="000B56EA">
            <w:pPr>
              <w:spacing w:after="0" w:line="240" w:lineRule="auto"/>
              <w:rPr>
                <w:rFonts w:ascii="Calibri" w:eastAsia="Times New Roman" w:hAnsi="Calibri" w:cs="Calibri"/>
                <w:i/>
                <w:iCs/>
                <w:color w:val="000000"/>
                <w:lang w:eastAsia="en-GB"/>
              </w:rPr>
            </w:pPr>
            <w:r w:rsidRPr="00307A57">
              <w:rPr>
                <w:rFonts w:ascii="Calibri" w:eastAsia="Times New Roman" w:hAnsi="Calibri" w:cs="Calibri"/>
                <w:i/>
                <w:iCs/>
                <w:color w:val="000000"/>
                <w:lang w:eastAsia="en-GB"/>
              </w:rPr>
              <w:t>Results</w:t>
            </w:r>
          </w:p>
        </w:tc>
        <w:tc>
          <w:tcPr>
            <w:tcW w:w="0" w:type="auto"/>
            <w:tcBorders>
              <w:top w:val="nil"/>
              <w:left w:val="nil"/>
              <w:bottom w:val="nil"/>
              <w:right w:val="nil"/>
            </w:tcBorders>
            <w:shd w:val="clear" w:color="D9D9D9" w:fill="D9D9D9"/>
            <w:noWrap/>
            <w:vAlign w:val="bottom"/>
            <w:hideMark/>
          </w:tcPr>
          <w:p w14:paraId="25628749" w14:textId="77777777" w:rsidR="000B56EA" w:rsidRPr="00307A57" w:rsidRDefault="000B56EA" w:rsidP="000B56EA">
            <w:pPr>
              <w:spacing w:after="0" w:line="240" w:lineRule="auto"/>
              <w:rPr>
                <w:rFonts w:ascii="Calibri" w:eastAsia="Times New Roman" w:hAnsi="Calibri" w:cs="Calibri"/>
                <w:i/>
                <w:iCs/>
                <w:color w:val="000000"/>
                <w:lang w:eastAsia="en-GB"/>
              </w:rPr>
            </w:pPr>
          </w:p>
        </w:tc>
        <w:tc>
          <w:tcPr>
            <w:tcW w:w="0" w:type="auto"/>
            <w:tcBorders>
              <w:top w:val="nil"/>
              <w:left w:val="nil"/>
              <w:bottom w:val="nil"/>
              <w:right w:val="nil"/>
            </w:tcBorders>
            <w:shd w:val="clear" w:color="D9D9D9" w:fill="D9D9D9"/>
            <w:noWrap/>
            <w:vAlign w:val="bottom"/>
            <w:hideMark/>
          </w:tcPr>
          <w:p w14:paraId="4FECB943"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D9D9D9" w:fill="D9D9D9"/>
            <w:noWrap/>
            <w:vAlign w:val="bottom"/>
            <w:hideMark/>
          </w:tcPr>
          <w:p w14:paraId="478C0C97"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D9D9D9" w:fill="D9D9D9"/>
            <w:noWrap/>
            <w:vAlign w:val="bottom"/>
            <w:hideMark/>
          </w:tcPr>
          <w:p w14:paraId="62CBE11C"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D9D9D9" w:fill="D9D9D9"/>
            <w:noWrap/>
            <w:vAlign w:val="bottom"/>
            <w:hideMark/>
          </w:tcPr>
          <w:p w14:paraId="4287CA5C"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D9D9D9" w:fill="D9D9D9"/>
            <w:noWrap/>
            <w:vAlign w:val="bottom"/>
            <w:hideMark/>
          </w:tcPr>
          <w:p w14:paraId="6E6B076E"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D9D9D9" w:fill="D9D9D9"/>
            <w:noWrap/>
            <w:vAlign w:val="bottom"/>
            <w:hideMark/>
          </w:tcPr>
          <w:p w14:paraId="1B090944"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D9D9D9" w:fill="D9D9D9"/>
            <w:noWrap/>
            <w:vAlign w:val="bottom"/>
            <w:hideMark/>
          </w:tcPr>
          <w:p w14:paraId="44B52462"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D9D9D9" w:fill="D9D9D9"/>
            <w:noWrap/>
            <w:vAlign w:val="bottom"/>
            <w:hideMark/>
          </w:tcPr>
          <w:p w14:paraId="7441A3A8"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r>
      <w:tr w:rsidR="000B56EA" w:rsidRPr="00307A57" w14:paraId="5E59A01E" w14:textId="77777777" w:rsidTr="000B56EA">
        <w:trPr>
          <w:trHeight w:val="290"/>
        </w:trPr>
        <w:tc>
          <w:tcPr>
            <w:tcW w:w="0" w:type="auto"/>
            <w:gridSpan w:val="2"/>
            <w:tcBorders>
              <w:top w:val="nil"/>
              <w:left w:val="nil"/>
              <w:bottom w:val="nil"/>
              <w:right w:val="nil"/>
            </w:tcBorders>
            <w:shd w:val="clear" w:color="auto" w:fill="auto"/>
            <w:noWrap/>
            <w:vAlign w:val="center"/>
            <w:hideMark/>
          </w:tcPr>
          <w:p w14:paraId="7BB8EC98" w14:textId="77777777" w:rsidR="000B56EA" w:rsidRPr="00307A57" w:rsidRDefault="000B56EA" w:rsidP="000B56EA">
            <w:pPr>
              <w:spacing w:after="0" w:line="240" w:lineRule="auto"/>
              <w:ind w:firstLineChars="400" w:firstLine="880"/>
              <w:rPr>
                <w:rFonts w:ascii="Calibri" w:eastAsia="Times New Roman" w:hAnsi="Calibri" w:cs="Calibri"/>
                <w:color w:val="000000"/>
                <w:lang w:eastAsia="en-GB"/>
              </w:rPr>
            </w:pPr>
            <w:r w:rsidRPr="00307A57">
              <w:rPr>
                <w:rFonts w:ascii="Calibri" w:eastAsia="Times New Roman" w:hAnsi="Calibri" w:cs="Calibri"/>
                <w:color w:val="000000"/>
                <w:lang w:eastAsia="en-GB"/>
              </w:rPr>
              <w:t>14.</w:t>
            </w:r>
            <w:r w:rsidRPr="00307A57">
              <w:rPr>
                <w:rFonts w:ascii="Times New Roman" w:eastAsia="Times New Roman" w:hAnsi="Times New Roman" w:cs="Times New Roman"/>
                <w:color w:val="000000"/>
                <w:sz w:val="14"/>
                <w:szCs w:val="14"/>
                <w:lang w:eastAsia="en-GB"/>
              </w:rPr>
              <w:t xml:space="preserve">   </w:t>
            </w:r>
            <w:r w:rsidRPr="00307A57">
              <w:rPr>
                <w:rFonts w:ascii="Calibri" w:eastAsia="Times New Roman" w:hAnsi="Calibri" w:cs="Calibri"/>
                <w:color w:val="000000"/>
                <w:lang w:eastAsia="en-GB"/>
              </w:rPr>
              <w:t>Were the basic data adequately described?</w:t>
            </w:r>
          </w:p>
        </w:tc>
        <w:tc>
          <w:tcPr>
            <w:tcW w:w="0" w:type="auto"/>
            <w:tcBorders>
              <w:top w:val="nil"/>
              <w:left w:val="nil"/>
              <w:bottom w:val="nil"/>
              <w:right w:val="nil"/>
            </w:tcBorders>
            <w:shd w:val="clear" w:color="auto" w:fill="auto"/>
            <w:noWrap/>
            <w:vAlign w:val="bottom"/>
            <w:hideMark/>
          </w:tcPr>
          <w:p w14:paraId="00597783"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034A8C79"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5DFBB40E"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1C376AD9"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150ABE5B"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58357363"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15987E00"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16268218"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r>
      <w:tr w:rsidR="000B56EA" w:rsidRPr="00307A57" w14:paraId="70D31777" w14:textId="77777777" w:rsidTr="000B56EA">
        <w:trPr>
          <w:trHeight w:val="290"/>
        </w:trPr>
        <w:tc>
          <w:tcPr>
            <w:tcW w:w="0" w:type="auto"/>
            <w:gridSpan w:val="2"/>
            <w:tcBorders>
              <w:top w:val="nil"/>
              <w:left w:val="nil"/>
              <w:bottom w:val="nil"/>
              <w:right w:val="nil"/>
            </w:tcBorders>
            <w:shd w:val="clear" w:color="D9D9D9" w:fill="D9D9D9"/>
            <w:noWrap/>
            <w:vAlign w:val="center"/>
            <w:hideMark/>
          </w:tcPr>
          <w:p w14:paraId="2F609117" w14:textId="77777777" w:rsidR="000B56EA" w:rsidRPr="00307A57" w:rsidRDefault="000B56EA" w:rsidP="000B56EA">
            <w:pPr>
              <w:spacing w:after="0" w:line="240" w:lineRule="auto"/>
              <w:ind w:firstLineChars="400" w:firstLine="880"/>
              <w:rPr>
                <w:rFonts w:ascii="Calibri" w:eastAsia="Times New Roman" w:hAnsi="Calibri" w:cs="Calibri"/>
                <w:color w:val="000000"/>
                <w:lang w:eastAsia="en-GB"/>
              </w:rPr>
            </w:pPr>
            <w:r w:rsidRPr="00307A57">
              <w:rPr>
                <w:rFonts w:ascii="Calibri" w:eastAsia="Times New Roman" w:hAnsi="Calibri" w:cs="Calibri"/>
                <w:color w:val="000000"/>
                <w:lang w:eastAsia="en-GB"/>
              </w:rPr>
              <w:t>15.</w:t>
            </w:r>
            <w:r w:rsidRPr="00307A57">
              <w:rPr>
                <w:rFonts w:ascii="Times New Roman" w:eastAsia="Times New Roman" w:hAnsi="Times New Roman" w:cs="Times New Roman"/>
                <w:color w:val="000000"/>
                <w:sz w:val="14"/>
                <w:szCs w:val="14"/>
                <w:lang w:eastAsia="en-GB"/>
              </w:rPr>
              <w:t xml:space="preserve">   </w:t>
            </w:r>
            <w:r w:rsidRPr="00307A57">
              <w:rPr>
                <w:rFonts w:ascii="Calibri" w:eastAsia="Times New Roman" w:hAnsi="Calibri" w:cs="Calibri"/>
                <w:color w:val="000000"/>
                <w:lang w:eastAsia="en-GB"/>
              </w:rPr>
              <w:t>Does the response rate raise concerns about non-response bias?</w:t>
            </w:r>
          </w:p>
        </w:tc>
        <w:tc>
          <w:tcPr>
            <w:tcW w:w="0" w:type="auto"/>
            <w:tcBorders>
              <w:top w:val="nil"/>
              <w:left w:val="nil"/>
              <w:bottom w:val="nil"/>
              <w:right w:val="nil"/>
            </w:tcBorders>
            <w:shd w:val="clear" w:color="D9D9D9" w:fill="D9D9D9"/>
            <w:noWrap/>
            <w:vAlign w:val="bottom"/>
            <w:hideMark/>
          </w:tcPr>
          <w:p w14:paraId="26AAF24E"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D9D9D9" w:fill="D9D9D9"/>
            <w:noWrap/>
            <w:vAlign w:val="bottom"/>
            <w:hideMark/>
          </w:tcPr>
          <w:p w14:paraId="071E50BD"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D9D9D9" w:fill="D9D9D9"/>
            <w:noWrap/>
            <w:vAlign w:val="bottom"/>
            <w:hideMark/>
          </w:tcPr>
          <w:p w14:paraId="310C1131"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D9D9D9" w:fill="D9D9D9"/>
            <w:noWrap/>
            <w:vAlign w:val="bottom"/>
            <w:hideMark/>
          </w:tcPr>
          <w:p w14:paraId="36FC56EC"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D9D9D9" w:fill="D9D9D9"/>
            <w:noWrap/>
            <w:vAlign w:val="bottom"/>
            <w:hideMark/>
          </w:tcPr>
          <w:p w14:paraId="099F7893"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D9D9D9" w:fill="D9D9D9"/>
            <w:noWrap/>
            <w:vAlign w:val="bottom"/>
            <w:hideMark/>
          </w:tcPr>
          <w:p w14:paraId="45E154E7"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D9D9D9" w:fill="D9D9D9"/>
            <w:noWrap/>
            <w:vAlign w:val="bottom"/>
            <w:hideMark/>
          </w:tcPr>
          <w:p w14:paraId="7082EFEA"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D9D9D9" w:fill="D9D9D9"/>
            <w:noWrap/>
            <w:vAlign w:val="bottom"/>
            <w:hideMark/>
          </w:tcPr>
          <w:p w14:paraId="6A3AE794"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r>
      <w:tr w:rsidR="000B56EA" w:rsidRPr="00307A57" w14:paraId="0AF274F4" w14:textId="77777777" w:rsidTr="000B56EA">
        <w:trPr>
          <w:trHeight w:val="290"/>
        </w:trPr>
        <w:tc>
          <w:tcPr>
            <w:tcW w:w="0" w:type="auto"/>
            <w:gridSpan w:val="2"/>
            <w:tcBorders>
              <w:top w:val="nil"/>
              <w:left w:val="nil"/>
              <w:bottom w:val="nil"/>
              <w:right w:val="nil"/>
            </w:tcBorders>
            <w:shd w:val="clear" w:color="auto" w:fill="auto"/>
            <w:noWrap/>
            <w:vAlign w:val="center"/>
            <w:hideMark/>
          </w:tcPr>
          <w:p w14:paraId="6D38365A" w14:textId="77777777" w:rsidR="000B56EA" w:rsidRPr="00307A57" w:rsidRDefault="000B56EA" w:rsidP="000B56EA">
            <w:pPr>
              <w:spacing w:after="0" w:line="240" w:lineRule="auto"/>
              <w:ind w:firstLineChars="400" w:firstLine="880"/>
              <w:rPr>
                <w:rFonts w:ascii="Calibri" w:eastAsia="Times New Roman" w:hAnsi="Calibri" w:cs="Calibri"/>
                <w:color w:val="000000"/>
                <w:lang w:eastAsia="en-GB"/>
              </w:rPr>
            </w:pPr>
            <w:r w:rsidRPr="00307A57">
              <w:rPr>
                <w:rFonts w:ascii="Calibri" w:eastAsia="Times New Roman" w:hAnsi="Calibri" w:cs="Calibri"/>
                <w:color w:val="000000"/>
                <w:lang w:eastAsia="en-GB"/>
              </w:rPr>
              <w:t>16.</w:t>
            </w:r>
            <w:r w:rsidRPr="00307A57">
              <w:rPr>
                <w:rFonts w:ascii="Times New Roman" w:eastAsia="Times New Roman" w:hAnsi="Times New Roman" w:cs="Times New Roman"/>
                <w:color w:val="000000"/>
                <w:sz w:val="14"/>
                <w:szCs w:val="14"/>
                <w:lang w:eastAsia="en-GB"/>
              </w:rPr>
              <w:t xml:space="preserve">   </w:t>
            </w:r>
            <w:r w:rsidRPr="00307A57">
              <w:rPr>
                <w:rFonts w:ascii="Calibri" w:eastAsia="Times New Roman" w:hAnsi="Calibri" w:cs="Calibri"/>
                <w:color w:val="000000"/>
                <w:lang w:eastAsia="en-GB"/>
              </w:rPr>
              <w:t>If appropriate, was information about non-responders described?</w:t>
            </w:r>
          </w:p>
        </w:tc>
        <w:tc>
          <w:tcPr>
            <w:tcW w:w="0" w:type="auto"/>
            <w:tcBorders>
              <w:top w:val="nil"/>
              <w:left w:val="nil"/>
              <w:bottom w:val="nil"/>
              <w:right w:val="nil"/>
            </w:tcBorders>
            <w:shd w:val="clear" w:color="auto" w:fill="auto"/>
            <w:noWrap/>
            <w:vAlign w:val="bottom"/>
            <w:hideMark/>
          </w:tcPr>
          <w:p w14:paraId="2089F9EE"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auto" w:fill="auto"/>
            <w:noWrap/>
            <w:vAlign w:val="bottom"/>
            <w:hideMark/>
          </w:tcPr>
          <w:p w14:paraId="6845F434"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auto" w:fill="auto"/>
            <w:noWrap/>
            <w:vAlign w:val="bottom"/>
            <w:hideMark/>
          </w:tcPr>
          <w:p w14:paraId="5EB65970"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149202C5"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auto" w:fill="auto"/>
            <w:noWrap/>
            <w:vAlign w:val="bottom"/>
            <w:hideMark/>
          </w:tcPr>
          <w:p w14:paraId="4080F451"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auto" w:fill="auto"/>
            <w:noWrap/>
            <w:vAlign w:val="bottom"/>
            <w:hideMark/>
          </w:tcPr>
          <w:p w14:paraId="2E299C79"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auto" w:fill="auto"/>
            <w:noWrap/>
            <w:vAlign w:val="bottom"/>
            <w:hideMark/>
          </w:tcPr>
          <w:p w14:paraId="0D6487A8"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auto" w:fill="auto"/>
            <w:noWrap/>
            <w:vAlign w:val="bottom"/>
            <w:hideMark/>
          </w:tcPr>
          <w:p w14:paraId="64B4E643"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r>
      <w:tr w:rsidR="000B56EA" w:rsidRPr="00307A57" w14:paraId="2BD33ADE" w14:textId="77777777" w:rsidTr="000B56EA">
        <w:trPr>
          <w:trHeight w:val="290"/>
        </w:trPr>
        <w:tc>
          <w:tcPr>
            <w:tcW w:w="0" w:type="auto"/>
            <w:gridSpan w:val="2"/>
            <w:tcBorders>
              <w:top w:val="nil"/>
              <w:left w:val="nil"/>
              <w:bottom w:val="nil"/>
              <w:right w:val="nil"/>
            </w:tcBorders>
            <w:shd w:val="clear" w:color="D9D9D9" w:fill="D9D9D9"/>
            <w:noWrap/>
            <w:vAlign w:val="center"/>
            <w:hideMark/>
          </w:tcPr>
          <w:p w14:paraId="127D7B9A" w14:textId="77777777" w:rsidR="000B56EA" w:rsidRPr="00307A57" w:rsidRDefault="000B56EA" w:rsidP="000B56EA">
            <w:pPr>
              <w:spacing w:after="0" w:line="240" w:lineRule="auto"/>
              <w:ind w:firstLineChars="400" w:firstLine="880"/>
              <w:rPr>
                <w:rFonts w:ascii="Calibri" w:eastAsia="Times New Roman" w:hAnsi="Calibri" w:cs="Calibri"/>
                <w:color w:val="000000"/>
                <w:lang w:eastAsia="en-GB"/>
              </w:rPr>
            </w:pPr>
            <w:r w:rsidRPr="00307A57">
              <w:rPr>
                <w:rFonts w:ascii="Calibri" w:eastAsia="Times New Roman" w:hAnsi="Calibri" w:cs="Calibri"/>
                <w:color w:val="000000"/>
                <w:lang w:eastAsia="en-GB"/>
              </w:rPr>
              <w:t>17.</w:t>
            </w:r>
            <w:r w:rsidRPr="00307A57">
              <w:rPr>
                <w:rFonts w:ascii="Times New Roman" w:eastAsia="Times New Roman" w:hAnsi="Times New Roman" w:cs="Times New Roman"/>
                <w:color w:val="000000"/>
                <w:sz w:val="14"/>
                <w:szCs w:val="14"/>
                <w:lang w:eastAsia="en-GB"/>
              </w:rPr>
              <w:t xml:space="preserve">   </w:t>
            </w:r>
            <w:r w:rsidRPr="00307A57">
              <w:rPr>
                <w:rFonts w:ascii="Calibri" w:eastAsia="Times New Roman" w:hAnsi="Calibri" w:cs="Calibri"/>
                <w:color w:val="000000"/>
                <w:lang w:eastAsia="en-GB"/>
              </w:rPr>
              <w:t>Were the results internally consistent?</w:t>
            </w:r>
          </w:p>
        </w:tc>
        <w:tc>
          <w:tcPr>
            <w:tcW w:w="0" w:type="auto"/>
            <w:tcBorders>
              <w:top w:val="nil"/>
              <w:left w:val="nil"/>
              <w:bottom w:val="nil"/>
              <w:right w:val="nil"/>
            </w:tcBorders>
            <w:shd w:val="clear" w:color="D9D9D9" w:fill="D9D9D9"/>
            <w:noWrap/>
            <w:vAlign w:val="bottom"/>
            <w:hideMark/>
          </w:tcPr>
          <w:p w14:paraId="72FB76F1"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340EFE01"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3E3328FB"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4BB7FD00"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6C71BE57"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62A00B89"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30E77165"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39F5F560"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r>
      <w:tr w:rsidR="000B56EA" w:rsidRPr="00307A57" w14:paraId="740E99F8" w14:textId="77777777" w:rsidTr="000B56EA">
        <w:trPr>
          <w:trHeight w:val="290"/>
        </w:trPr>
        <w:tc>
          <w:tcPr>
            <w:tcW w:w="0" w:type="auto"/>
            <w:gridSpan w:val="2"/>
            <w:tcBorders>
              <w:top w:val="nil"/>
              <w:left w:val="nil"/>
              <w:bottom w:val="nil"/>
              <w:right w:val="nil"/>
            </w:tcBorders>
            <w:shd w:val="clear" w:color="auto" w:fill="auto"/>
            <w:noWrap/>
            <w:vAlign w:val="center"/>
            <w:hideMark/>
          </w:tcPr>
          <w:p w14:paraId="61862C11" w14:textId="77777777" w:rsidR="000B56EA" w:rsidRPr="00307A57" w:rsidRDefault="000B56EA" w:rsidP="000B56EA">
            <w:pPr>
              <w:spacing w:after="0" w:line="240" w:lineRule="auto"/>
              <w:ind w:firstLineChars="400" w:firstLine="880"/>
              <w:rPr>
                <w:rFonts w:ascii="Calibri" w:eastAsia="Times New Roman" w:hAnsi="Calibri" w:cs="Calibri"/>
                <w:color w:val="000000"/>
                <w:lang w:eastAsia="en-GB"/>
              </w:rPr>
            </w:pPr>
            <w:r w:rsidRPr="00307A57">
              <w:rPr>
                <w:rFonts w:ascii="Calibri" w:eastAsia="Times New Roman" w:hAnsi="Calibri" w:cs="Calibri"/>
                <w:color w:val="000000"/>
                <w:lang w:eastAsia="en-GB"/>
              </w:rPr>
              <w:t>18.</w:t>
            </w:r>
            <w:r w:rsidRPr="00307A57">
              <w:rPr>
                <w:rFonts w:ascii="Times New Roman" w:eastAsia="Times New Roman" w:hAnsi="Times New Roman" w:cs="Times New Roman"/>
                <w:color w:val="000000"/>
                <w:sz w:val="14"/>
                <w:szCs w:val="14"/>
                <w:lang w:eastAsia="en-GB"/>
              </w:rPr>
              <w:t xml:space="preserve">   </w:t>
            </w:r>
            <w:r w:rsidRPr="00307A57">
              <w:rPr>
                <w:rFonts w:ascii="Calibri" w:eastAsia="Times New Roman" w:hAnsi="Calibri" w:cs="Calibri"/>
                <w:color w:val="000000"/>
                <w:lang w:eastAsia="en-GB"/>
              </w:rPr>
              <w:t>Were the results presented for all analyses provided in the methods?#</w:t>
            </w:r>
          </w:p>
        </w:tc>
        <w:tc>
          <w:tcPr>
            <w:tcW w:w="0" w:type="auto"/>
            <w:tcBorders>
              <w:top w:val="nil"/>
              <w:left w:val="nil"/>
              <w:bottom w:val="nil"/>
              <w:right w:val="nil"/>
            </w:tcBorders>
            <w:shd w:val="clear" w:color="auto" w:fill="auto"/>
            <w:noWrap/>
            <w:vAlign w:val="bottom"/>
            <w:hideMark/>
          </w:tcPr>
          <w:p w14:paraId="735564B6"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2E058078"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241E5A3B"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3B784CB8"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11240D08"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2F14ABBF"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470D8EEF"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6E314AC7"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r>
      <w:tr w:rsidR="000B56EA" w:rsidRPr="00307A57" w14:paraId="586F9937" w14:textId="77777777" w:rsidTr="000B56EA">
        <w:trPr>
          <w:trHeight w:val="290"/>
        </w:trPr>
        <w:tc>
          <w:tcPr>
            <w:tcW w:w="0" w:type="auto"/>
            <w:tcBorders>
              <w:top w:val="nil"/>
              <w:left w:val="nil"/>
              <w:bottom w:val="nil"/>
              <w:right w:val="nil"/>
            </w:tcBorders>
            <w:shd w:val="clear" w:color="D9D9D9" w:fill="D9D9D9"/>
            <w:noWrap/>
            <w:vAlign w:val="center"/>
            <w:hideMark/>
          </w:tcPr>
          <w:p w14:paraId="6F35ABAA" w14:textId="77777777" w:rsidR="000B56EA" w:rsidRPr="00307A57" w:rsidRDefault="000B56EA" w:rsidP="000B56EA">
            <w:pPr>
              <w:spacing w:after="0" w:line="240" w:lineRule="auto"/>
              <w:rPr>
                <w:rFonts w:ascii="Calibri" w:eastAsia="Times New Roman" w:hAnsi="Calibri" w:cs="Calibri"/>
                <w:color w:val="000000"/>
                <w:lang w:eastAsia="en-GB"/>
              </w:rPr>
            </w:pPr>
            <w:r w:rsidRPr="00307A57">
              <w:rPr>
                <w:rFonts w:ascii="Calibri" w:eastAsia="Times New Roman" w:hAnsi="Calibri" w:cs="Calibri"/>
                <w:color w:val="000000"/>
                <w:lang w:eastAsia="en-GB"/>
              </w:rPr>
              <w:t>Discussion</w:t>
            </w:r>
          </w:p>
        </w:tc>
        <w:tc>
          <w:tcPr>
            <w:tcW w:w="0" w:type="auto"/>
            <w:tcBorders>
              <w:top w:val="nil"/>
              <w:left w:val="nil"/>
              <w:bottom w:val="nil"/>
              <w:right w:val="nil"/>
            </w:tcBorders>
            <w:shd w:val="clear" w:color="D9D9D9" w:fill="D9D9D9"/>
            <w:noWrap/>
            <w:vAlign w:val="bottom"/>
            <w:hideMark/>
          </w:tcPr>
          <w:p w14:paraId="79077A3D" w14:textId="77777777" w:rsidR="000B56EA" w:rsidRPr="00307A57" w:rsidRDefault="000B56EA" w:rsidP="000B56EA">
            <w:pPr>
              <w:spacing w:after="0" w:line="240" w:lineRule="auto"/>
              <w:rPr>
                <w:rFonts w:ascii="Calibri" w:eastAsia="Times New Roman" w:hAnsi="Calibri" w:cs="Calibri"/>
                <w:color w:val="000000"/>
                <w:lang w:eastAsia="en-GB"/>
              </w:rPr>
            </w:pPr>
          </w:p>
        </w:tc>
        <w:tc>
          <w:tcPr>
            <w:tcW w:w="0" w:type="auto"/>
            <w:tcBorders>
              <w:top w:val="nil"/>
              <w:left w:val="nil"/>
              <w:bottom w:val="nil"/>
              <w:right w:val="nil"/>
            </w:tcBorders>
            <w:shd w:val="clear" w:color="D9D9D9" w:fill="D9D9D9"/>
            <w:noWrap/>
            <w:vAlign w:val="bottom"/>
            <w:hideMark/>
          </w:tcPr>
          <w:p w14:paraId="2EE95C24"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D9D9D9" w:fill="D9D9D9"/>
            <w:noWrap/>
            <w:vAlign w:val="bottom"/>
            <w:hideMark/>
          </w:tcPr>
          <w:p w14:paraId="49808CCC"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D9D9D9" w:fill="D9D9D9"/>
            <w:noWrap/>
            <w:vAlign w:val="bottom"/>
            <w:hideMark/>
          </w:tcPr>
          <w:p w14:paraId="63A63F08"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D9D9D9" w:fill="D9D9D9"/>
            <w:noWrap/>
            <w:vAlign w:val="bottom"/>
            <w:hideMark/>
          </w:tcPr>
          <w:p w14:paraId="7BCCF656"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D9D9D9" w:fill="D9D9D9"/>
            <w:noWrap/>
            <w:vAlign w:val="bottom"/>
            <w:hideMark/>
          </w:tcPr>
          <w:p w14:paraId="011338AF"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D9D9D9" w:fill="D9D9D9"/>
            <w:noWrap/>
            <w:vAlign w:val="bottom"/>
            <w:hideMark/>
          </w:tcPr>
          <w:p w14:paraId="5972335E"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D9D9D9" w:fill="D9D9D9"/>
            <w:noWrap/>
            <w:vAlign w:val="bottom"/>
            <w:hideMark/>
          </w:tcPr>
          <w:p w14:paraId="0D2973EC"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D9D9D9" w:fill="D9D9D9"/>
            <w:noWrap/>
            <w:vAlign w:val="bottom"/>
            <w:hideMark/>
          </w:tcPr>
          <w:p w14:paraId="0A50CA5A"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r>
      <w:tr w:rsidR="000B56EA" w:rsidRPr="00307A57" w14:paraId="7586F45D" w14:textId="77777777" w:rsidTr="000B56EA">
        <w:trPr>
          <w:trHeight w:val="290"/>
        </w:trPr>
        <w:tc>
          <w:tcPr>
            <w:tcW w:w="0" w:type="auto"/>
            <w:gridSpan w:val="2"/>
            <w:tcBorders>
              <w:top w:val="nil"/>
              <w:left w:val="nil"/>
              <w:bottom w:val="nil"/>
              <w:right w:val="nil"/>
            </w:tcBorders>
            <w:shd w:val="clear" w:color="auto" w:fill="auto"/>
            <w:noWrap/>
            <w:vAlign w:val="center"/>
            <w:hideMark/>
          </w:tcPr>
          <w:p w14:paraId="4C55A780" w14:textId="77777777" w:rsidR="000B56EA" w:rsidRPr="00307A57" w:rsidRDefault="000B56EA" w:rsidP="000B56EA">
            <w:pPr>
              <w:spacing w:after="0" w:line="240" w:lineRule="auto"/>
              <w:ind w:firstLineChars="400" w:firstLine="880"/>
              <w:rPr>
                <w:rFonts w:ascii="Calibri" w:eastAsia="Times New Roman" w:hAnsi="Calibri" w:cs="Calibri"/>
                <w:color w:val="000000"/>
                <w:lang w:eastAsia="en-GB"/>
              </w:rPr>
            </w:pPr>
            <w:r w:rsidRPr="00307A57">
              <w:rPr>
                <w:rFonts w:ascii="Calibri" w:eastAsia="Times New Roman" w:hAnsi="Calibri" w:cs="Calibri"/>
                <w:color w:val="000000"/>
                <w:lang w:eastAsia="en-GB"/>
              </w:rPr>
              <w:t>19.</w:t>
            </w:r>
            <w:r w:rsidRPr="00307A57">
              <w:rPr>
                <w:rFonts w:ascii="Times New Roman" w:eastAsia="Times New Roman" w:hAnsi="Times New Roman" w:cs="Times New Roman"/>
                <w:color w:val="000000"/>
                <w:sz w:val="14"/>
                <w:szCs w:val="14"/>
                <w:lang w:eastAsia="en-GB"/>
              </w:rPr>
              <w:t xml:space="preserve">   </w:t>
            </w:r>
            <w:r w:rsidRPr="00307A57">
              <w:rPr>
                <w:rFonts w:ascii="Calibri" w:eastAsia="Times New Roman" w:hAnsi="Calibri" w:cs="Calibri"/>
                <w:color w:val="000000"/>
                <w:lang w:eastAsia="en-GB"/>
              </w:rPr>
              <w:t>Were the authors’ discussion and conclusion justified by the results?</w:t>
            </w:r>
          </w:p>
        </w:tc>
        <w:tc>
          <w:tcPr>
            <w:tcW w:w="0" w:type="auto"/>
            <w:tcBorders>
              <w:top w:val="nil"/>
              <w:left w:val="nil"/>
              <w:bottom w:val="nil"/>
              <w:right w:val="nil"/>
            </w:tcBorders>
            <w:shd w:val="clear" w:color="auto" w:fill="auto"/>
            <w:noWrap/>
            <w:vAlign w:val="bottom"/>
            <w:hideMark/>
          </w:tcPr>
          <w:p w14:paraId="0D07AF25"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7AD6E984"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21C96D4F"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47732905"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27F97CEF"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293AA7AE"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4A3F834B"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019CC039"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r>
      <w:tr w:rsidR="000B56EA" w:rsidRPr="00307A57" w14:paraId="6D75102C" w14:textId="77777777" w:rsidTr="000B56EA">
        <w:trPr>
          <w:trHeight w:val="290"/>
        </w:trPr>
        <w:tc>
          <w:tcPr>
            <w:tcW w:w="0" w:type="auto"/>
            <w:gridSpan w:val="2"/>
            <w:tcBorders>
              <w:top w:val="nil"/>
              <w:left w:val="nil"/>
              <w:bottom w:val="nil"/>
              <w:right w:val="nil"/>
            </w:tcBorders>
            <w:shd w:val="clear" w:color="D9D9D9" w:fill="D9D9D9"/>
            <w:noWrap/>
            <w:vAlign w:val="center"/>
            <w:hideMark/>
          </w:tcPr>
          <w:p w14:paraId="555993B0" w14:textId="77777777" w:rsidR="000B56EA" w:rsidRPr="00307A57" w:rsidRDefault="000B56EA" w:rsidP="000B56EA">
            <w:pPr>
              <w:spacing w:after="0" w:line="240" w:lineRule="auto"/>
              <w:ind w:firstLineChars="400" w:firstLine="880"/>
              <w:rPr>
                <w:rFonts w:ascii="Calibri" w:eastAsia="Times New Roman" w:hAnsi="Calibri" w:cs="Calibri"/>
                <w:color w:val="000000"/>
                <w:lang w:eastAsia="en-GB"/>
              </w:rPr>
            </w:pPr>
            <w:r w:rsidRPr="00307A57">
              <w:rPr>
                <w:rFonts w:ascii="Calibri" w:eastAsia="Times New Roman" w:hAnsi="Calibri" w:cs="Calibri"/>
                <w:color w:val="000000"/>
                <w:lang w:eastAsia="en-GB"/>
              </w:rPr>
              <w:t>20.</w:t>
            </w:r>
            <w:r w:rsidRPr="00307A57">
              <w:rPr>
                <w:rFonts w:ascii="Times New Roman" w:eastAsia="Times New Roman" w:hAnsi="Times New Roman" w:cs="Times New Roman"/>
                <w:color w:val="000000"/>
                <w:sz w:val="14"/>
                <w:szCs w:val="14"/>
                <w:lang w:eastAsia="en-GB"/>
              </w:rPr>
              <w:t xml:space="preserve">   </w:t>
            </w:r>
            <w:r w:rsidRPr="00307A57">
              <w:rPr>
                <w:rFonts w:ascii="Calibri" w:eastAsia="Times New Roman" w:hAnsi="Calibri" w:cs="Calibri"/>
                <w:color w:val="000000"/>
                <w:lang w:eastAsia="en-GB"/>
              </w:rPr>
              <w:t>Were the limitations of the study discussed</w:t>
            </w:r>
          </w:p>
        </w:tc>
        <w:tc>
          <w:tcPr>
            <w:tcW w:w="0" w:type="auto"/>
            <w:tcBorders>
              <w:top w:val="nil"/>
              <w:left w:val="nil"/>
              <w:bottom w:val="nil"/>
              <w:right w:val="nil"/>
            </w:tcBorders>
            <w:shd w:val="clear" w:color="D9D9D9" w:fill="D9D9D9"/>
            <w:noWrap/>
            <w:vAlign w:val="bottom"/>
            <w:hideMark/>
          </w:tcPr>
          <w:p w14:paraId="6883AEB6"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1ED26BEA"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0982A3C9"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73D21D33"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5EB71CCB"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31D88DE9"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5BC8E847"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4583D451"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r>
      <w:tr w:rsidR="000B56EA" w:rsidRPr="00307A57" w14:paraId="7DC790CA" w14:textId="77777777" w:rsidTr="000B56EA">
        <w:trPr>
          <w:trHeight w:val="290"/>
        </w:trPr>
        <w:tc>
          <w:tcPr>
            <w:tcW w:w="0" w:type="auto"/>
            <w:tcBorders>
              <w:top w:val="nil"/>
              <w:left w:val="nil"/>
              <w:bottom w:val="nil"/>
              <w:right w:val="nil"/>
            </w:tcBorders>
            <w:shd w:val="clear" w:color="auto" w:fill="auto"/>
            <w:noWrap/>
            <w:vAlign w:val="center"/>
            <w:hideMark/>
          </w:tcPr>
          <w:p w14:paraId="3EFA65A4" w14:textId="77777777" w:rsidR="000B56EA" w:rsidRPr="00307A57" w:rsidRDefault="000B56EA" w:rsidP="000B56EA">
            <w:pPr>
              <w:spacing w:after="0" w:line="240" w:lineRule="auto"/>
              <w:rPr>
                <w:rFonts w:ascii="Calibri" w:eastAsia="Times New Roman" w:hAnsi="Calibri" w:cs="Calibri"/>
                <w:color w:val="000000"/>
                <w:lang w:eastAsia="en-GB"/>
              </w:rPr>
            </w:pPr>
            <w:r w:rsidRPr="00307A57">
              <w:rPr>
                <w:rFonts w:ascii="Calibri" w:eastAsia="Times New Roman" w:hAnsi="Calibri" w:cs="Calibri"/>
                <w:color w:val="000000"/>
                <w:lang w:eastAsia="en-GB"/>
              </w:rPr>
              <w:t>Other</w:t>
            </w:r>
          </w:p>
        </w:tc>
        <w:tc>
          <w:tcPr>
            <w:tcW w:w="0" w:type="auto"/>
            <w:tcBorders>
              <w:top w:val="nil"/>
              <w:left w:val="nil"/>
              <w:bottom w:val="nil"/>
              <w:right w:val="nil"/>
            </w:tcBorders>
            <w:shd w:val="clear" w:color="auto" w:fill="auto"/>
            <w:noWrap/>
            <w:vAlign w:val="bottom"/>
            <w:hideMark/>
          </w:tcPr>
          <w:p w14:paraId="271A0F95" w14:textId="77777777" w:rsidR="000B56EA" w:rsidRPr="00307A57" w:rsidRDefault="000B56EA" w:rsidP="000B56EA">
            <w:pPr>
              <w:spacing w:after="0" w:line="240" w:lineRule="auto"/>
              <w:rPr>
                <w:rFonts w:ascii="Calibri" w:eastAsia="Times New Roman" w:hAnsi="Calibri" w:cs="Calibri"/>
                <w:color w:val="000000"/>
                <w:lang w:eastAsia="en-GB"/>
              </w:rPr>
            </w:pPr>
          </w:p>
        </w:tc>
        <w:tc>
          <w:tcPr>
            <w:tcW w:w="0" w:type="auto"/>
            <w:tcBorders>
              <w:top w:val="nil"/>
              <w:left w:val="nil"/>
              <w:bottom w:val="nil"/>
              <w:right w:val="nil"/>
            </w:tcBorders>
            <w:shd w:val="clear" w:color="auto" w:fill="auto"/>
            <w:noWrap/>
            <w:vAlign w:val="bottom"/>
            <w:hideMark/>
          </w:tcPr>
          <w:p w14:paraId="2DD49A27"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502A8789"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0A9E638C"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95D9DFD"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1782F297"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15A1521D"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68D7F268"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3F7B71BF" w14:textId="77777777" w:rsidR="000B56EA" w:rsidRPr="00307A57" w:rsidRDefault="000B56EA" w:rsidP="000B56EA">
            <w:pPr>
              <w:spacing w:after="0" w:line="240" w:lineRule="auto"/>
              <w:rPr>
                <w:rFonts w:ascii="Times New Roman" w:eastAsia="Times New Roman" w:hAnsi="Times New Roman" w:cs="Times New Roman"/>
                <w:sz w:val="20"/>
                <w:szCs w:val="20"/>
                <w:lang w:eastAsia="en-GB"/>
              </w:rPr>
            </w:pPr>
          </w:p>
        </w:tc>
      </w:tr>
      <w:tr w:rsidR="000B56EA" w:rsidRPr="00307A57" w14:paraId="74432624" w14:textId="77777777" w:rsidTr="000B56EA">
        <w:trPr>
          <w:trHeight w:val="290"/>
        </w:trPr>
        <w:tc>
          <w:tcPr>
            <w:tcW w:w="0" w:type="auto"/>
            <w:gridSpan w:val="2"/>
            <w:tcBorders>
              <w:top w:val="nil"/>
              <w:left w:val="nil"/>
              <w:bottom w:val="nil"/>
              <w:right w:val="nil"/>
            </w:tcBorders>
            <w:shd w:val="clear" w:color="D9D9D9" w:fill="D9D9D9"/>
            <w:noWrap/>
            <w:vAlign w:val="center"/>
            <w:hideMark/>
          </w:tcPr>
          <w:p w14:paraId="6C0A7E81" w14:textId="77777777" w:rsidR="000B56EA" w:rsidRPr="00307A57" w:rsidRDefault="000B56EA" w:rsidP="000B56EA">
            <w:pPr>
              <w:spacing w:after="0" w:line="240" w:lineRule="auto"/>
              <w:ind w:firstLineChars="400" w:firstLine="880"/>
              <w:rPr>
                <w:rFonts w:ascii="Calibri" w:eastAsia="Times New Roman" w:hAnsi="Calibri" w:cs="Calibri"/>
                <w:color w:val="000000"/>
                <w:lang w:eastAsia="en-GB"/>
              </w:rPr>
            </w:pPr>
            <w:r w:rsidRPr="00307A57">
              <w:rPr>
                <w:rFonts w:ascii="Calibri" w:eastAsia="Times New Roman" w:hAnsi="Calibri" w:cs="Calibri"/>
                <w:color w:val="000000"/>
                <w:lang w:eastAsia="en-GB"/>
              </w:rPr>
              <w:t>21.</w:t>
            </w:r>
            <w:r w:rsidRPr="00307A57">
              <w:rPr>
                <w:rFonts w:ascii="Times New Roman" w:eastAsia="Times New Roman" w:hAnsi="Times New Roman" w:cs="Times New Roman"/>
                <w:color w:val="000000"/>
                <w:sz w:val="14"/>
                <w:szCs w:val="14"/>
                <w:lang w:eastAsia="en-GB"/>
              </w:rPr>
              <w:t xml:space="preserve">   </w:t>
            </w:r>
            <w:r w:rsidRPr="00307A57">
              <w:rPr>
                <w:rFonts w:ascii="Calibri" w:eastAsia="Times New Roman" w:hAnsi="Calibri" w:cs="Calibri"/>
                <w:color w:val="000000"/>
                <w:lang w:eastAsia="en-GB"/>
              </w:rPr>
              <w:t>Were there any funding sources or conflicts of interest that may affect the author’s interpretation of results?</w:t>
            </w:r>
          </w:p>
        </w:tc>
        <w:tc>
          <w:tcPr>
            <w:tcW w:w="0" w:type="auto"/>
            <w:tcBorders>
              <w:top w:val="nil"/>
              <w:left w:val="nil"/>
              <w:bottom w:val="nil"/>
              <w:right w:val="nil"/>
            </w:tcBorders>
            <w:shd w:val="clear" w:color="D9D9D9" w:fill="D9D9D9"/>
            <w:noWrap/>
            <w:vAlign w:val="bottom"/>
            <w:hideMark/>
          </w:tcPr>
          <w:p w14:paraId="69A41512"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D9D9D9" w:fill="D9D9D9"/>
            <w:noWrap/>
            <w:vAlign w:val="bottom"/>
            <w:hideMark/>
          </w:tcPr>
          <w:p w14:paraId="56C93744"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D9D9D9" w:fill="D9D9D9"/>
            <w:noWrap/>
            <w:vAlign w:val="bottom"/>
            <w:hideMark/>
          </w:tcPr>
          <w:p w14:paraId="005A22D8"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D9D9D9" w:fill="D9D9D9"/>
            <w:noWrap/>
            <w:vAlign w:val="bottom"/>
            <w:hideMark/>
          </w:tcPr>
          <w:p w14:paraId="1CF7649B"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59DB4143"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D9D9D9" w:fill="D9D9D9"/>
            <w:noWrap/>
            <w:vAlign w:val="bottom"/>
            <w:hideMark/>
          </w:tcPr>
          <w:p w14:paraId="4B637CFC"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D9D9D9" w:fill="D9D9D9"/>
            <w:noWrap/>
            <w:vAlign w:val="bottom"/>
            <w:hideMark/>
          </w:tcPr>
          <w:p w14:paraId="42BE9AA0"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0</w:t>
            </w:r>
          </w:p>
        </w:tc>
        <w:tc>
          <w:tcPr>
            <w:tcW w:w="0" w:type="auto"/>
            <w:tcBorders>
              <w:top w:val="nil"/>
              <w:left w:val="nil"/>
              <w:bottom w:val="nil"/>
              <w:right w:val="nil"/>
            </w:tcBorders>
            <w:shd w:val="clear" w:color="D9D9D9" w:fill="D9D9D9"/>
            <w:noWrap/>
            <w:vAlign w:val="bottom"/>
            <w:hideMark/>
          </w:tcPr>
          <w:p w14:paraId="253EC61E"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r>
      <w:tr w:rsidR="000B56EA" w:rsidRPr="00307A57" w14:paraId="71481793" w14:textId="77777777" w:rsidTr="000B56EA">
        <w:trPr>
          <w:trHeight w:val="290"/>
        </w:trPr>
        <w:tc>
          <w:tcPr>
            <w:tcW w:w="0" w:type="auto"/>
            <w:gridSpan w:val="2"/>
            <w:tcBorders>
              <w:top w:val="nil"/>
              <w:left w:val="nil"/>
              <w:bottom w:val="nil"/>
              <w:right w:val="nil"/>
            </w:tcBorders>
            <w:shd w:val="clear" w:color="auto" w:fill="auto"/>
            <w:noWrap/>
            <w:vAlign w:val="center"/>
            <w:hideMark/>
          </w:tcPr>
          <w:p w14:paraId="4F1B2A97" w14:textId="77777777" w:rsidR="000B56EA" w:rsidRPr="00307A57" w:rsidRDefault="000B56EA" w:rsidP="000B56EA">
            <w:pPr>
              <w:spacing w:after="0" w:line="240" w:lineRule="auto"/>
              <w:ind w:firstLineChars="400" w:firstLine="880"/>
              <w:rPr>
                <w:rFonts w:ascii="Calibri" w:eastAsia="Times New Roman" w:hAnsi="Calibri" w:cs="Calibri"/>
                <w:color w:val="000000"/>
                <w:lang w:eastAsia="en-GB"/>
              </w:rPr>
            </w:pPr>
            <w:r w:rsidRPr="00307A57">
              <w:rPr>
                <w:rFonts w:ascii="Calibri" w:eastAsia="Times New Roman" w:hAnsi="Calibri" w:cs="Calibri"/>
                <w:color w:val="000000"/>
                <w:lang w:eastAsia="en-GB"/>
              </w:rPr>
              <w:t>22.</w:t>
            </w:r>
            <w:r w:rsidRPr="00307A57">
              <w:rPr>
                <w:rFonts w:ascii="Times New Roman" w:eastAsia="Times New Roman" w:hAnsi="Times New Roman" w:cs="Times New Roman"/>
                <w:color w:val="000000"/>
                <w:sz w:val="14"/>
                <w:szCs w:val="14"/>
                <w:lang w:eastAsia="en-GB"/>
              </w:rPr>
              <w:t xml:space="preserve">   </w:t>
            </w:r>
            <w:r w:rsidRPr="00307A57">
              <w:rPr>
                <w:rFonts w:ascii="Calibri" w:eastAsia="Times New Roman" w:hAnsi="Calibri" w:cs="Calibri"/>
                <w:color w:val="000000"/>
                <w:lang w:eastAsia="en-GB"/>
              </w:rPr>
              <w:t>Was ethical approval or consent of participants attained?</w:t>
            </w:r>
          </w:p>
        </w:tc>
        <w:tc>
          <w:tcPr>
            <w:tcW w:w="0" w:type="auto"/>
            <w:tcBorders>
              <w:top w:val="nil"/>
              <w:left w:val="nil"/>
              <w:bottom w:val="nil"/>
              <w:right w:val="nil"/>
            </w:tcBorders>
            <w:shd w:val="clear" w:color="auto" w:fill="auto"/>
            <w:noWrap/>
            <w:vAlign w:val="bottom"/>
            <w:hideMark/>
          </w:tcPr>
          <w:p w14:paraId="603DB1E7"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39DEDCF6"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35CF8E61"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7695DDE0"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6E6DD4E1"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068CBB58"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5FFBDF55"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c>
          <w:tcPr>
            <w:tcW w:w="0" w:type="auto"/>
            <w:tcBorders>
              <w:top w:val="nil"/>
              <w:left w:val="nil"/>
              <w:bottom w:val="nil"/>
              <w:right w:val="nil"/>
            </w:tcBorders>
            <w:shd w:val="clear" w:color="auto" w:fill="auto"/>
            <w:noWrap/>
            <w:vAlign w:val="bottom"/>
            <w:hideMark/>
          </w:tcPr>
          <w:p w14:paraId="5CB39AD7"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w:t>
            </w:r>
          </w:p>
        </w:tc>
      </w:tr>
      <w:tr w:rsidR="000B56EA" w:rsidRPr="00307A57" w14:paraId="3DA8F110" w14:textId="77777777" w:rsidTr="000B56EA">
        <w:trPr>
          <w:trHeight w:val="290"/>
        </w:trPr>
        <w:tc>
          <w:tcPr>
            <w:tcW w:w="0" w:type="auto"/>
            <w:tcBorders>
              <w:top w:val="nil"/>
              <w:left w:val="nil"/>
              <w:bottom w:val="nil"/>
              <w:right w:val="nil"/>
            </w:tcBorders>
            <w:shd w:val="clear" w:color="D9D9D9" w:fill="D9D9D9"/>
            <w:noWrap/>
            <w:vAlign w:val="center"/>
            <w:hideMark/>
          </w:tcPr>
          <w:p w14:paraId="75BD4AB3" w14:textId="77777777" w:rsidR="000B56EA" w:rsidRPr="00307A57" w:rsidRDefault="000B56EA" w:rsidP="000B56EA">
            <w:pPr>
              <w:spacing w:after="0" w:line="240" w:lineRule="auto"/>
              <w:ind w:firstLineChars="400" w:firstLine="880"/>
              <w:rPr>
                <w:rFonts w:ascii="Calibri" w:eastAsia="Times New Roman" w:hAnsi="Calibri" w:cs="Calibri"/>
                <w:color w:val="000000"/>
                <w:lang w:eastAsia="en-GB"/>
              </w:rPr>
            </w:pPr>
            <w:r w:rsidRPr="00307A57">
              <w:rPr>
                <w:rFonts w:ascii="Calibri" w:eastAsia="Times New Roman" w:hAnsi="Calibri" w:cs="Calibri"/>
                <w:color w:val="000000"/>
                <w:lang w:eastAsia="en-GB"/>
              </w:rPr>
              <w:t>Total</w:t>
            </w:r>
          </w:p>
        </w:tc>
        <w:tc>
          <w:tcPr>
            <w:tcW w:w="0" w:type="auto"/>
            <w:tcBorders>
              <w:top w:val="nil"/>
              <w:left w:val="nil"/>
              <w:bottom w:val="nil"/>
              <w:right w:val="nil"/>
            </w:tcBorders>
            <w:shd w:val="clear" w:color="D9D9D9" w:fill="D9D9D9"/>
            <w:noWrap/>
            <w:vAlign w:val="bottom"/>
            <w:hideMark/>
          </w:tcPr>
          <w:p w14:paraId="79E7AF3B" w14:textId="77777777" w:rsidR="000B56EA" w:rsidRPr="00307A57" w:rsidRDefault="000B56EA" w:rsidP="000B56EA">
            <w:pPr>
              <w:spacing w:after="0" w:line="240" w:lineRule="auto"/>
              <w:ind w:firstLineChars="400" w:firstLine="880"/>
              <w:rPr>
                <w:rFonts w:ascii="Calibri" w:eastAsia="Times New Roman" w:hAnsi="Calibri" w:cs="Calibri"/>
                <w:color w:val="000000"/>
                <w:lang w:eastAsia="en-GB"/>
              </w:rPr>
            </w:pPr>
          </w:p>
        </w:tc>
        <w:tc>
          <w:tcPr>
            <w:tcW w:w="0" w:type="auto"/>
            <w:tcBorders>
              <w:top w:val="nil"/>
              <w:left w:val="nil"/>
              <w:bottom w:val="nil"/>
              <w:right w:val="nil"/>
            </w:tcBorders>
            <w:shd w:val="clear" w:color="D9D9D9" w:fill="D9D9D9"/>
            <w:noWrap/>
            <w:vAlign w:val="bottom"/>
            <w:hideMark/>
          </w:tcPr>
          <w:p w14:paraId="483A7487"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15</w:t>
            </w:r>
          </w:p>
        </w:tc>
        <w:tc>
          <w:tcPr>
            <w:tcW w:w="0" w:type="auto"/>
            <w:tcBorders>
              <w:top w:val="nil"/>
              <w:left w:val="nil"/>
              <w:bottom w:val="nil"/>
              <w:right w:val="nil"/>
            </w:tcBorders>
            <w:shd w:val="clear" w:color="D9D9D9" w:fill="D9D9D9"/>
            <w:noWrap/>
            <w:vAlign w:val="bottom"/>
            <w:hideMark/>
          </w:tcPr>
          <w:p w14:paraId="05952FE5"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15</w:t>
            </w:r>
          </w:p>
        </w:tc>
        <w:tc>
          <w:tcPr>
            <w:tcW w:w="0" w:type="auto"/>
            <w:tcBorders>
              <w:top w:val="nil"/>
              <w:left w:val="nil"/>
              <w:bottom w:val="nil"/>
              <w:right w:val="nil"/>
            </w:tcBorders>
            <w:shd w:val="clear" w:color="D9D9D9" w:fill="D9D9D9"/>
            <w:noWrap/>
            <w:vAlign w:val="bottom"/>
            <w:hideMark/>
          </w:tcPr>
          <w:p w14:paraId="475B174B"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15</w:t>
            </w:r>
          </w:p>
        </w:tc>
        <w:tc>
          <w:tcPr>
            <w:tcW w:w="0" w:type="auto"/>
            <w:tcBorders>
              <w:top w:val="nil"/>
              <w:left w:val="nil"/>
              <w:bottom w:val="nil"/>
              <w:right w:val="nil"/>
            </w:tcBorders>
            <w:shd w:val="clear" w:color="D9D9D9" w:fill="D9D9D9"/>
            <w:noWrap/>
            <w:vAlign w:val="bottom"/>
            <w:hideMark/>
          </w:tcPr>
          <w:p w14:paraId="0C996D71"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16</w:t>
            </w:r>
          </w:p>
        </w:tc>
        <w:tc>
          <w:tcPr>
            <w:tcW w:w="0" w:type="auto"/>
            <w:tcBorders>
              <w:top w:val="nil"/>
              <w:left w:val="nil"/>
              <w:bottom w:val="nil"/>
              <w:right w:val="nil"/>
            </w:tcBorders>
            <w:shd w:val="clear" w:color="D9D9D9" w:fill="D9D9D9"/>
            <w:noWrap/>
            <w:vAlign w:val="bottom"/>
            <w:hideMark/>
          </w:tcPr>
          <w:p w14:paraId="75084FAE"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16</w:t>
            </w:r>
          </w:p>
        </w:tc>
        <w:tc>
          <w:tcPr>
            <w:tcW w:w="0" w:type="auto"/>
            <w:tcBorders>
              <w:top w:val="nil"/>
              <w:left w:val="nil"/>
              <w:bottom w:val="nil"/>
              <w:right w:val="nil"/>
            </w:tcBorders>
            <w:shd w:val="clear" w:color="D9D9D9" w:fill="D9D9D9"/>
            <w:noWrap/>
            <w:vAlign w:val="bottom"/>
            <w:hideMark/>
          </w:tcPr>
          <w:p w14:paraId="5AE5B8ED"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15</w:t>
            </w:r>
          </w:p>
        </w:tc>
        <w:tc>
          <w:tcPr>
            <w:tcW w:w="0" w:type="auto"/>
            <w:tcBorders>
              <w:top w:val="nil"/>
              <w:left w:val="nil"/>
              <w:bottom w:val="nil"/>
              <w:right w:val="nil"/>
            </w:tcBorders>
            <w:shd w:val="clear" w:color="D9D9D9" w:fill="D9D9D9"/>
            <w:noWrap/>
            <w:vAlign w:val="bottom"/>
            <w:hideMark/>
          </w:tcPr>
          <w:p w14:paraId="39F43989"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14</w:t>
            </w:r>
          </w:p>
        </w:tc>
        <w:tc>
          <w:tcPr>
            <w:tcW w:w="0" w:type="auto"/>
            <w:tcBorders>
              <w:top w:val="nil"/>
              <w:left w:val="nil"/>
              <w:bottom w:val="nil"/>
              <w:right w:val="nil"/>
            </w:tcBorders>
            <w:shd w:val="clear" w:color="D9D9D9" w:fill="D9D9D9"/>
            <w:noWrap/>
            <w:vAlign w:val="bottom"/>
            <w:hideMark/>
          </w:tcPr>
          <w:p w14:paraId="695003A6"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15</w:t>
            </w:r>
          </w:p>
        </w:tc>
      </w:tr>
      <w:tr w:rsidR="000B56EA" w:rsidRPr="00307A57" w14:paraId="451D9ED5" w14:textId="77777777" w:rsidTr="000B56EA">
        <w:trPr>
          <w:trHeight w:val="290"/>
        </w:trPr>
        <w:tc>
          <w:tcPr>
            <w:tcW w:w="0" w:type="auto"/>
            <w:gridSpan w:val="2"/>
            <w:tcBorders>
              <w:top w:val="nil"/>
              <w:left w:val="nil"/>
              <w:bottom w:val="single" w:sz="4" w:space="0" w:color="000000"/>
              <w:right w:val="nil"/>
            </w:tcBorders>
            <w:shd w:val="clear" w:color="auto" w:fill="auto"/>
            <w:noWrap/>
            <w:vAlign w:val="center"/>
            <w:hideMark/>
          </w:tcPr>
          <w:p w14:paraId="1534D306" w14:textId="77777777" w:rsidR="000B56EA" w:rsidRPr="00307A57" w:rsidRDefault="000B56EA" w:rsidP="000B56EA">
            <w:pPr>
              <w:spacing w:after="0" w:line="240" w:lineRule="auto"/>
              <w:ind w:firstLineChars="400" w:firstLine="880"/>
              <w:rPr>
                <w:rFonts w:ascii="Calibri" w:eastAsia="Times New Roman" w:hAnsi="Calibri" w:cs="Calibri"/>
                <w:color w:val="000000"/>
                <w:lang w:eastAsia="en-GB"/>
              </w:rPr>
            </w:pPr>
            <w:r w:rsidRPr="00307A57">
              <w:rPr>
                <w:rFonts w:ascii="Calibri" w:eastAsia="Times New Roman" w:hAnsi="Calibri" w:cs="Calibri"/>
                <w:color w:val="000000"/>
                <w:lang w:eastAsia="en-GB"/>
              </w:rPr>
              <w:t>Total %</w:t>
            </w:r>
          </w:p>
        </w:tc>
        <w:tc>
          <w:tcPr>
            <w:tcW w:w="0" w:type="auto"/>
            <w:tcBorders>
              <w:top w:val="nil"/>
              <w:left w:val="nil"/>
              <w:bottom w:val="single" w:sz="4" w:space="0" w:color="000000"/>
              <w:right w:val="nil"/>
            </w:tcBorders>
            <w:shd w:val="clear" w:color="auto" w:fill="auto"/>
            <w:noWrap/>
            <w:vAlign w:val="bottom"/>
            <w:hideMark/>
          </w:tcPr>
          <w:p w14:paraId="26904959"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75%</w:t>
            </w:r>
          </w:p>
        </w:tc>
        <w:tc>
          <w:tcPr>
            <w:tcW w:w="0" w:type="auto"/>
            <w:tcBorders>
              <w:top w:val="nil"/>
              <w:left w:val="nil"/>
              <w:bottom w:val="single" w:sz="4" w:space="0" w:color="000000"/>
              <w:right w:val="nil"/>
            </w:tcBorders>
            <w:shd w:val="clear" w:color="auto" w:fill="auto"/>
            <w:noWrap/>
            <w:vAlign w:val="bottom"/>
            <w:hideMark/>
          </w:tcPr>
          <w:p w14:paraId="085AAFB4"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75%</w:t>
            </w:r>
          </w:p>
        </w:tc>
        <w:tc>
          <w:tcPr>
            <w:tcW w:w="0" w:type="auto"/>
            <w:tcBorders>
              <w:top w:val="nil"/>
              <w:left w:val="nil"/>
              <w:bottom w:val="single" w:sz="4" w:space="0" w:color="000000"/>
              <w:right w:val="nil"/>
            </w:tcBorders>
            <w:shd w:val="clear" w:color="auto" w:fill="auto"/>
            <w:noWrap/>
            <w:vAlign w:val="bottom"/>
            <w:hideMark/>
          </w:tcPr>
          <w:p w14:paraId="1A13541A"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75%</w:t>
            </w:r>
          </w:p>
        </w:tc>
        <w:tc>
          <w:tcPr>
            <w:tcW w:w="0" w:type="auto"/>
            <w:tcBorders>
              <w:top w:val="nil"/>
              <w:left w:val="nil"/>
              <w:bottom w:val="single" w:sz="4" w:space="0" w:color="000000"/>
              <w:right w:val="nil"/>
            </w:tcBorders>
            <w:shd w:val="clear" w:color="auto" w:fill="auto"/>
            <w:noWrap/>
            <w:vAlign w:val="bottom"/>
            <w:hideMark/>
          </w:tcPr>
          <w:p w14:paraId="728E1666"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73%</w:t>
            </w:r>
          </w:p>
        </w:tc>
        <w:tc>
          <w:tcPr>
            <w:tcW w:w="0" w:type="auto"/>
            <w:tcBorders>
              <w:top w:val="nil"/>
              <w:left w:val="nil"/>
              <w:bottom w:val="single" w:sz="4" w:space="0" w:color="000000"/>
              <w:right w:val="nil"/>
            </w:tcBorders>
            <w:shd w:val="clear" w:color="auto" w:fill="auto"/>
            <w:noWrap/>
            <w:vAlign w:val="bottom"/>
            <w:hideMark/>
          </w:tcPr>
          <w:p w14:paraId="4FFE46A8"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73%</w:t>
            </w:r>
          </w:p>
        </w:tc>
        <w:tc>
          <w:tcPr>
            <w:tcW w:w="0" w:type="auto"/>
            <w:tcBorders>
              <w:top w:val="nil"/>
              <w:left w:val="nil"/>
              <w:bottom w:val="single" w:sz="4" w:space="0" w:color="000000"/>
              <w:right w:val="nil"/>
            </w:tcBorders>
            <w:shd w:val="clear" w:color="auto" w:fill="auto"/>
            <w:noWrap/>
            <w:vAlign w:val="bottom"/>
            <w:hideMark/>
          </w:tcPr>
          <w:p w14:paraId="68E981C1"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75%</w:t>
            </w:r>
          </w:p>
        </w:tc>
        <w:tc>
          <w:tcPr>
            <w:tcW w:w="0" w:type="auto"/>
            <w:tcBorders>
              <w:top w:val="nil"/>
              <w:left w:val="nil"/>
              <w:bottom w:val="single" w:sz="4" w:space="0" w:color="000000"/>
              <w:right w:val="nil"/>
            </w:tcBorders>
            <w:shd w:val="clear" w:color="auto" w:fill="auto"/>
            <w:noWrap/>
            <w:vAlign w:val="bottom"/>
            <w:hideMark/>
          </w:tcPr>
          <w:p w14:paraId="6123CA70"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70%</w:t>
            </w:r>
          </w:p>
        </w:tc>
        <w:tc>
          <w:tcPr>
            <w:tcW w:w="0" w:type="auto"/>
            <w:tcBorders>
              <w:top w:val="nil"/>
              <w:left w:val="nil"/>
              <w:bottom w:val="single" w:sz="4" w:space="0" w:color="000000"/>
              <w:right w:val="nil"/>
            </w:tcBorders>
            <w:shd w:val="clear" w:color="auto" w:fill="auto"/>
            <w:noWrap/>
            <w:vAlign w:val="bottom"/>
            <w:hideMark/>
          </w:tcPr>
          <w:p w14:paraId="351A1829" w14:textId="77777777" w:rsidR="000B56EA" w:rsidRPr="00307A57" w:rsidRDefault="000B56EA" w:rsidP="000B56EA">
            <w:pPr>
              <w:spacing w:after="0" w:line="240" w:lineRule="auto"/>
              <w:jc w:val="right"/>
              <w:rPr>
                <w:rFonts w:ascii="Calibri" w:eastAsia="Times New Roman" w:hAnsi="Calibri" w:cs="Calibri"/>
                <w:color w:val="000000"/>
                <w:lang w:eastAsia="en-GB"/>
              </w:rPr>
            </w:pPr>
            <w:r w:rsidRPr="00307A57">
              <w:rPr>
                <w:rFonts w:ascii="Calibri" w:eastAsia="Times New Roman" w:hAnsi="Calibri" w:cs="Calibri"/>
                <w:color w:val="000000"/>
                <w:lang w:eastAsia="en-GB"/>
              </w:rPr>
              <w:t>75%</w:t>
            </w:r>
          </w:p>
        </w:tc>
      </w:tr>
    </w:tbl>
    <w:p w14:paraId="4CDFD6D4" w14:textId="765A816C" w:rsidR="000B56EA" w:rsidRDefault="000B56EA" w:rsidP="009427A4">
      <w:pPr>
        <w:rPr>
          <w:rFonts w:cstheme="minorHAnsi"/>
          <w:sz w:val="24"/>
          <w:szCs w:val="24"/>
        </w:rPr>
      </w:pPr>
    </w:p>
    <w:p w14:paraId="0923FF7A" w14:textId="77777777" w:rsidR="000B56EA" w:rsidRDefault="000B56EA" w:rsidP="009427A4">
      <w:pPr>
        <w:rPr>
          <w:rFonts w:cstheme="minorHAnsi"/>
          <w:sz w:val="24"/>
          <w:szCs w:val="24"/>
        </w:rPr>
      </w:pPr>
    </w:p>
    <w:p w14:paraId="1D67F773" w14:textId="77777777" w:rsidR="009427A4" w:rsidRDefault="009427A4" w:rsidP="009427A4">
      <w:pPr>
        <w:pStyle w:val="NormalWeb"/>
        <w:spacing w:line="480" w:lineRule="auto"/>
        <w:ind w:left="720" w:hanging="720"/>
      </w:pPr>
    </w:p>
    <w:tbl>
      <w:tblPr>
        <w:tblW w:w="5000" w:type="pct"/>
        <w:tblLook w:val="04A0" w:firstRow="1" w:lastRow="0" w:firstColumn="1" w:lastColumn="0" w:noHBand="0" w:noVBand="1"/>
      </w:tblPr>
      <w:tblGrid>
        <w:gridCol w:w="4000"/>
        <w:gridCol w:w="2094"/>
        <w:gridCol w:w="873"/>
        <w:gridCol w:w="887"/>
        <w:gridCol w:w="869"/>
        <w:gridCol w:w="785"/>
        <w:gridCol w:w="882"/>
        <w:gridCol w:w="876"/>
        <w:gridCol w:w="828"/>
        <w:gridCol w:w="900"/>
        <w:gridCol w:w="964"/>
      </w:tblGrid>
      <w:tr w:rsidR="000B56EA" w:rsidRPr="00112C70" w14:paraId="1935F0A9" w14:textId="77777777" w:rsidTr="000B56EA">
        <w:trPr>
          <w:trHeight w:val="290"/>
        </w:trPr>
        <w:tc>
          <w:tcPr>
            <w:tcW w:w="2011" w:type="pct"/>
            <w:tcBorders>
              <w:top w:val="nil"/>
              <w:left w:val="nil"/>
              <w:bottom w:val="nil"/>
              <w:right w:val="nil"/>
            </w:tcBorders>
            <w:shd w:val="clear" w:color="D9D9D9" w:fill="D9D9D9"/>
            <w:noWrap/>
            <w:vAlign w:val="bottom"/>
            <w:hideMark/>
          </w:tcPr>
          <w:p w14:paraId="77742B14" w14:textId="77777777" w:rsidR="000B56EA" w:rsidRPr="00112C70" w:rsidRDefault="000B56EA" w:rsidP="000B56EA">
            <w:pPr>
              <w:spacing w:after="0" w:line="240" w:lineRule="auto"/>
              <w:rPr>
                <w:rFonts w:ascii="Times New Roman" w:eastAsia="Times New Roman" w:hAnsi="Times New Roman" w:cs="Times New Roman"/>
                <w:sz w:val="24"/>
                <w:szCs w:val="24"/>
                <w:lang w:eastAsia="en-GB"/>
              </w:rPr>
            </w:pPr>
          </w:p>
        </w:tc>
        <w:tc>
          <w:tcPr>
            <w:tcW w:w="1020" w:type="pct"/>
            <w:tcBorders>
              <w:top w:val="nil"/>
              <w:left w:val="nil"/>
              <w:bottom w:val="nil"/>
              <w:right w:val="nil"/>
            </w:tcBorders>
            <w:shd w:val="clear" w:color="D9D9D9" w:fill="D9D9D9"/>
            <w:noWrap/>
            <w:vAlign w:val="bottom"/>
            <w:hideMark/>
          </w:tcPr>
          <w:p w14:paraId="3EA58D3D"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D9D9D9" w:fill="D9D9D9"/>
            <w:noWrap/>
            <w:vAlign w:val="bottom"/>
            <w:hideMark/>
          </w:tcPr>
          <w:p w14:paraId="70282803" w14:textId="77777777" w:rsidR="000B56EA" w:rsidRPr="00112C70" w:rsidRDefault="000B56EA" w:rsidP="000B56EA">
            <w:pPr>
              <w:spacing w:after="0" w:line="240" w:lineRule="auto"/>
              <w:rPr>
                <w:rFonts w:ascii="Calibri" w:eastAsia="Times New Roman" w:hAnsi="Calibri" w:cs="Calibri"/>
                <w:color w:val="000000"/>
                <w:lang w:eastAsia="en-GB"/>
              </w:rPr>
            </w:pPr>
            <w:r w:rsidRPr="00112C70">
              <w:rPr>
                <w:rFonts w:ascii="Calibri" w:eastAsia="Times New Roman" w:hAnsi="Calibri" w:cs="Calibri"/>
                <w:color w:val="000000"/>
                <w:lang w:eastAsia="en-GB"/>
              </w:rPr>
              <w:t>O’Brien et al., 2021</w:t>
            </w:r>
          </w:p>
        </w:tc>
        <w:tc>
          <w:tcPr>
            <w:tcW w:w="217" w:type="pct"/>
            <w:tcBorders>
              <w:top w:val="nil"/>
              <w:left w:val="nil"/>
              <w:bottom w:val="nil"/>
              <w:right w:val="nil"/>
            </w:tcBorders>
            <w:shd w:val="clear" w:color="D9D9D9" w:fill="D9D9D9"/>
            <w:noWrap/>
            <w:vAlign w:val="bottom"/>
            <w:hideMark/>
          </w:tcPr>
          <w:p w14:paraId="4F93E689" w14:textId="77777777" w:rsidR="000B56EA" w:rsidRPr="00112C70" w:rsidRDefault="000B56EA" w:rsidP="000B56EA">
            <w:pPr>
              <w:spacing w:after="0" w:line="240" w:lineRule="auto"/>
              <w:rPr>
                <w:rFonts w:ascii="Calibri" w:eastAsia="Times New Roman" w:hAnsi="Calibri" w:cs="Calibri"/>
                <w:color w:val="000000"/>
                <w:lang w:eastAsia="en-GB"/>
              </w:rPr>
            </w:pPr>
            <w:r w:rsidRPr="00112C70">
              <w:rPr>
                <w:rFonts w:ascii="Calibri" w:eastAsia="Times New Roman" w:hAnsi="Calibri" w:cs="Calibri"/>
                <w:color w:val="000000"/>
                <w:lang w:eastAsia="en-GB"/>
              </w:rPr>
              <w:t>Oglesby et al., 2016</w:t>
            </w:r>
          </w:p>
        </w:tc>
        <w:tc>
          <w:tcPr>
            <w:tcW w:w="217" w:type="pct"/>
            <w:tcBorders>
              <w:top w:val="nil"/>
              <w:left w:val="nil"/>
              <w:bottom w:val="nil"/>
              <w:right w:val="nil"/>
            </w:tcBorders>
            <w:shd w:val="clear" w:color="D9D9D9" w:fill="D9D9D9"/>
            <w:noWrap/>
            <w:vAlign w:val="bottom"/>
            <w:hideMark/>
          </w:tcPr>
          <w:p w14:paraId="780001E3" w14:textId="77777777" w:rsidR="000B56EA" w:rsidRPr="00112C70" w:rsidRDefault="000B56EA" w:rsidP="000B56EA">
            <w:pPr>
              <w:spacing w:after="0" w:line="240" w:lineRule="auto"/>
              <w:rPr>
                <w:rFonts w:ascii="Calibri" w:eastAsia="Times New Roman" w:hAnsi="Calibri" w:cs="Calibri"/>
                <w:color w:val="000000"/>
                <w:lang w:eastAsia="en-GB"/>
              </w:rPr>
            </w:pPr>
            <w:r w:rsidRPr="00112C70">
              <w:rPr>
                <w:rFonts w:ascii="Calibri" w:eastAsia="Times New Roman" w:hAnsi="Calibri" w:cs="Calibri"/>
                <w:color w:val="000000"/>
                <w:lang w:eastAsia="en-GB"/>
              </w:rPr>
              <w:t>Penney et al., 2020</w:t>
            </w:r>
          </w:p>
        </w:tc>
        <w:tc>
          <w:tcPr>
            <w:tcW w:w="217" w:type="pct"/>
            <w:tcBorders>
              <w:top w:val="nil"/>
              <w:left w:val="nil"/>
              <w:bottom w:val="nil"/>
              <w:right w:val="nil"/>
            </w:tcBorders>
            <w:shd w:val="clear" w:color="D9D9D9" w:fill="D9D9D9"/>
            <w:noWrap/>
            <w:vAlign w:val="bottom"/>
            <w:hideMark/>
          </w:tcPr>
          <w:p w14:paraId="335565CA" w14:textId="77777777" w:rsidR="000B56EA" w:rsidRPr="00112C70" w:rsidRDefault="000B56EA" w:rsidP="000B56EA">
            <w:pPr>
              <w:spacing w:after="0" w:line="240" w:lineRule="auto"/>
              <w:rPr>
                <w:rFonts w:ascii="Calibri" w:eastAsia="Times New Roman" w:hAnsi="Calibri" w:cs="Calibri"/>
                <w:color w:val="000000"/>
                <w:lang w:eastAsia="en-GB"/>
              </w:rPr>
            </w:pPr>
            <w:r w:rsidRPr="00112C70">
              <w:rPr>
                <w:rFonts w:ascii="Calibri" w:eastAsia="Times New Roman" w:hAnsi="Calibri" w:cs="Calibri"/>
                <w:color w:val="000000"/>
                <w:lang w:eastAsia="en-GB"/>
              </w:rPr>
              <w:t>Price et al., 2020</w:t>
            </w:r>
          </w:p>
        </w:tc>
        <w:tc>
          <w:tcPr>
            <w:tcW w:w="217" w:type="pct"/>
            <w:tcBorders>
              <w:top w:val="nil"/>
              <w:left w:val="nil"/>
              <w:bottom w:val="nil"/>
              <w:right w:val="nil"/>
            </w:tcBorders>
            <w:shd w:val="clear" w:color="D9D9D9" w:fill="D9D9D9"/>
            <w:noWrap/>
            <w:vAlign w:val="bottom"/>
            <w:hideMark/>
          </w:tcPr>
          <w:p w14:paraId="6E2EC7D4" w14:textId="77777777" w:rsidR="000B56EA" w:rsidRPr="00112C70" w:rsidRDefault="000B56EA" w:rsidP="000B56EA">
            <w:pPr>
              <w:spacing w:after="0" w:line="240" w:lineRule="auto"/>
              <w:rPr>
                <w:rFonts w:ascii="Calibri" w:eastAsia="Times New Roman" w:hAnsi="Calibri" w:cs="Calibri"/>
                <w:color w:val="000000"/>
                <w:lang w:eastAsia="en-GB"/>
              </w:rPr>
            </w:pPr>
            <w:r w:rsidRPr="00112C70">
              <w:rPr>
                <w:rFonts w:ascii="Calibri" w:eastAsia="Times New Roman" w:hAnsi="Calibri" w:cs="Calibri"/>
                <w:color w:val="000000"/>
                <w:lang w:eastAsia="en-GB"/>
              </w:rPr>
              <w:t>Roberts et al., 2021</w:t>
            </w:r>
          </w:p>
        </w:tc>
        <w:tc>
          <w:tcPr>
            <w:tcW w:w="217" w:type="pct"/>
            <w:tcBorders>
              <w:top w:val="nil"/>
              <w:left w:val="nil"/>
              <w:bottom w:val="nil"/>
              <w:right w:val="nil"/>
            </w:tcBorders>
            <w:shd w:val="clear" w:color="auto" w:fill="D9D9D9" w:themeFill="background1" w:themeFillShade="D9"/>
            <w:noWrap/>
            <w:vAlign w:val="bottom"/>
            <w:hideMark/>
          </w:tcPr>
          <w:p w14:paraId="13B4FADE" w14:textId="77777777" w:rsidR="000B56EA" w:rsidRPr="000B56EA" w:rsidRDefault="000B56EA" w:rsidP="000B56EA">
            <w:pPr>
              <w:spacing w:after="0" w:line="240" w:lineRule="auto"/>
              <w:rPr>
                <w:rFonts w:ascii="Calibri" w:eastAsia="Times New Roman" w:hAnsi="Calibri" w:cs="Calibri"/>
                <w:color w:val="000000"/>
                <w:highlight w:val="lightGray"/>
                <w:lang w:eastAsia="en-GB"/>
              </w:rPr>
            </w:pPr>
            <w:r w:rsidRPr="000B56EA">
              <w:rPr>
                <w:rFonts w:ascii="Calibri" w:eastAsia="Times New Roman" w:hAnsi="Calibri" w:cs="Calibri"/>
                <w:color w:val="000000"/>
                <w:lang w:eastAsia="en-GB"/>
              </w:rPr>
              <w:t>Shapiro et al., 2022</w:t>
            </w:r>
          </w:p>
        </w:tc>
        <w:tc>
          <w:tcPr>
            <w:tcW w:w="217" w:type="pct"/>
            <w:tcBorders>
              <w:top w:val="nil"/>
              <w:left w:val="nil"/>
              <w:bottom w:val="nil"/>
              <w:right w:val="nil"/>
            </w:tcBorders>
            <w:shd w:val="clear" w:color="D9D9D9" w:fill="D9D9D9"/>
            <w:noWrap/>
            <w:vAlign w:val="bottom"/>
            <w:hideMark/>
          </w:tcPr>
          <w:p w14:paraId="2108CB07" w14:textId="77777777" w:rsidR="000B56EA" w:rsidRPr="00112C70" w:rsidRDefault="000B56EA" w:rsidP="000B56EA">
            <w:pPr>
              <w:spacing w:after="0" w:line="240" w:lineRule="auto"/>
              <w:rPr>
                <w:rFonts w:ascii="Calibri" w:eastAsia="Times New Roman" w:hAnsi="Calibri" w:cs="Calibri"/>
                <w:color w:val="000000"/>
                <w:lang w:eastAsia="en-GB"/>
              </w:rPr>
            </w:pPr>
            <w:r w:rsidRPr="00112C70">
              <w:rPr>
                <w:rFonts w:ascii="Calibri" w:eastAsia="Times New Roman" w:hAnsi="Calibri" w:cs="Calibri"/>
                <w:color w:val="000000"/>
                <w:lang w:eastAsia="en-GB"/>
              </w:rPr>
              <w:t>Taylor et al., 2007</w:t>
            </w:r>
          </w:p>
        </w:tc>
        <w:tc>
          <w:tcPr>
            <w:tcW w:w="217" w:type="pct"/>
            <w:tcBorders>
              <w:top w:val="nil"/>
              <w:left w:val="nil"/>
              <w:bottom w:val="nil"/>
              <w:right w:val="nil"/>
            </w:tcBorders>
            <w:shd w:val="clear" w:color="D9D9D9" w:fill="D9D9D9"/>
            <w:noWrap/>
            <w:vAlign w:val="bottom"/>
            <w:hideMark/>
          </w:tcPr>
          <w:p w14:paraId="69617DBE" w14:textId="77777777" w:rsidR="000B56EA" w:rsidRPr="00112C70" w:rsidRDefault="000B56EA" w:rsidP="000B56EA">
            <w:pPr>
              <w:spacing w:after="0" w:line="240" w:lineRule="auto"/>
              <w:rPr>
                <w:rFonts w:ascii="Calibri" w:eastAsia="Times New Roman" w:hAnsi="Calibri" w:cs="Calibri"/>
                <w:color w:val="000000"/>
                <w:lang w:eastAsia="en-GB"/>
              </w:rPr>
            </w:pPr>
            <w:r w:rsidRPr="00112C70">
              <w:rPr>
                <w:rFonts w:ascii="Calibri" w:eastAsia="Times New Roman" w:hAnsi="Calibri" w:cs="Calibri"/>
                <w:color w:val="000000"/>
                <w:lang w:eastAsia="en-GB"/>
              </w:rPr>
              <w:t>Vazquez et al., 2021</w:t>
            </w:r>
          </w:p>
        </w:tc>
        <w:tc>
          <w:tcPr>
            <w:tcW w:w="236" w:type="pct"/>
            <w:tcBorders>
              <w:top w:val="nil"/>
              <w:left w:val="nil"/>
              <w:bottom w:val="nil"/>
              <w:right w:val="nil"/>
            </w:tcBorders>
            <w:shd w:val="clear" w:color="D9D9D9" w:fill="D9D9D9"/>
            <w:noWrap/>
            <w:vAlign w:val="bottom"/>
            <w:hideMark/>
          </w:tcPr>
          <w:p w14:paraId="5C21D6AF" w14:textId="77777777" w:rsidR="000B56EA" w:rsidRPr="00112C70" w:rsidRDefault="000B56EA" w:rsidP="000B56EA">
            <w:pPr>
              <w:spacing w:after="0" w:line="240" w:lineRule="auto"/>
              <w:rPr>
                <w:rFonts w:ascii="Calibri" w:eastAsia="Times New Roman" w:hAnsi="Calibri" w:cs="Calibri"/>
                <w:color w:val="000000"/>
                <w:lang w:eastAsia="en-GB"/>
              </w:rPr>
            </w:pPr>
            <w:r w:rsidRPr="00112C70">
              <w:rPr>
                <w:rFonts w:ascii="Calibri" w:eastAsia="Times New Roman" w:hAnsi="Calibri" w:cs="Calibri"/>
                <w:color w:val="000000"/>
                <w:lang w:eastAsia="en-GB"/>
              </w:rPr>
              <w:t>Zerach &amp; Magal, 2016</w:t>
            </w:r>
          </w:p>
        </w:tc>
      </w:tr>
      <w:tr w:rsidR="000B56EA" w:rsidRPr="00112C70" w14:paraId="190397A4" w14:textId="77777777" w:rsidTr="000B56EA">
        <w:trPr>
          <w:trHeight w:val="290"/>
        </w:trPr>
        <w:tc>
          <w:tcPr>
            <w:tcW w:w="3031" w:type="pct"/>
            <w:gridSpan w:val="2"/>
            <w:tcBorders>
              <w:top w:val="nil"/>
              <w:left w:val="nil"/>
              <w:bottom w:val="nil"/>
              <w:right w:val="nil"/>
            </w:tcBorders>
            <w:shd w:val="clear" w:color="auto" w:fill="auto"/>
            <w:noWrap/>
            <w:vAlign w:val="center"/>
            <w:hideMark/>
          </w:tcPr>
          <w:p w14:paraId="455E4B40" w14:textId="77777777" w:rsidR="000B56EA" w:rsidRPr="00112C70" w:rsidRDefault="000B56EA" w:rsidP="000B56EA">
            <w:pPr>
              <w:spacing w:after="0" w:line="240" w:lineRule="auto"/>
              <w:rPr>
                <w:rFonts w:ascii="Calibri" w:eastAsia="Times New Roman" w:hAnsi="Calibri" w:cs="Calibri"/>
                <w:i/>
                <w:iCs/>
                <w:color w:val="000000"/>
                <w:lang w:eastAsia="en-GB"/>
              </w:rPr>
            </w:pPr>
            <w:r w:rsidRPr="00112C70">
              <w:rPr>
                <w:rFonts w:ascii="Calibri" w:eastAsia="Times New Roman" w:hAnsi="Calibri" w:cs="Calibri"/>
                <w:i/>
                <w:iCs/>
                <w:color w:val="000000"/>
                <w:lang w:eastAsia="en-GB"/>
              </w:rPr>
              <w:lastRenderedPageBreak/>
              <w:t>Introduction</w:t>
            </w:r>
          </w:p>
        </w:tc>
        <w:tc>
          <w:tcPr>
            <w:tcW w:w="217" w:type="pct"/>
            <w:tcBorders>
              <w:top w:val="nil"/>
              <w:left w:val="nil"/>
              <w:bottom w:val="nil"/>
              <w:right w:val="nil"/>
            </w:tcBorders>
            <w:shd w:val="clear" w:color="auto" w:fill="auto"/>
            <w:noWrap/>
            <w:vAlign w:val="bottom"/>
            <w:hideMark/>
          </w:tcPr>
          <w:p w14:paraId="4D79B782" w14:textId="77777777" w:rsidR="000B56EA" w:rsidRPr="00112C70" w:rsidRDefault="000B56EA" w:rsidP="000B56EA">
            <w:pPr>
              <w:spacing w:after="0" w:line="240" w:lineRule="auto"/>
              <w:rPr>
                <w:rFonts w:ascii="Calibri" w:eastAsia="Times New Roman" w:hAnsi="Calibri" w:cs="Calibri"/>
                <w:i/>
                <w:iCs/>
                <w:color w:val="000000"/>
                <w:lang w:eastAsia="en-GB"/>
              </w:rPr>
            </w:pPr>
          </w:p>
        </w:tc>
        <w:tc>
          <w:tcPr>
            <w:tcW w:w="217" w:type="pct"/>
            <w:tcBorders>
              <w:top w:val="nil"/>
              <w:left w:val="nil"/>
              <w:bottom w:val="nil"/>
              <w:right w:val="nil"/>
            </w:tcBorders>
            <w:shd w:val="clear" w:color="auto" w:fill="auto"/>
            <w:noWrap/>
            <w:vAlign w:val="bottom"/>
            <w:hideMark/>
          </w:tcPr>
          <w:p w14:paraId="5181C739"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auto" w:fill="auto"/>
            <w:noWrap/>
            <w:vAlign w:val="bottom"/>
            <w:hideMark/>
          </w:tcPr>
          <w:p w14:paraId="7AC4BD1B"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auto" w:fill="auto"/>
            <w:noWrap/>
            <w:vAlign w:val="bottom"/>
            <w:hideMark/>
          </w:tcPr>
          <w:p w14:paraId="6897A81F"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auto" w:fill="auto"/>
            <w:noWrap/>
            <w:vAlign w:val="bottom"/>
            <w:hideMark/>
          </w:tcPr>
          <w:p w14:paraId="1D199C15"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auto" w:fill="auto"/>
            <w:noWrap/>
            <w:vAlign w:val="bottom"/>
            <w:hideMark/>
          </w:tcPr>
          <w:p w14:paraId="7A859DE7"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auto" w:fill="auto"/>
            <w:noWrap/>
            <w:vAlign w:val="bottom"/>
            <w:hideMark/>
          </w:tcPr>
          <w:p w14:paraId="7307A3AC"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auto" w:fill="auto"/>
            <w:noWrap/>
            <w:vAlign w:val="bottom"/>
            <w:hideMark/>
          </w:tcPr>
          <w:p w14:paraId="071EE7F6"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36" w:type="pct"/>
            <w:tcBorders>
              <w:top w:val="nil"/>
              <w:left w:val="nil"/>
              <w:bottom w:val="nil"/>
              <w:right w:val="nil"/>
            </w:tcBorders>
            <w:shd w:val="clear" w:color="auto" w:fill="auto"/>
            <w:noWrap/>
            <w:vAlign w:val="bottom"/>
            <w:hideMark/>
          </w:tcPr>
          <w:p w14:paraId="47B58030"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r>
      <w:tr w:rsidR="000B56EA" w:rsidRPr="00112C70" w14:paraId="757CF740" w14:textId="77777777" w:rsidTr="000B56EA">
        <w:trPr>
          <w:trHeight w:val="290"/>
        </w:trPr>
        <w:tc>
          <w:tcPr>
            <w:tcW w:w="3031" w:type="pct"/>
            <w:gridSpan w:val="2"/>
            <w:tcBorders>
              <w:top w:val="nil"/>
              <w:left w:val="nil"/>
              <w:bottom w:val="nil"/>
              <w:right w:val="nil"/>
            </w:tcBorders>
            <w:shd w:val="clear" w:color="D9D9D9" w:fill="D9D9D9"/>
            <w:noWrap/>
            <w:vAlign w:val="center"/>
            <w:hideMark/>
          </w:tcPr>
          <w:p w14:paraId="39DD3F20" w14:textId="77777777" w:rsidR="000B56EA" w:rsidRPr="00112C70" w:rsidRDefault="000B56EA" w:rsidP="000B56EA">
            <w:pPr>
              <w:spacing w:after="0" w:line="240" w:lineRule="auto"/>
              <w:ind w:firstLineChars="400" w:firstLine="880"/>
              <w:rPr>
                <w:rFonts w:ascii="Calibri" w:eastAsia="Times New Roman" w:hAnsi="Calibri" w:cs="Calibri"/>
                <w:color w:val="000000"/>
                <w:lang w:eastAsia="en-GB"/>
              </w:rPr>
            </w:pPr>
            <w:r w:rsidRPr="00112C70">
              <w:rPr>
                <w:rFonts w:ascii="Calibri" w:eastAsia="Times New Roman" w:hAnsi="Calibri" w:cs="Calibri"/>
                <w:color w:val="000000"/>
                <w:lang w:eastAsia="en-GB"/>
              </w:rPr>
              <w:t>1.</w:t>
            </w:r>
            <w:r w:rsidRPr="00112C70">
              <w:rPr>
                <w:rFonts w:ascii="Times New Roman" w:eastAsia="Times New Roman" w:hAnsi="Times New Roman" w:cs="Times New Roman"/>
                <w:color w:val="000000"/>
                <w:sz w:val="14"/>
                <w:szCs w:val="14"/>
                <w:lang w:eastAsia="en-GB"/>
              </w:rPr>
              <w:t xml:space="preserve">       </w:t>
            </w:r>
            <w:r w:rsidRPr="00112C70">
              <w:rPr>
                <w:rFonts w:ascii="Calibri" w:eastAsia="Times New Roman" w:hAnsi="Calibri" w:cs="Calibri"/>
                <w:color w:val="000000"/>
                <w:lang w:eastAsia="en-GB"/>
              </w:rPr>
              <w:t>Were the aims/objectives of the study clear</w:t>
            </w:r>
          </w:p>
        </w:tc>
        <w:tc>
          <w:tcPr>
            <w:tcW w:w="217" w:type="pct"/>
            <w:tcBorders>
              <w:top w:val="nil"/>
              <w:left w:val="nil"/>
              <w:bottom w:val="nil"/>
              <w:right w:val="nil"/>
            </w:tcBorders>
            <w:shd w:val="clear" w:color="D9D9D9" w:fill="D9D9D9"/>
            <w:noWrap/>
            <w:vAlign w:val="bottom"/>
            <w:hideMark/>
          </w:tcPr>
          <w:p w14:paraId="77CB9294"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57C31D71"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734D649E"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7B1A092A"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30DE958E"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661C47D1"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65FC17F5"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132FF596"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36" w:type="pct"/>
            <w:tcBorders>
              <w:top w:val="nil"/>
              <w:left w:val="nil"/>
              <w:bottom w:val="nil"/>
              <w:right w:val="nil"/>
            </w:tcBorders>
            <w:shd w:val="clear" w:color="D9D9D9" w:fill="D9D9D9"/>
            <w:noWrap/>
            <w:vAlign w:val="bottom"/>
            <w:hideMark/>
          </w:tcPr>
          <w:p w14:paraId="31ED3E54"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r>
      <w:tr w:rsidR="000B56EA" w:rsidRPr="00112C70" w14:paraId="0EF014C3" w14:textId="77777777" w:rsidTr="000B56EA">
        <w:trPr>
          <w:trHeight w:val="290"/>
        </w:trPr>
        <w:tc>
          <w:tcPr>
            <w:tcW w:w="2011" w:type="pct"/>
            <w:tcBorders>
              <w:top w:val="nil"/>
              <w:left w:val="nil"/>
              <w:bottom w:val="nil"/>
              <w:right w:val="nil"/>
            </w:tcBorders>
            <w:shd w:val="clear" w:color="auto" w:fill="auto"/>
            <w:noWrap/>
            <w:vAlign w:val="center"/>
            <w:hideMark/>
          </w:tcPr>
          <w:p w14:paraId="5626512D" w14:textId="77777777" w:rsidR="000B56EA" w:rsidRPr="00112C70" w:rsidRDefault="000B56EA" w:rsidP="000B56EA">
            <w:pPr>
              <w:spacing w:after="0" w:line="240" w:lineRule="auto"/>
              <w:rPr>
                <w:rFonts w:ascii="Calibri" w:eastAsia="Times New Roman" w:hAnsi="Calibri" w:cs="Calibri"/>
                <w:i/>
                <w:iCs/>
                <w:color w:val="000000"/>
                <w:lang w:eastAsia="en-GB"/>
              </w:rPr>
            </w:pPr>
            <w:r w:rsidRPr="00112C70">
              <w:rPr>
                <w:rFonts w:ascii="Calibri" w:eastAsia="Times New Roman" w:hAnsi="Calibri" w:cs="Calibri"/>
                <w:i/>
                <w:iCs/>
                <w:color w:val="000000"/>
                <w:lang w:eastAsia="en-GB"/>
              </w:rPr>
              <w:t>Method</w:t>
            </w:r>
          </w:p>
        </w:tc>
        <w:tc>
          <w:tcPr>
            <w:tcW w:w="1020" w:type="pct"/>
            <w:tcBorders>
              <w:top w:val="nil"/>
              <w:left w:val="nil"/>
              <w:bottom w:val="nil"/>
              <w:right w:val="nil"/>
            </w:tcBorders>
            <w:shd w:val="clear" w:color="auto" w:fill="auto"/>
            <w:noWrap/>
            <w:vAlign w:val="bottom"/>
            <w:hideMark/>
          </w:tcPr>
          <w:p w14:paraId="1705202A" w14:textId="77777777" w:rsidR="000B56EA" w:rsidRPr="00112C70" w:rsidRDefault="000B56EA" w:rsidP="000B56EA">
            <w:pPr>
              <w:spacing w:after="0" w:line="240" w:lineRule="auto"/>
              <w:rPr>
                <w:rFonts w:ascii="Calibri" w:eastAsia="Times New Roman" w:hAnsi="Calibri" w:cs="Calibri"/>
                <w:i/>
                <w:iCs/>
                <w:color w:val="000000"/>
                <w:lang w:eastAsia="en-GB"/>
              </w:rPr>
            </w:pPr>
          </w:p>
        </w:tc>
        <w:tc>
          <w:tcPr>
            <w:tcW w:w="217" w:type="pct"/>
            <w:tcBorders>
              <w:top w:val="nil"/>
              <w:left w:val="nil"/>
              <w:bottom w:val="nil"/>
              <w:right w:val="nil"/>
            </w:tcBorders>
            <w:shd w:val="clear" w:color="auto" w:fill="auto"/>
            <w:noWrap/>
            <w:vAlign w:val="bottom"/>
            <w:hideMark/>
          </w:tcPr>
          <w:p w14:paraId="3AAFA58D"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auto" w:fill="auto"/>
            <w:noWrap/>
            <w:vAlign w:val="bottom"/>
            <w:hideMark/>
          </w:tcPr>
          <w:p w14:paraId="7F6EF832"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auto" w:fill="auto"/>
            <w:noWrap/>
            <w:vAlign w:val="bottom"/>
            <w:hideMark/>
          </w:tcPr>
          <w:p w14:paraId="5F349E88"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auto" w:fill="auto"/>
            <w:noWrap/>
            <w:vAlign w:val="bottom"/>
            <w:hideMark/>
          </w:tcPr>
          <w:p w14:paraId="00B2B7BA"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auto" w:fill="auto"/>
            <w:noWrap/>
            <w:vAlign w:val="bottom"/>
            <w:hideMark/>
          </w:tcPr>
          <w:p w14:paraId="633F18C2"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auto" w:fill="auto"/>
            <w:noWrap/>
            <w:vAlign w:val="bottom"/>
            <w:hideMark/>
          </w:tcPr>
          <w:p w14:paraId="06A5C18B"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auto" w:fill="auto"/>
            <w:noWrap/>
            <w:vAlign w:val="bottom"/>
            <w:hideMark/>
          </w:tcPr>
          <w:p w14:paraId="1FFEA220"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auto" w:fill="auto"/>
            <w:noWrap/>
            <w:vAlign w:val="bottom"/>
            <w:hideMark/>
          </w:tcPr>
          <w:p w14:paraId="069E7B0C"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36" w:type="pct"/>
            <w:tcBorders>
              <w:top w:val="nil"/>
              <w:left w:val="nil"/>
              <w:bottom w:val="nil"/>
              <w:right w:val="nil"/>
            </w:tcBorders>
            <w:shd w:val="clear" w:color="auto" w:fill="auto"/>
            <w:noWrap/>
            <w:vAlign w:val="bottom"/>
            <w:hideMark/>
          </w:tcPr>
          <w:p w14:paraId="08E33189"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r>
      <w:tr w:rsidR="000B56EA" w:rsidRPr="00112C70" w14:paraId="65E8DDB7" w14:textId="77777777" w:rsidTr="000B56EA">
        <w:trPr>
          <w:trHeight w:val="290"/>
        </w:trPr>
        <w:tc>
          <w:tcPr>
            <w:tcW w:w="3031" w:type="pct"/>
            <w:gridSpan w:val="2"/>
            <w:tcBorders>
              <w:top w:val="nil"/>
              <w:left w:val="nil"/>
              <w:bottom w:val="nil"/>
              <w:right w:val="nil"/>
            </w:tcBorders>
            <w:shd w:val="clear" w:color="D9D9D9" w:fill="D9D9D9"/>
            <w:noWrap/>
            <w:vAlign w:val="center"/>
            <w:hideMark/>
          </w:tcPr>
          <w:p w14:paraId="2B5934F6" w14:textId="77777777" w:rsidR="000B56EA" w:rsidRPr="00112C70" w:rsidRDefault="000B56EA" w:rsidP="000B56EA">
            <w:pPr>
              <w:spacing w:after="0" w:line="240" w:lineRule="auto"/>
              <w:ind w:firstLineChars="400" w:firstLine="880"/>
              <w:rPr>
                <w:rFonts w:ascii="Calibri" w:eastAsia="Times New Roman" w:hAnsi="Calibri" w:cs="Calibri"/>
                <w:color w:val="000000"/>
                <w:lang w:eastAsia="en-GB"/>
              </w:rPr>
            </w:pPr>
            <w:r w:rsidRPr="00112C70">
              <w:rPr>
                <w:rFonts w:ascii="Calibri" w:eastAsia="Times New Roman" w:hAnsi="Calibri" w:cs="Calibri"/>
                <w:color w:val="000000"/>
                <w:lang w:eastAsia="en-GB"/>
              </w:rPr>
              <w:t>2.</w:t>
            </w:r>
            <w:r w:rsidRPr="00112C70">
              <w:rPr>
                <w:rFonts w:ascii="Times New Roman" w:eastAsia="Times New Roman" w:hAnsi="Times New Roman" w:cs="Times New Roman"/>
                <w:color w:val="000000"/>
                <w:sz w:val="14"/>
                <w:szCs w:val="14"/>
                <w:lang w:eastAsia="en-GB"/>
              </w:rPr>
              <w:t xml:space="preserve">       </w:t>
            </w:r>
            <w:r w:rsidRPr="00112C70">
              <w:rPr>
                <w:rFonts w:ascii="Calibri" w:eastAsia="Times New Roman" w:hAnsi="Calibri" w:cs="Calibri"/>
                <w:color w:val="000000"/>
                <w:lang w:eastAsia="en-GB"/>
              </w:rPr>
              <w:t>Was the study design appropriate for the stated aims?</w:t>
            </w:r>
          </w:p>
        </w:tc>
        <w:tc>
          <w:tcPr>
            <w:tcW w:w="217" w:type="pct"/>
            <w:tcBorders>
              <w:top w:val="nil"/>
              <w:left w:val="nil"/>
              <w:bottom w:val="nil"/>
              <w:right w:val="nil"/>
            </w:tcBorders>
            <w:shd w:val="clear" w:color="D9D9D9" w:fill="D9D9D9"/>
            <w:noWrap/>
            <w:vAlign w:val="bottom"/>
            <w:hideMark/>
          </w:tcPr>
          <w:p w14:paraId="18519D15"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0E03EEB2"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47E8E1C1"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4C2980B4"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6F3B6031"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53E619BB"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3D76045C"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739206B3"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36" w:type="pct"/>
            <w:tcBorders>
              <w:top w:val="nil"/>
              <w:left w:val="nil"/>
              <w:bottom w:val="nil"/>
              <w:right w:val="nil"/>
            </w:tcBorders>
            <w:shd w:val="clear" w:color="D9D9D9" w:fill="D9D9D9"/>
            <w:noWrap/>
            <w:vAlign w:val="bottom"/>
            <w:hideMark/>
          </w:tcPr>
          <w:p w14:paraId="4417F398"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r>
      <w:tr w:rsidR="000B56EA" w:rsidRPr="00112C70" w14:paraId="117BC8AD" w14:textId="77777777" w:rsidTr="000B56EA">
        <w:trPr>
          <w:trHeight w:val="290"/>
        </w:trPr>
        <w:tc>
          <w:tcPr>
            <w:tcW w:w="3031" w:type="pct"/>
            <w:gridSpan w:val="2"/>
            <w:tcBorders>
              <w:top w:val="nil"/>
              <w:left w:val="nil"/>
              <w:bottom w:val="nil"/>
              <w:right w:val="nil"/>
            </w:tcBorders>
            <w:shd w:val="clear" w:color="auto" w:fill="auto"/>
            <w:noWrap/>
            <w:vAlign w:val="center"/>
            <w:hideMark/>
          </w:tcPr>
          <w:p w14:paraId="318EAAF8" w14:textId="77777777" w:rsidR="000B56EA" w:rsidRPr="00112C70" w:rsidRDefault="000B56EA" w:rsidP="000B56EA">
            <w:pPr>
              <w:spacing w:after="0" w:line="240" w:lineRule="auto"/>
              <w:ind w:firstLineChars="400" w:firstLine="880"/>
              <w:rPr>
                <w:rFonts w:ascii="Calibri" w:eastAsia="Times New Roman" w:hAnsi="Calibri" w:cs="Calibri"/>
                <w:color w:val="000000"/>
                <w:lang w:eastAsia="en-GB"/>
              </w:rPr>
            </w:pPr>
            <w:r w:rsidRPr="00112C70">
              <w:rPr>
                <w:rFonts w:ascii="Calibri" w:eastAsia="Times New Roman" w:hAnsi="Calibri" w:cs="Calibri"/>
                <w:color w:val="000000"/>
                <w:lang w:eastAsia="en-GB"/>
              </w:rPr>
              <w:t>3.</w:t>
            </w:r>
            <w:r w:rsidRPr="00112C70">
              <w:rPr>
                <w:rFonts w:ascii="Times New Roman" w:eastAsia="Times New Roman" w:hAnsi="Times New Roman" w:cs="Times New Roman"/>
                <w:color w:val="000000"/>
                <w:sz w:val="14"/>
                <w:szCs w:val="14"/>
                <w:lang w:eastAsia="en-GB"/>
              </w:rPr>
              <w:t xml:space="preserve">       </w:t>
            </w:r>
            <w:r w:rsidRPr="00112C70">
              <w:rPr>
                <w:rFonts w:ascii="Calibri" w:eastAsia="Times New Roman" w:hAnsi="Calibri" w:cs="Calibri"/>
                <w:color w:val="000000"/>
                <w:lang w:eastAsia="en-GB"/>
              </w:rPr>
              <w:t>Was the sample size justified?</w:t>
            </w:r>
          </w:p>
        </w:tc>
        <w:tc>
          <w:tcPr>
            <w:tcW w:w="217" w:type="pct"/>
            <w:tcBorders>
              <w:top w:val="nil"/>
              <w:left w:val="nil"/>
              <w:bottom w:val="nil"/>
              <w:right w:val="nil"/>
            </w:tcBorders>
            <w:shd w:val="clear" w:color="auto" w:fill="auto"/>
            <w:noWrap/>
            <w:vAlign w:val="bottom"/>
            <w:hideMark/>
          </w:tcPr>
          <w:p w14:paraId="4941BEBD"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0</w:t>
            </w:r>
          </w:p>
        </w:tc>
        <w:tc>
          <w:tcPr>
            <w:tcW w:w="217" w:type="pct"/>
            <w:tcBorders>
              <w:top w:val="nil"/>
              <w:left w:val="nil"/>
              <w:bottom w:val="nil"/>
              <w:right w:val="nil"/>
            </w:tcBorders>
            <w:shd w:val="clear" w:color="auto" w:fill="auto"/>
            <w:noWrap/>
            <w:vAlign w:val="bottom"/>
            <w:hideMark/>
          </w:tcPr>
          <w:p w14:paraId="7A3F3FE8"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0</w:t>
            </w:r>
          </w:p>
        </w:tc>
        <w:tc>
          <w:tcPr>
            <w:tcW w:w="217" w:type="pct"/>
            <w:tcBorders>
              <w:top w:val="nil"/>
              <w:left w:val="nil"/>
              <w:bottom w:val="nil"/>
              <w:right w:val="nil"/>
            </w:tcBorders>
            <w:shd w:val="clear" w:color="auto" w:fill="auto"/>
            <w:noWrap/>
            <w:vAlign w:val="bottom"/>
            <w:hideMark/>
          </w:tcPr>
          <w:p w14:paraId="6783B305"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0</w:t>
            </w:r>
          </w:p>
        </w:tc>
        <w:tc>
          <w:tcPr>
            <w:tcW w:w="217" w:type="pct"/>
            <w:tcBorders>
              <w:top w:val="nil"/>
              <w:left w:val="nil"/>
              <w:bottom w:val="nil"/>
              <w:right w:val="nil"/>
            </w:tcBorders>
            <w:shd w:val="clear" w:color="auto" w:fill="auto"/>
            <w:noWrap/>
            <w:vAlign w:val="bottom"/>
            <w:hideMark/>
          </w:tcPr>
          <w:p w14:paraId="4277BDE1"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06BC2C45"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7BFB0A23"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0</w:t>
            </w:r>
          </w:p>
        </w:tc>
        <w:tc>
          <w:tcPr>
            <w:tcW w:w="217" w:type="pct"/>
            <w:tcBorders>
              <w:top w:val="nil"/>
              <w:left w:val="nil"/>
              <w:bottom w:val="nil"/>
              <w:right w:val="nil"/>
            </w:tcBorders>
            <w:shd w:val="clear" w:color="auto" w:fill="auto"/>
            <w:noWrap/>
            <w:vAlign w:val="bottom"/>
            <w:hideMark/>
          </w:tcPr>
          <w:p w14:paraId="68C0CDF5"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0</w:t>
            </w:r>
          </w:p>
        </w:tc>
        <w:tc>
          <w:tcPr>
            <w:tcW w:w="217" w:type="pct"/>
            <w:tcBorders>
              <w:top w:val="nil"/>
              <w:left w:val="nil"/>
              <w:bottom w:val="nil"/>
              <w:right w:val="nil"/>
            </w:tcBorders>
            <w:shd w:val="clear" w:color="auto" w:fill="auto"/>
            <w:noWrap/>
            <w:vAlign w:val="bottom"/>
            <w:hideMark/>
          </w:tcPr>
          <w:p w14:paraId="47AA29E9"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36" w:type="pct"/>
            <w:tcBorders>
              <w:top w:val="nil"/>
              <w:left w:val="nil"/>
              <w:bottom w:val="nil"/>
              <w:right w:val="nil"/>
            </w:tcBorders>
            <w:shd w:val="clear" w:color="auto" w:fill="auto"/>
            <w:noWrap/>
            <w:vAlign w:val="bottom"/>
            <w:hideMark/>
          </w:tcPr>
          <w:p w14:paraId="6616BDCA"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0</w:t>
            </w:r>
          </w:p>
        </w:tc>
      </w:tr>
      <w:tr w:rsidR="000B56EA" w:rsidRPr="00112C70" w14:paraId="02D42042" w14:textId="77777777" w:rsidTr="000B56EA">
        <w:trPr>
          <w:trHeight w:val="290"/>
        </w:trPr>
        <w:tc>
          <w:tcPr>
            <w:tcW w:w="3031" w:type="pct"/>
            <w:gridSpan w:val="2"/>
            <w:tcBorders>
              <w:top w:val="nil"/>
              <w:left w:val="nil"/>
              <w:bottom w:val="nil"/>
              <w:right w:val="nil"/>
            </w:tcBorders>
            <w:shd w:val="clear" w:color="D9D9D9" w:fill="D9D9D9"/>
            <w:noWrap/>
            <w:vAlign w:val="center"/>
            <w:hideMark/>
          </w:tcPr>
          <w:p w14:paraId="54CE439A" w14:textId="77777777" w:rsidR="000B56EA" w:rsidRPr="00112C70" w:rsidRDefault="000B56EA" w:rsidP="000B56EA">
            <w:pPr>
              <w:spacing w:after="0" w:line="240" w:lineRule="auto"/>
              <w:ind w:firstLineChars="400" w:firstLine="880"/>
              <w:rPr>
                <w:rFonts w:ascii="Calibri" w:eastAsia="Times New Roman" w:hAnsi="Calibri" w:cs="Calibri"/>
                <w:color w:val="000000"/>
                <w:lang w:eastAsia="en-GB"/>
              </w:rPr>
            </w:pPr>
            <w:r w:rsidRPr="00112C70">
              <w:rPr>
                <w:rFonts w:ascii="Calibri" w:eastAsia="Times New Roman" w:hAnsi="Calibri" w:cs="Calibri"/>
                <w:color w:val="000000"/>
                <w:lang w:eastAsia="en-GB"/>
              </w:rPr>
              <w:t>4.</w:t>
            </w:r>
            <w:r w:rsidRPr="00112C70">
              <w:rPr>
                <w:rFonts w:ascii="Times New Roman" w:eastAsia="Times New Roman" w:hAnsi="Times New Roman" w:cs="Times New Roman"/>
                <w:color w:val="000000"/>
                <w:sz w:val="14"/>
                <w:szCs w:val="14"/>
                <w:lang w:eastAsia="en-GB"/>
              </w:rPr>
              <w:t xml:space="preserve">       </w:t>
            </w:r>
            <w:r w:rsidRPr="00112C70">
              <w:rPr>
                <w:rFonts w:ascii="Calibri" w:eastAsia="Times New Roman" w:hAnsi="Calibri" w:cs="Calibri"/>
                <w:color w:val="000000"/>
                <w:lang w:eastAsia="en-GB"/>
              </w:rPr>
              <w:t>Was the target/reference population clearly defined (is it clear who the research was about)?</w:t>
            </w:r>
          </w:p>
        </w:tc>
        <w:tc>
          <w:tcPr>
            <w:tcW w:w="217" w:type="pct"/>
            <w:tcBorders>
              <w:top w:val="nil"/>
              <w:left w:val="nil"/>
              <w:bottom w:val="nil"/>
              <w:right w:val="nil"/>
            </w:tcBorders>
            <w:shd w:val="clear" w:color="D9D9D9" w:fill="D9D9D9"/>
            <w:noWrap/>
            <w:vAlign w:val="bottom"/>
            <w:hideMark/>
          </w:tcPr>
          <w:p w14:paraId="080451FA"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28C98DEF"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5756C072"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0</w:t>
            </w:r>
          </w:p>
        </w:tc>
        <w:tc>
          <w:tcPr>
            <w:tcW w:w="217" w:type="pct"/>
            <w:tcBorders>
              <w:top w:val="nil"/>
              <w:left w:val="nil"/>
              <w:bottom w:val="nil"/>
              <w:right w:val="nil"/>
            </w:tcBorders>
            <w:shd w:val="clear" w:color="D9D9D9" w:fill="D9D9D9"/>
            <w:noWrap/>
            <w:vAlign w:val="bottom"/>
            <w:hideMark/>
          </w:tcPr>
          <w:p w14:paraId="3621BF37"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47B166BD"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7BBF3E9E"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72D22B0E"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03CABB70"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36" w:type="pct"/>
            <w:tcBorders>
              <w:top w:val="nil"/>
              <w:left w:val="nil"/>
              <w:bottom w:val="nil"/>
              <w:right w:val="nil"/>
            </w:tcBorders>
            <w:shd w:val="clear" w:color="D9D9D9" w:fill="D9D9D9"/>
            <w:noWrap/>
            <w:vAlign w:val="bottom"/>
            <w:hideMark/>
          </w:tcPr>
          <w:p w14:paraId="13857B33"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r>
      <w:tr w:rsidR="000B56EA" w:rsidRPr="00112C70" w14:paraId="1124D241" w14:textId="77777777" w:rsidTr="000B56EA">
        <w:trPr>
          <w:trHeight w:val="290"/>
        </w:trPr>
        <w:tc>
          <w:tcPr>
            <w:tcW w:w="3031" w:type="pct"/>
            <w:gridSpan w:val="2"/>
            <w:tcBorders>
              <w:top w:val="nil"/>
              <w:left w:val="nil"/>
              <w:bottom w:val="nil"/>
              <w:right w:val="nil"/>
            </w:tcBorders>
            <w:shd w:val="clear" w:color="auto" w:fill="auto"/>
            <w:noWrap/>
            <w:vAlign w:val="center"/>
            <w:hideMark/>
          </w:tcPr>
          <w:p w14:paraId="1EE63774" w14:textId="77777777" w:rsidR="000B56EA" w:rsidRPr="00112C70" w:rsidRDefault="000B56EA" w:rsidP="000B56EA">
            <w:pPr>
              <w:spacing w:after="0" w:line="240" w:lineRule="auto"/>
              <w:ind w:firstLineChars="400" w:firstLine="880"/>
              <w:rPr>
                <w:rFonts w:ascii="Calibri" w:eastAsia="Times New Roman" w:hAnsi="Calibri" w:cs="Calibri"/>
                <w:color w:val="000000"/>
                <w:lang w:eastAsia="en-GB"/>
              </w:rPr>
            </w:pPr>
            <w:r w:rsidRPr="00112C70">
              <w:rPr>
                <w:rFonts w:ascii="Calibri" w:eastAsia="Times New Roman" w:hAnsi="Calibri" w:cs="Calibri"/>
                <w:color w:val="000000"/>
                <w:lang w:eastAsia="en-GB"/>
              </w:rPr>
              <w:t>5.</w:t>
            </w:r>
            <w:r w:rsidRPr="00112C70">
              <w:rPr>
                <w:rFonts w:ascii="Times New Roman" w:eastAsia="Times New Roman" w:hAnsi="Times New Roman" w:cs="Times New Roman"/>
                <w:color w:val="000000"/>
                <w:sz w:val="14"/>
                <w:szCs w:val="14"/>
                <w:lang w:eastAsia="en-GB"/>
              </w:rPr>
              <w:t xml:space="preserve">       </w:t>
            </w:r>
            <w:r w:rsidRPr="00112C70">
              <w:rPr>
                <w:rFonts w:ascii="Calibri" w:eastAsia="Times New Roman" w:hAnsi="Calibri" w:cs="Calibri"/>
                <w:color w:val="000000"/>
                <w:lang w:eastAsia="en-GB"/>
              </w:rPr>
              <w:t>Was the sample frame taken from an appropriate population base so that it closely represented the target/reference population under investigation?</w:t>
            </w:r>
          </w:p>
        </w:tc>
        <w:tc>
          <w:tcPr>
            <w:tcW w:w="217" w:type="pct"/>
            <w:tcBorders>
              <w:top w:val="nil"/>
              <w:left w:val="nil"/>
              <w:bottom w:val="nil"/>
              <w:right w:val="nil"/>
            </w:tcBorders>
            <w:shd w:val="clear" w:color="auto" w:fill="auto"/>
            <w:noWrap/>
            <w:vAlign w:val="bottom"/>
            <w:hideMark/>
          </w:tcPr>
          <w:p w14:paraId="00EA2ED2"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0</w:t>
            </w:r>
          </w:p>
        </w:tc>
        <w:tc>
          <w:tcPr>
            <w:tcW w:w="217" w:type="pct"/>
            <w:tcBorders>
              <w:top w:val="nil"/>
              <w:left w:val="nil"/>
              <w:bottom w:val="nil"/>
              <w:right w:val="nil"/>
            </w:tcBorders>
            <w:shd w:val="clear" w:color="auto" w:fill="auto"/>
            <w:noWrap/>
            <w:vAlign w:val="bottom"/>
            <w:hideMark/>
          </w:tcPr>
          <w:p w14:paraId="3312D1F5"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0</w:t>
            </w:r>
          </w:p>
        </w:tc>
        <w:tc>
          <w:tcPr>
            <w:tcW w:w="217" w:type="pct"/>
            <w:tcBorders>
              <w:top w:val="nil"/>
              <w:left w:val="nil"/>
              <w:bottom w:val="nil"/>
              <w:right w:val="nil"/>
            </w:tcBorders>
            <w:shd w:val="clear" w:color="auto" w:fill="auto"/>
            <w:noWrap/>
            <w:vAlign w:val="bottom"/>
            <w:hideMark/>
          </w:tcPr>
          <w:p w14:paraId="740D6929"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0</w:t>
            </w:r>
          </w:p>
        </w:tc>
        <w:tc>
          <w:tcPr>
            <w:tcW w:w="217" w:type="pct"/>
            <w:tcBorders>
              <w:top w:val="nil"/>
              <w:left w:val="nil"/>
              <w:bottom w:val="nil"/>
              <w:right w:val="nil"/>
            </w:tcBorders>
            <w:shd w:val="clear" w:color="auto" w:fill="auto"/>
            <w:noWrap/>
            <w:vAlign w:val="bottom"/>
            <w:hideMark/>
          </w:tcPr>
          <w:p w14:paraId="41884856"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0</w:t>
            </w:r>
          </w:p>
        </w:tc>
        <w:tc>
          <w:tcPr>
            <w:tcW w:w="217" w:type="pct"/>
            <w:tcBorders>
              <w:top w:val="nil"/>
              <w:left w:val="nil"/>
              <w:bottom w:val="nil"/>
              <w:right w:val="nil"/>
            </w:tcBorders>
            <w:shd w:val="clear" w:color="auto" w:fill="auto"/>
            <w:noWrap/>
            <w:vAlign w:val="bottom"/>
            <w:hideMark/>
          </w:tcPr>
          <w:p w14:paraId="244BE5D5"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0</w:t>
            </w:r>
          </w:p>
        </w:tc>
        <w:tc>
          <w:tcPr>
            <w:tcW w:w="217" w:type="pct"/>
            <w:tcBorders>
              <w:top w:val="nil"/>
              <w:left w:val="nil"/>
              <w:bottom w:val="nil"/>
              <w:right w:val="nil"/>
            </w:tcBorders>
            <w:shd w:val="clear" w:color="auto" w:fill="auto"/>
            <w:noWrap/>
            <w:vAlign w:val="bottom"/>
            <w:hideMark/>
          </w:tcPr>
          <w:p w14:paraId="0EBCE703"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0</w:t>
            </w:r>
          </w:p>
        </w:tc>
        <w:tc>
          <w:tcPr>
            <w:tcW w:w="217" w:type="pct"/>
            <w:tcBorders>
              <w:top w:val="nil"/>
              <w:left w:val="nil"/>
              <w:bottom w:val="nil"/>
              <w:right w:val="nil"/>
            </w:tcBorders>
            <w:shd w:val="clear" w:color="auto" w:fill="auto"/>
            <w:noWrap/>
            <w:vAlign w:val="bottom"/>
            <w:hideMark/>
          </w:tcPr>
          <w:p w14:paraId="7FF70E44"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0</w:t>
            </w:r>
          </w:p>
        </w:tc>
        <w:tc>
          <w:tcPr>
            <w:tcW w:w="217" w:type="pct"/>
            <w:tcBorders>
              <w:top w:val="nil"/>
              <w:left w:val="nil"/>
              <w:bottom w:val="nil"/>
              <w:right w:val="nil"/>
            </w:tcBorders>
            <w:shd w:val="clear" w:color="auto" w:fill="auto"/>
            <w:noWrap/>
            <w:vAlign w:val="bottom"/>
            <w:hideMark/>
          </w:tcPr>
          <w:p w14:paraId="43EB3F0A"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36" w:type="pct"/>
            <w:tcBorders>
              <w:top w:val="nil"/>
              <w:left w:val="nil"/>
              <w:bottom w:val="nil"/>
              <w:right w:val="nil"/>
            </w:tcBorders>
            <w:shd w:val="clear" w:color="auto" w:fill="auto"/>
            <w:noWrap/>
            <w:vAlign w:val="bottom"/>
            <w:hideMark/>
          </w:tcPr>
          <w:p w14:paraId="32DE31AF"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r>
      <w:tr w:rsidR="000B56EA" w:rsidRPr="00112C70" w14:paraId="18060839" w14:textId="77777777" w:rsidTr="000B56EA">
        <w:trPr>
          <w:trHeight w:val="290"/>
        </w:trPr>
        <w:tc>
          <w:tcPr>
            <w:tcW w:w="3031" w:type="pct"/>
            <w:gridSpan w:val="2"/>
            <w:tcBorders>
              <w:top w:val="nil"/>
              <w:left w:val="nil"/>
              <w:bottom w:val="nil"/>
              <w:right w:val="nil"/>
            </w:tcBorders>
            <w:shd w:val="clear" w:color="D9D9D9" w:fill="D9D9D9"/>
            <w:noWrap/>
            <w:vAlign w:val="center"/>
            <w:hideMark/>
          </w:tcPr>
          <w:p w14:paraId="4CA2CC9F" w14:textId="77777777" w:rsidR="000B56EA" w:rsidRPr="00112C70" w:rsidRDefault="000B56EA" w:rsidP="000B56EA">
            <w:pPr>
              <w:spacing w:after="0" w:line="240" w:lineRule="auto"/>
              <w:ind w:firstLineChars="400" w:firstLine="880"/>
              <w:rPr>
                <w:rFonts w:ascii="Calibri" w:eastAsia="Times New Roman" w:hAnsi="Calibri" w:cs="Calibri"/>
                <w:color w:val="000000"/>
                <w:lang w:eastAsia="en-GB"/>
              </w:rPr>
            </w:pPr>
            <w:r w:rsidRPr="00112C70">
              <w:rPr>
                <w:rFonts w:ascii="Calibri" w:eastAsia="Times New Roman" w:hAnsi="Calibri" w:cs="Calibri"/>
                <w:color w:val="000000"/>
                <w:lang w:eastAsia="en-GB"/>
              </w:rPr>
              <w:t>6.</w:t>
            </w:r>
            <w:r w:rsidRPr="00112C70">
              <w:rPr>
                <w:rFonts w:ascii="Times New Roman" w:eastAsia="Times New Roman" w:hAnsi="Times New Roman" w:cs="Times New Roman"/>
                <w:color w:val="000000"/>
                <w:sz w:val="14"/>
                <w:szCs w:val="14"/>
                <w:lang w:eastAsia="en-GB"/>
              </w:rPr>
              <w:t xml:space="preserve">       </w:t>
            </w:r>
            <w:r w:rsidRPr="00112C70">
              <w:rPr>
                <w:rFonts w:ascii="Calibri" w:eastAsia="Times New Roman" w:hAnsi="Calibri" w:cs="Calibri"/>
                <w:color w:val="000000"/>
                <w:lang w:eastAsia="en-GB"/>
              </w:rPr>
              <w:t>Was the selection process likely to select subject/participants that were representative of the target/reference population under investigation?</w:t>
            </w:r>
          </w:p>
        </w:tc>
        <w:tc>
          <w:tcPr>
            <w:tcW w:w="217" w:type="pct"/>
            <w:tcBorders>
              <w:top w:val="nil"/>
              <w:left w:val="nil"/>
              <w:bottom w:val="nil"/>
              <w:right w:val="nil"/>
            </w:tcBorders>
            <w:shd w:val="clear" w:color="D9D9D9" w:fill="D9D9D9"/>
            <w:noWrap/>
            <w:vAlign w:val="bottom"/>
            <w:hideMark/>
          </w:tcPr>
          <w:p w14:paraId="1C90D4C4"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7B3F3758"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433B2A7F"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4FDA29F8"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7F88F524"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4431756B"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38724FC8"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146B7131"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36" w:type="pct"/>
            <w:tcBorders>
              <w:top w:val="nil"/>
              <w:left w:val="nil"/>
              <w:bottom w:val="nil"/>
              <w:right w:val="nil"/>
            </w:tcBorders>
            <w:shd w:val="clear" w:color="D9D9D9" w:fill="D9D9D9"/>
            <w:noWrap/>
            <w:vAlign w:val="bottom"/>
            <w:hideMark/>
          </w:tcPr>
          <w:p w14:paraId="78E22DDA"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r>
      <w:tr w:rsidR="000B56EA" w:rsidRPr="00112C70" w14:paraId="0BE02D29" w14:textId="77777777" w:rsidTr="000B56EA">
        <w:trPr>
          <w:trHeight w:val="290"/>
        </w:trPr>
        <w:tc>
          <w:tcPr>
            <w:tcW w:w="3031" w:type="pct"/>
            <w:gridSpan w:val="2"/>
            <w:tcBorders>
              <w:top w:val="nil"/>
              <w:left w:val="nil"/>
              <w:bottom w:val="nil"/>
              <w:right w:val="nil"/>
            </w:tcBorders>
            <w:shd w:val="clear" w:color="auto" w:fill="auto"/>
            <w:noWrap/>
            <w:vAlign w:val="center"/>
            <w:hideMark/>
          </w:tcPr>
          <w:p w14:paraId="3A762848" w14:textId="77777777" w:rsidR="000B56EA" w:rsidRPr="00112C70" w:rsidRDefault="000B56EA" w:rsidP="000B56EA">
            <w:pPr>
              <w:spacing w:after="0" w:line="240" w:lineRule="auto"/>
              <w:ind w:firstLineChars="400" w:firstLine="880"/>
              <w:rPr>
                <w:rFonts w:ascii="Calibri" w:eastAsia="Times New Roman" w:hAnsi="Calibri" w:cs="Calibri"/>
                <w:color w:val="000000"/>
                <w:lang w:eastAsia="en-GB"/>
              </w:rPr>
            </w:pPr>
            <w:r w:rsidRPr="00112C70">
              <w:rPr>
                <w:rFonts w:ascii="Calibri" w:eastAsia="Times New Roman" w:hAnsi="Calibri" w:cs="Calibri"/>
                <w:color w:val="000000"/>
                <w:lang w:eastAsia="en-GB"/>
              </w:rPr>
              <w:t>7.</w:t>
            </w:r>
            <w:r w:rsidRPr="00112C70">
              <w:rPr>
                <w:rFonts w:ascii="Times New Roman" w:eastAsia="Times New Roman" w:hAnsi="Times New Roman" w:cs="Times New Roman"/>
                <w:color w:val="000000"/>
                <w:sz w:val="14"/>
                <w:szCs w:val="14"/>
                <w:lang w:eastAsia="en-GB"/>
              </w:rPr>
              <w:t xml:space="preserve">       </w:t>
            </w:r>
            <w:r w:rsidRPr="00112C70">
              <w:rPr>
                <w:rFonts w:ascii="Calibri" w:eastAsia="Times New Roman" w:hAnsi="Calibri" w:cs="Calibri"/>
                <w:color w:val="000000"/>
                <w:lang w:eastAsia="en-GB"/>
              </w:rPr>
              <w:t>Were measures taken to address and categorise non-responders?</w:t>
            </w:r>
          </w:p>
        </w:tc>
        <w:tc>
          <w:tcPr>
            <w:tcW w:w="217" w:type="pct"/>
            <w:tcBorders>
              <w:top w:val="nil"/>
              <w:left w:val="nil"/>
              <w:bottom w:val="nil"/>
              <w:right w:val="nil"/>
            </w:tcBorders>
            <w:shd w:val="clear" w:color="auto" w:fill="auto"/>
            <w:noWrap/>
            <w:vAlign w:val="bottom"/>
            <w:hideMark/>
          </w:tcPr>
          <w:p w14:paraId="61F42720"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0</w:t>
            </w:r>
          </w:p>
        </w:tc>
        <w:tc>
          <w:tcPr>
            <w:tcW w:w="217" w:type="pct"/>
            <w:tcBorders>
              <w:top w:val="nil"/>
              <w:left w:val="nil"/>
              <w:bottom w:val="nil"/>
              <w:right w:val="nil"/>
            </w:tcBorders>
            <w:shd w:val="clear" w:color="auto" w:fill="auto"/>
            <w:noWrap/>
            <w:vAlign w:val="bottom"/>
            <w:hideMark/>
          </w:tcPr>
          <w:p w14:paraId="6E8DCFB6"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0</w:t>
            </w:r>
          </w:p>
        </w:tc>
        <w:tc>
          <w:tcPr>
            <w:tcW w:w="217" w:type="pct"/>
            <w:tcBorders>
              <w:top w:val="nil"/>
              <w:left w:val="nil"/>
              <w:bottom w:val="nil"/>
              <w:right w:val="nil"/>
            </w:tcBorders>
            <w:shd w:val="clear" w:color="auto" w:fill="auto"/>
            <w:noWrap/>
            <w:vAlign w:val="bottom"/>
            <w:hideMark/>
          </w:tcPr>
          <w:p w14:paraId="51667832"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0</w:t>
            </w:r>
          </w:p>
        </w:tc>
        <w:tc>
          <w:tcPr>
            <w:tcW w:w="217" w:type="pct"/>
            <w:tcBorders>
              <w:top w:val="nil"/>
              <w:left w:val="nil"/>
              <w:bottom w:val="nil"/>
              <w:right w:val="nil"/>
            </w:tcBorders>
            <w:shd w:val="clear" w:color="auto" w:fill="auto"/>
            <w:noWrap/>
            <w:vAlign w:val="bottom"/>
            <w:hideMark/>
          </w:tcPr>
          <w:p w14:paraId="631DF266"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0EE923E6"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2112F72A"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0</w:t>
            </w:r>
          </w:p>
        </w:tc>
        <w:tc>
          <w:tcPr>
            <w:tcW w:w="217" w:type="pct"/>
            <w:tcBorders>
              <w:top w:val="nil"/>
              <w:left w:val="nil"/>
              <w:bottom w:val="nil"/>
              <w:right w:val="nil"/>
            </w:tcBorders>
            <w:shd w:val="clear" w:color="auto" w:fill="auto"/>
            <w:noWrap/>
            <w:vAlign w:val="bottom"/>
            <w:hideMark/>
          </w:tcPr>
          <w:p w14:paraId="6FA0BA1B"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0</w:t>
            </w:r>
          </w:p>
        </w:tc>
        <w:tc>
          <w:tcPr>
            <w:tcW w:w="217" w:type="pct"/>
            <w:tcBorders>
              <w:top w:val="nil"/>
              <w:left w:val="nil"/>
              <w:bottom w:val="nil"/>
              <w:right w:val="nil"/>
            </w:tcBorders>
            <w:shd w:val="clear" w:color="auto" w:fill="auto"/>
            <w:noWrap/>
            <w:vAlign w:val="bottom"/>
            <w:hideMark/>
          </w:tcPr>
          <w:p w14:paraId="04109253"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36" w:type="pct"/>
            <w:tcBorders>
              <w:top w:val="nil"/>
              <w:left w:val="nil"/>
              <w:bottom w:val="nil"/>
              <w:right w:val="nil"/>
            </w:tcBorders>
            <w:shd w:val="clear" w:color="auto" w:fill="auto"/>
            <w:noWrap/>
            <w:vAlign w:val="bottom"/>
            <w:hideMark/>
          </w:tcPr>
          <w:p w14:paraId="0ACA3F04"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r>
      <w:tr w:rsidR="000B56EA" w:rsidRPr="00112C70" w14:paraId="12E78A03" w14:textId="77777777" w:rsidTr="000B56EA">
        <w:trPr>
          <w:trHeight w:val="290"/>
        </w:trPr>
        <w:tc>
          <w:tcPr>
            <w:tcW w:w="3031" w:type="pct"/>
            <w:gridSpan w:val="2"/>
            <w:tcBorders>
              <w:top w:val="nil"/>
              <w:left w:val="nil"/>
              <w:bottom w:val="nil"/>
              <w:right w:val="nil"/>
            </w:tcBorders>
            <w:shd w:val="clear" w:color="D9D9D9" w:fill="D9D9D9"/>
            <w:noWrap/>
            <w:vAlign w:val="center"/>
            <w:hideMark/>
          </w:tcPr>
          <w:p w14:paraId="323133EB" w14:textId="77777777" w:rsidR="000B56EA" w:rsidRPr="00112C70" w:rsidRDefault="000B56EA" w:rsidP="000B56EA">
            <w:pPr>
              <w:spacing w:after="0" w:line="240" w:lineRule="auto"/>
              <w:ind w:firstLineChars="400" w:firstLine="880"/>
              <w:rPr>
                <w:rFonts w:ascii="Calibri" w:eastAsia="Times New Roman" w:hAnsi="Calibri" w:cs="Calibri"/>
                <w:color w:val="000000"/>
                <w:lang w:eastAsia="en-GB"/>
              </w:rPr>
            </w:pPr>
            <w:r w:rsidRPr="00112C70">
              <w:rPr>
                <w:rFonts w:ascii="Calibri" w:eastAsia="Times New Roman" w:hAnsi="Calibri" w:cs="Calibri"/>
                <w:color w:val="000000"/>
                <w:lang w:eastAsia="en-GB"/>
              </w:rPr>
              <w:t>8.</w:t>
            </w:r>
            <w:r w:rsidRPr="00112C70">
              <w:rPr>
                <w:rFonts w:ascii="Times New Roman" w:eastAsia="Times New Roman" w:hAnsi="Times New Roman" w:cs="Times New Roman"/>
                <w:color w:val="000000"/>
                <w:sz w:val="14"/>
                <w:szCs w:val="14"/>
                <w:lang w:eastAsia="en-GB"/>
              </w:rPr>
              <w:t xml:space="preserve">       </w:t>
            </w:r>
            <w:r w:rsidRPr="00112C70">
              <w:rPr>
                <w:rFonts w:ascii="Calibri" w:eastAsia="Times New Roman" w:hAnsi="Calibri" w:cs="Calibri"/>
                <w:color w:val="000000"/>
                <w:lang w:eastAsia="en-GB"/>
              </w:rPr>
              <w:t>Were the risk factor and outcome variables measured appropriate to the aims of the study?</w:t>
            </w:r>
          </w:p>
        </w:tc>
        <w:tc>
          <w:tcPr>
            <w:tcW w:w="217" w:type="pct"/>
            <w:tcBorders>
              <w:top w:val="nil"/>
              <w:left w:val="nil"/>
              <w:bottom w:val="nil"/>
              <w:right w:val="nil"/>
            </w:tcBorders>
            <w:shd w:val="clear" w:color="D9D9D9" w:fill="D9D9D9"/>
            <w:noWrap/>
            <w:vAlign w:val="bottom"/>
            <w:hideMark/>
          </w:tcPr>
          <w:p w14:paraId="24A196CA"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662283BF"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55251159"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0A1770CE"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404F50C6"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3DDA8FC6"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04CA8297"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68007E4B"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36" w:type="pct"/>
            <w:tcBorders>
              <w:top w:val="nil"/>
              <w:left w:val="nil"/>
              <w:bottom w:val="nil"/>
              <w:right w:val="nil"/>
            </w:tcBorders>
            <w:shd w:val="clear" w:color="D9D9D9" w:fill="D9D9D9"/>
            <w:noWrap/>
            <w:vAlign w:val="bottom"/>
            <w:hideMark/>
          </w:tcPr>
          <w:p w14:paraId="75FA0039"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r>
      <w:tr w:rsidR="000B56EA" w:rsidRPr="00112C70" w14:paraId="2DB17B6E" w14:textId="77777777" w:rsidTr="000B56EA">
        <w:trPr>
          <w:trHeight w:val="290"/>
        </w:trPr>
        <w:tc>
          <w:tcPr>
            <w:tcW w:w="3031" w:type="pct"/>
            <w:gridSpan w:val="2"/>
            <w:tcBorders>
              <w:top w:val="nil"/>
              <w:left w:val="nil"/>
              <w:bottom w:val="nil"/>
              <w:right w:val="nil"/>
            </w:tcBorders>
            <w:shd w:val="clear" w:color="auto" w:fill="auto"/>
            <w:noWrap/>
            <w:vAlign w:val="center"/>
            <w:hideMark/>
          </w:tcPr>
          <w:p w14:paraId="57A65FF1" w14:textId="77777777" w:rsidR="000B56EA" w:rsidRPr="00112C70" w:rsidRDefault="000B56EA" w:rsidP="000B56EA">
            <w:pPr>
              <w:spacing w:after="0" w:line="240" w:lineRule="auto"/>
              <w:ind w:firstLineChars="400" w:firstLine="880"/>
              <w:rPr>
                <w:rFonts w:ascii="Calibri" w:eastAsia="Times New Roman" w:hAnsi="Calibri" w:cs="Calibri"/>
                <w:color w:val="000000"/>
                <w:lang w:eastAsia="en-GB"/>
              </w:rPr>
            </w:pPr>
            <w:r w:rsidRPr="00112C70">
              <w:rPr>
                <w:rFonts w:ascii="Calibri" w:eastAsia="Times New Roman" w:hAnsi="Calibri" w:cs="Calibri"/>
                <w:color w:val="000000"/>
                <w:lang w:eastAsia="en-GB"/>
              </w:rPr>
              <w:t>9.</w:t>
            </w:r>
            <w:r w:rsidRPr="00112C70">
              <w:rPr>
                <w:rFonts w:ascii="Times New Roman" w:eastAsia="Times New Roman" w:hAnsi="Times New Roman" w:cs="Times New Roman"/>
                <w:color w:val="000000"/>
                <w:sz w:val="14"/>
                <w:szCs w:val="14"/>
                <w:lang w:eastAsia="en-GB"/>
              </w:rPr>
              <w:t xml:space="preserve">       </w:t>
            </w:r>
            <w:r w:rsidRPr="00112C70">
              <w:rPr>
                <w:rFonts w:ascii="Calibri" w:eastAsia="Times New Roman" w:hAnsi="Calibri" w:cs="Calibri"/>
                <w:color w:val="000000"/>
                <w:lang w:eastAsia="en-GB"/>
              </w:rPr>
              <w:t>Were the risk factor and outcome variables measured correctly using instruments/measurements that had been trialled, piloted, or published previously?</w:t>
            </w:r>
          </w:p>
        </w:tc>
        <w:tc>
          <w:tcPr>
            <w:tcW w:w="217" w:type="pct"/>
            <w:tcBorders>
              <w:top w:val="nil"/>
              <w:left w:val="nil"/>
              <w:bottom w:val="nil"/>
              <w:right w:val="nil"/>
            </w:tcBorders>
            <w:shd w:val="clear" w:color="auto" w:fill="auto"/>
            <w:noWrap/>
            <w:vAlign w:val="bottom"/>
            <w:hideMark/>
          </w:tcPr>
          <w:p w14:paraId="24BB8C00"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49F6A19C"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15A2ADB3"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1CEE5F35"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7FC72A0D"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16A51E99"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5793A062"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557CB068"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36" w:type="pct"/>
            <w:tcBorders>
              <w:top w:val="nil"/>
              <w:left w:val="nil"/>
              <w:bottom w:val="nil"/>
              <w:right w:val="nil"/>
            </w:tcBorders>
            <w:shd w:val="clear" w:color="auto" w:fill="auto"/>
            <w:noWrap/>
            <w:vAlign w:val="bottom"/>
            <w:hideMark/>
          </w:tcPr>
          <w:p w14:paraId="2B8879B2"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r>
      <w:tr w:rsidR="000B56EA" w:rsidRPr="00112C70" w14:paraId="6B410A23" w14:textId="77777777" w:rsidTr="000B56EA">
        <w:trPr>
          <w:trHeight w:val="290"/>
        </w:trPr>
        <w:tc>
          <w:tcPr>
            <w:tcW w:w="3031" w:type="pct"/>
            <w:gridSpan w:val="2"/>
            <w:tcBorders>
              <w:top w:val="nil"/>
              <w:left w:val="nil"/>
              <w:bottom w:val="nil"/>
              <w:right w:val="nil"/>
            </w:tcBorders>
            <w:shd w:val="clear" w:color="D9D9D9" w:fill="D9D9D9"/>
            <w:noWrap/>
            <w:vAlign w:val="center"/>
            <w:hideMark/>
          </w:tcPr>
          <w:p w14:paraId="0CD8F5AB" w14:textId="77777777" w:rsidR="000B56EA" w:rsidRPr="00112C70" w:rsidRDefault="000B56EA" w:rsidP="000B56EA">
            <w:pPr>
              <w:spacing w:after="0" w:line="240" w:lineRule="auto"/>
              <w:ind w:firstLineChars="400" w:firstLine="880"/>
              <w:rPr>
                <w:rFonts w:ascii="Calibri" w:eastAsia="Times New Roman" w:hAnsi="Calibri" w:cs="Calibri"/>
                <w:color w:val="000000"/>
                <w:lang w:eastAsia="en-GB"/>
              </w:rPr>
            </w:pPr>
            <w:r w:rsidRPr="00112C70">
              <w:rPr>
                <w:rFonts w:ascii="Calibri" w:eastAsia="Times New Roman" w:hAnsi="Calibri" w:cs="Calibri"/>
                <w:color w:val="000000"/>
                <w:lang w:eastAsia="en-GB"/>
              </w:rPr>
              <w:t>10.</w:t>
            </w:r>
            <w:r w:rsidRPr="00112C70">
              <w:rPr>
                <w:rFonts w:ascii="Times New Roman" w:eastAsia="Times New Roman" w:hAnsi="Times New Roman" w:cs="Times New Roman"/>
                <w:color w:val="000000"/>
                <w:sz w:val="14"/>
                <w:szCs w:val="14"/>
                <w:lang w:eastAsia="en-GB"/>
              </w:rPr>
              <w:t xml:space="preserve">   </w:t>
            </w:r>
            <w:r w:rsidRPr="00112C70">
              <w:rPr>
                <w:rFonts w:ascii="Calibri" w:eastAsia="Times New Roman" w:hAnsi="Calibri" w:cs="Calibri"/>
                <w:color w:val="000000"/>
                <w:lang w:eastAsia="en-GB"/>
              </w:rPr>
              <w:t>Was the follow up of subjects complete enough?</w:t>
            </w:r>
          </w:p>
        </w:tc>
        <w:tc>
          <w:tcPr>
            <w:tcW w:w="217" w:type="pct"/>
            <w:tcBorders>
              <w:top w:val="nil"/>
              <w:left w:val="nil"/>
              <w:bottom w:val="nil"/>
              <w:right w:val="nil"/>
            </w:tcBorders>
            <w:shd w:val="clear" w:color="D9D9D9" w:fill="D9D9D9"/>
            <w:noWrap/>
            <w:vAlign w:val="bottom"/>
            <w:hideMark/>
          </w:tcPr>
          <w:p w14:paraId="7A555844" w14:textId="77777777" w:rsidR="000B56EA" w:rsidRPr="00112C70" w:rsidRDefault="000B56EA" w:rsidP="000B56EA">
            <w:pPr>
              <w:spacing w:after="0" w:line="240" w:lineRule="auto"/>
              <w:rPr>
                <w:rFonts w:ascii="Calibri" w:eastAsia="Times New Roman" w:hAnsi="Calibri" w:cs="Calibri"/>
                <w:color w:val="000000"/>
                <w:lang w:eastAsia="en-GB"/>
              </w:rPr>
            </w:pPr>
            <w:r w:rsidRPr="00112C70">
              <w:rPr>
                <w:rFonts w:ascii="Calibri" w:eastAsia="Times New Roman" w:hAnsi="Calibri" w:cs="Calibri"/>
                <w:color w:val="000000"/>
                <w:lang w:eastAsia="en-GB"/>
              </w:rPr>
              <w:t>N/A</w:t>
            </w:r>
          </w:p>
        </w:tc>
        <w:tc>
          <w:tcPr>
            <w:tcW w:w="217" w:type="pct"/>
            <w:tcBorders>
              <w:top w:val="nil"/>
              <w:left w:val="nil"/>
              <w:bottom w:val="nil"/>
              <w:right w:val="nil"/>
            </w:tcBorders>
            <w:shd w:val="clear" w:color="D9D9D9" w:fill="D9D9D9"/>
            <w:noWrap/>
            <w:vAlign w:val="bottom"/>
            <w:hideMark/>
          </w:tcPr>
          <w:p w14:paraId="37281CEB"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18EA32B9" w14:textId="77777777" w:rsidR="000B56EA" w:rsidRPr="00112C70" w:rsidRDefault="000B56EA" w:rsidP="000B56EA">
            <w:pPr>
              <w:spacing w:after="0" w:line="240" w:lineRule="auto"/>
              <w:rPr>
                <w:rFonts w:ascii="Calibri" w:eastAsia="Times New Roman" w:hAnsi="Calibri" w:cs="Calibri"/>
                <w:color w:val="000000"/>
                <w:lang w:eastAsia="en-GB"/>
              </w:rPr>
            </w:pPr>
            <w:r w:rsidRPr="00112C70">
              <w:rPr>
                <w:rFonts w:ascii="Calibri" w:eastAsia="Times New Roman" w:hAnsi="Calibri" w:cs="Calibri"/>
                <w:color w:val="000000"/>
                <w:lang w:eastAsia="en-GB"/>
              </w:rPr>
              <w:t>N/A</w:t>
            </w:r>
          </w:p>
        </w:tc>
        <w:tc>
          <w:tcPr>
            <w:tcW w:w="217" w:type="pct"/>
            <w:tcBorders>
              <w:top w:val="nil"/>
              <w:left w:val="nil"/>
              <w:bottom w:val="nil"/>
              <w:right w:val="nil"/>
            </w:tcBorders>
            <w:shd w:val="clear" w:color="D9D9D9" w:fill="D9D9D9"/>
            <w:noWrap/>
            <w:vAlign w:val="bottom"/>
            <w:hideMark/>
          </w:tcPr>
          <w:p w14:paraId="6BA8A464"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3FB79194" w14:textId="77777777" w:rsidR="000B56EA" w:rsidRPr="00112C70" w:rsidRDefault="000B56EA" w:rsidP="000B56EA">
            <w:pPr>
              <w:spacing w:after="0" w:line="240" w:lineRule="auto"/>
              <w:rPr>
                <w:rFonts w:ascii="Calibri" w:eastAsia="Times New Roman" w:hAnsi="Calibri" w:cs="Calibri"/>
                <w:color w:val="000000"/>
                <w:lang w:eastAsia="en-GB"/>
              </w:rPr>
            </w:pPr>
            <w:r w:rsidRPr="00112C70">
              <w:rPr>
                <w:rFonts w:ascii="Calibri" w:eastAsia="Times New Roman" w:hAnsi="Calibri" w:cs="Calibri"/>
                <w:color w:val="000000"/>
                <w:lang w:eastAsia="en-GB"/>
              </w:rPr>
              <w:t>N/A</w:t>
            </w:r>
          </w:p>
        </w:tc>
        <w:tc>
          <w:tcPr>
            <w:tcW w:w="217" w:type="pct"/>
            <w:tcBorders>
              <w:top w:val="nil"/>
              <w:left w:val="nil"/>
              <w:bottom w:val="nil"/>
              <w:right w:val="nil"/>
            </w:tcBorders>
            <w:shd w:val="clear" w:color="D9D9D9" w:fill="D9D9D9"/>
            <w:noWrap/>
            <w:vAlign w:val="bottom"/>
            <w:hideMark/>
          </w:tcPr>
          <w:p w14:paraId="0058C159" w14:textId="77777777" w:rsidR="000B56EA" w:rsidRPr="00112C70" w:rsidRDefault="000B56EA" w:rsidP="000B56EA">
            <w:pPr>
              <w:spacing w:after="0" w:line="240" w:lineRule="auto"/>
              <w:rPr>
                <w:rFonts w:ascii="Calibri" w:eastAsia="Times New Roman" w:hAnsi="Calibri" w:cs="Calibri"/>
                <w:color w:val="000000"/>
                <w:lang w:eastAsia="en-GB"/>
              </w:rPr>
            </w:pPr>
            <w:r w:rsidRPr="00112C70">
              <w:rPr>
                <w:rFonts w:ascii="Calibri" w:eastAsia="Times New Roman" w:hAnsi="Calibri" w:cs="Calibri"/>
                <w:color w:val="000000"/>
                <w:lang w:eastAsia="en-GB"/>
              </w:rPr>
              <w:t>N/A</w:t>
            </w:r>
          </w:p>
        </w:tc>
        <w:tc>
          <w:tcPr>
            <w:tcW w:w="217" w:type="pct"/>
            <w:tcBorders>
              <w:top w:val="nil"/>
              <w:left w:val="nil"/>
              <w:bottom w:val="nil"/>
              <w:right w:val="nil"/>
            </w:tcBorders>
            <w:shd w:val="clear" w:color="D9D9D9" w:fill="D9D9D9"/>
            <w:noWrap/>
            <w:vAlign w:val="bottom"/>
            <w:hideMark/>
          </w:tcPr>
          <w:p w14:paraId="67FE19FE" w14:textId="77777777" w:rsidR="000B56EA" w:rsidRPr="00112C70" w:rsidRDefault="000B56EA" w:rsidP="000B56EA">
            <w:pPr>
              <w:spacing w:after="0" w:line="240" w:lineRule="auto"/>
              <w:rPr>
                <w:rFonts w:ascii="Calibri" w:eastAsia="Times New Roman" w:hAnsi="Calibri" w:cs="Calibri"/>
                <w:color w:val="000000"/>
                <w:lang w:eastAsia="en-GB"/>
              </w:rPr>
            </w:pPr>
            <w:r w:rsidRPr="00112C70">
              <w:rPr>
                <w:rFonts w:ascii="Calibri" w:eastAsia="Times New Roman" w:hAnsi="Calibri" w:cs="Calibri"/>
                <w:color w:val="000000"/>
                <w:lang w:eastAsia="en-GB"/>
              </w:rPr>
              <w:t>N/A</w:t>
            </w:r>
          </w:p>
        </w:tc>
        <w:tc>
          <w:tcPr>
            <w:tcW w:w="217" w:type="pct"/>
            <w:tcBorders>
              <w:top w:val="nil"/>
              <w:left w:val="nil"/>
              <w:bottom w:val="nil"/>
              <w:right w:val="nil"/>
            </w:tcBorders>
            <w:shd w:val="clear" w:color="D9D9D9" w:fill="D9D9D9"/>
            <w:noWrap/>
            <w:vAlign w:val="bottom"/>
            <w:hideMark/>
          </w:tcPr>
          <w:p w14:paraId="1A381AFD" w14:textId="77777777" w:rsidR="000B56EA" w:rsidRPr="00112C70" w:rsidRDefault="000B56EA" w:rsidP="000B56EA">
            <w:pPr>
              <w:spacing w:after="0" w:line="240" w:lineRule="auto"/>
              <w:rPr>
                <w:rFonts w:ascii="Calibri" w:eastAsia="Times New Roman" w:hAnsi="Calibri" w:cs="Calibri"/>
                <w:color w:val="000000"/>
                <w:lang w:eastAsia="en-GB"/>
              </w:rPr>
            </w:pPr>
            <w:r w:rsidRPr="00112C70">
              <w:rPr>
                <w:rFonts w:ascii="Calibri" w:eastAsia="Times New Roman" w:hAnsi="Calibri" w:cs="Calibri"/>
                <w:color w:val="000000"/>
                <w:lang w:eastAsia="en-GB"/>
              </w:rPr>
              <w:t>N/A</w:t>
            </w:r>
          </w:p>
        </w:tc>
        <w:tc>
          <w:tcPr>
            <w:tcW w:w="236" w:type="pct"/>
            <w:tcBorders>
              <w:top w:val="nil"/>
              <w:left w:val="nil"/>
              <w:bottom w:val="nil"/>
              <w:right w:val="nil"/>
            </w:tcBorders>
            <w:shd w:val="clear" w:color="D9D9D9" w:fill="D9D9D9"/>
            <w:noWrap/>
            <w:vAlign w:val="bottom"/>
            <w:hideMark/>
          </w:tcPr>
          <w:p w14:paraId="75702B7B"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r>
      <w:tr w:rsidR="000B56EA" w:rsidRPr="00112C70" w14:paraId="1576C798" w14:textId="77777777" w:rsidTr="000B56EA">
        <w:trPr>
          <w:trHeight w:val="290"/>
        </w:trPr>
        <w:tc>
          <w:tcPr>
            <w:tcW w:w="3031" w:type="pct"/>
            <w:gridSpan w:val="2"/>
            <w:tcBorders>
              <w:top w:val="nil"/>
              <w:left w:val="nil"/>
              <w:bottom w:val="nil"/>
              <w:right w:val="nil"/>
            </w:tcBorders>
            <w:shd w:val="clear" w:color="auto" w:fill="auto"/>
            <w:noWrap/>
            <w:vAlign w:val="center"/>
            <w:hideMark/>
          </w:tcPr>
          <w:p w14:paraId="392ED5AE" w14:textId="77777777" w:rsidR="000B56EA" w:rsidRPr="00112C70" w:rsidRDefault="000B56EA" w:rsidP="000B56EA">
            <w:pPr>
              <w:spacing w:after="0" w:line="240" w:lineRule="auto"/>
              <w:ind w:firstLineChars="400" w:firstLine="880"/>
              <w:rPr>
                <w:rFonts w:ascii="Calibri" w:eastAsia="Times New Roman" w:hAnsi="Calibri" w:cs="Calibri"/>
                <w:color w:val="000000"/>
                <w:lang w:eastAsia="en-GB"/>
              </w:rPr>
            </w:pPr>
            <w:r w:rsidRPr="00112C70">
              <w:rPr>
                <w:rFonts w:ascii="Calibri" w:eastAsia="Times New Roman" w:hAnsi="Calibri" w:cs="Calibri"/>
                <w:color w:val="000000"/>
                <w:lang w:eastAsia="en-GB"/>
              </w:rPr>
              <w:t>11.</w:t>
            </w:r>
            <w:r w:rsidRPr="00112C70">
              <w:rPr>
                <w:rFonts w:ascii="Times New Roman" w:eastAsia="Times New Roman" w:hAnsi="Times New Roman" w:cs="Times New Roman"/>
                <w:color w:val="000000"/>
                <w:sz w:val="14"/>
                <w:szCs w:val="14"/>
                <w:lang w:eastAsia="en-GB"/>
              </w:rPr>
              <w:t xml:space="preserve">   </w:t>
            </w:r>
            <w:r w:rsidRPr="00112C70">
              <w:rPr>
                <w:rFonts w:ascii="Calibri" w:eastAsia="Times New Roman" w:hAnsi="Calibri" w:cs="Calibri"/>
                <w:color w:val="000000"/>
                <w:lang w:eastAsia="en-GB"/>
              </w:rPr>
              <w:t>Was the follow up of subject long enough?</w:t>
            </w:r>
          </w:p>
        </w:tc>
        <w:tc>
          <w:tcPr>
            <w:tcW w:w="217" w:type="pct"/>
            <w:tcBorders>
              <w:top w:val="nil"/>
              <w:left w:val="nil"/>
              <w:bottom w:val="nil"/>
              <w:right w:val="nil"/>
            </w:tcBorders>
            <w:shd w:val="clear" w:color="auto" w:fill="auto"/>
            <w:noWrap/>
            <w:vAlign w:val="bottom"/>
            <w:hideMark/>
          </w:tcPr>
          <w:p w14:paraId="54C83C84" w14:textId="77777777" w:rsidR="000B56EA" w:rsidRPr="00112C70" w:rsidRDefault="000B56EA" w:rsidP="000B56EA">
            <w:pPr>
              <w:spacing w:after="0" w:line="240" w:lineRule="auto"/>
              <w:rPr>
                <w:rFonts w:ascii="Calibri" w:eastAsia="Times New Roman" w:hAnsi="Calibri" w:cs="Calibri"/>
                <w:color w:val="000000"/>
                <w:lang w:eastAsia="en-GB"/>
              </w:rPr>
            </w:pPr>
            <w:r w:rsidRPr="00112C70">
              <w:rPr>
                <w:rFonts w:ascii="Calibri" w:eastAsia="Times New Roman" w:hAnsi="Calibri" w:cs="Calibri"/>
                <w:color w:val="000000"/>
                <w:lang w:eastAsia="en-GB"/>
              </w:rPr>
              <w:t>N/A</w:t>
            </w:r>
          </w:p>
        </w:tc>
        <w:tc>
          <w:tcPr>
            <w:tcW w:w="217" w:type="pct"/>
            <w:tcBorders>
              <w:top w:val="nil"/>
              <w:left w:val="nil"/>
              <w:bottom w:val="nil"/>
              <w:right w:val="nil"/>
            </w:tcBorders>
            <w:shd w:val="clear" w:color="auto" w:fill="auto"/>
            <w:noWrap/>
            <w:vAlign w:val="bottom"/>
            <w:hideMark/>
          </w:tcPr>
          <w:p w14:paraId="20C678A9"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790FA3AA" w14:textId="77777777" w:rsidR="000B56EA" w:rsidRPr="00112C70" w:rsidRDefault="000B56EA" w:rsidP="000B56EA">
            <w:pPr>
              <w:spacing w:after="0" w:line="240" w:lineRule="auto"/>
              <w:rPr>
                <w:rFonts w:ascii="Calibri" w:eastAsia="Times New Roman" w:hAnsi="Calibri" w:cs="Calibri"/>
                <w:color w:val="000000"/>
                <w:lang w:eastAsia="en-GB"/>
              </w:rPr>
            </w:pPr>
            <w:r w:rsidRPr="00112C70">
              <w:rPr>
                <w:rFonts w:ascii="Calibri" w:eastAsia="Times New Roman" w:hAnsi="Calibri" w:cs="Calibri"/>
                <w:color w:val="000000"/>
                <w:lang w:eastAsia="en-GB"/>
              </w:rPr>
              <w:t>N/A</w:t>
            </w:r>
          </w:p>
        </w:tc>
        <w:tc>
          <w:tcPr>
            <w:tcW w:w="217" w:type="pct"/>
            <w:tcBorders>
              <w:top w:val="nil"/>
              <w:left w:val="nil"/>
              <w:bottom w:val="nil"/>
              <w:right w:val="nil"/>
            </w:tcBorders>
            <w:shd w:val="clear" w:color="auto" w:fill="auto"/>
            <w:noWrap/>
            <w:vAlign w:val="bottom"/>
            <w:hideMark/>
          </w:tcPr>
          <w:p w14:paraId="68069A68"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605E661D" w14:textId="77777777" w:rsidR="000B56EA" w:rsidRPr="00112C70" w:rsidRDefault="000B56EA" w:rsidP="000B56EA">
            <w:pPr>
              <w:spacing w:after="0" w:line="240" w:lineRule="auto"/>
              <w:rPr>
                <w:rFonts w:ascii="Calibri" w:eastAsia="Times New Roman" w:hAnsi="Calibri" w:cs="Calibri"/>
                <w:color w:val="000000"/>
                <w:lang w:eastAsia="en-GB"/>
              </w:rPr>
            </w:pPr>
            <w:r w:rsidRPr="00112C70">
              <w:rPr>
                <w:rFonts w:ascii="Calibri" w:eastAsia="Times New Roman" w:hAnsi="Calibri" w:cs="Calibri"/>
                <w:color w:val="000000"/>
                <w:lang w:eastAsia="en-GB"/>
              </w:rPr>
              <w:t>N/A</w:t>
            </w:r>
          </w:p>
        </w:tc>
        <w:tc>
          <w:tcPr>
            <w:tcW w:w="217" w:type="pct"/>
            <w:tcBorders>
              <w:top w:val="nil"/>
              <w:left w:val="nil"/>
              <w:bottom w:val="nil"/>
              <w:right w:val="nil"/>
            </w:tcBorders>
            <w:shd w:val="clear" w:color="auto" w:fill="auto"/>
            <w:noWrap/>
            <w:vAlign w:val="bottom"/>
            <w:hideMark/>
          </w:tcPr>
          <w:p w14:paraId="20805AAD" w14:textId="77777777" w:rsidR="000B56EA" w:rsidRPr="00112C70" w:rsidRDefault="000B56EA" w:rsidP="000B56EA">
            <w:pPr>
              <w:spacing w:after="0" w:line="240" w:lineRule="auto"/>
              <w:rPr>
                <w:rFonts w:ascii="Calibri" w:eastAsia="Times New Roman" w:hAnsi="Calibri" w:cs="Calibri"/>
                <w:color w:val="000000"/>
                <w:lang w:eastAsia="en-GB"/>
              </w:rPr>
            </w:pPr>
            <w:r w:rsidRPr="00112C70">
              <w:rPr>
                <w:rFonts w:ascii="Calibri" w:eastAsia="Times New Roman" w:hAnsi="Calibri" w:cs="Calibri"/>
                <w:color w:val="000000"/>
                <w:lang w:eastAsia="en-GB"/>
              </w:rPr>
              <w:t>N/A</w:t>
            </w:r>
          </w:p>
        </w:tc>
        <w:tc>
          <w:tcPr>
            <w:tcW w:w="217" w:type="pct"/>
            <w:tcBorders>
              <w:top w:val="nil"/>
              <w:left w:val="nil"/>
              <w:bottom w:val="nil"/>
              <w:right w:val="nil"/>
            </w:tcBorders>
            <w:shd w:val="clear" w:color="auto" w:fill="auto"/>
            <w:noWrap/>
            <w:vAlign w:val="bottom"/>
            <w:hideMark/>
          </w:tcPr>
          <w:p w14:paraId="77236727" w14:textId="77777777" w:rsidR="000B56EA" w:rsidRPr="00112C70" w:rsidRDefault="000B56EA" w:rsidP="000B56EA">
            <w:pPr>
              <w:spacing w:after="0" w:line="240" w:lineRule="auto"/>
              <w:rPr>
                <w:rFonts w:ascii="Calibri" w:eastAsia="Times New Roman" w:hAnsi="Calibri" w:cs="Calibri"/>
                <w:color w:val="000000"/>
                <w:lang w:eastAsia="en-GB"/>
              </w:rPr>
            </w:pPr>
            <w:r w:rsidRPr="00112C70">
              <w:rPr>
                <w:rFonts w:ascii="Calibri" w:eastAsia="Times New Roman" w:hAnsi="Calibri" w:cs="Calibri"/>
                <w:color w:val="000000"/>
                <w:lang w:eastAsia="en-GB"/>
              </w:rPr>
              <w:t>N/A</w:t>
            </w:r>
          </w:p>
        </w:tc>
        <w:tc>
          <w:tcPr>
            <w:tcW w:w="217" w:type="pct"/>
            <w:tcBorders>
              <w:top w:val="nil"/>
              <w:left w:val="nil"/>
              <w:bottom w:val="nil"/>
              <w:right w:val="nil"/>
            </w:tcBorders>
            <w:shd w:val="clear" w:color="auto" w:fill="auto"/>
            <w:noWrap/>
            <w:vAlign w:val="bottom"/>
            <w:hideMark/>
          </w:tcPr>
          <w:p w14:paraId="243927E0" w14:textId="77777777" w:rsidR="000B56EA" w:rsidRPr="00112C70" w:rsidRDefault="000B56EA" w:rsidP="000B56EA">
            <w:pPr>
              <w:spacing w:after="0" w:line="240" w:lineRule="auto"/>
              <w:rPr>
                <w:rFonts w:ascii="Calibri" w:eastAsia="Times New Roman" w:hAnsi="Calibri" w:cs="Calibri"/>
                <w:color w:val="000000"/>
                <w:lang w:eastAsia="en-GB"/>
              </w:rPr>
            </w:pPr>
            <w:r w:rsidRPr="00112C70">
              <w:rPr>
                <w:rFonts w:ascii="Calibri" w:eastAsia="Times New Roman" w:hAnsi="Calibri" w:cs="Calibri"/>
                <w:color w:val="000000"/>
                <w:lang w:eastAsia="en-GB"/>
              </w:rPr>
              <w:t>N/A</w:t>
            </w:r>
          </w:p>
        </w:tc>
        <w:tc>
          <w:tcPr>
            <w:tcW w:w="236" w:type="pct"/>
            <w:tcBorders>
              <w:top w:val="nil"/>
              <w:left w:val="nil"/>
              <w:bottom w:val="nil"/>
              <w:right w:val="nil"/>
            </w:tcBorders>
            <w:shd w:val="clear" w:color="auto" w:fill="auto"/>
            <w:noWrap/>
            <w:vAlign w:val="bottom"/>
            <w:hideMark/>
          </w:tcPr>
          <w:p w14:paraId="3FBB74A6"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r>
      <w:tr w:rsidR="000B56EA" w:rsidRPr="00112C70" w14:paraId="49DFC42F" w14:textId="77777777" w:rsidTr="000B56EA">
        <w:trPr>
          <w:trHeight w:val="290"/>
        </w:trPr>
        <w:tc>
          <w:tcPr>
            <w:tcW w:w="3031" w:type="pct"/>
            <w:gridSpan w:val="2"/>
            <w:tcBorders>
              <w:top w:val="nil"/>
              <w:left w:val="nil"/>
              <w:bottom w:val="nil"/>
              <w:right w:val="nil"/>
            </w:tcBorders>
            <w:shd w:val="clear" w:color="D9D9D9" w:fill="D9D9D9"/>
            <w:noWrap/>
            <w:vAlign w:val="center"/>
            <w:hideMark/>
          </w:tcPr>
          <w:p w14:paraId="08D3CA0B" w14:textId="77777777" w:rsidR="000B56EA" w:rsidRPr="00112C70" w:rsidRDefault="000B56EA" w:rsidP="000B56EA">
            <w:pPr>
              <w:spacing w:after="0" w:line="240" w:lineRule="auto"/>
              <w:ind w:firstLineChars="400" w:firstLine="880"/>
              <w:rPr>
                <w:rFonts w:ascii="Calibri" w:eastAsia="Times New Roman" w:hAnsi="Calibri" w:cs="Calibri"/>
                <w:color w:val="000000"/>
                <w:lang w:eastAsia="en-GB"/>
              </w:rPr>
            </w:pPr>
            <w:r w:rsidRPr="00112C70">
              <w:rPr>
                <w:rFonts w:ascii="Calibri" w:eastAsia="Times New Roman" w:hAnsi="Calibri" w:cs="Calibri"/>
                <w:color w:val="000000"/>
                <w:lang w:eastAsia="en-GB"/>
              </w:rPr>
              <w:t>12.</w:t>
            </w:r>
            <w:r w:rsidRPr="00112C70">
              <w:rPr>
                <w:rFonts w:ascii="Times New Roman" w:eastAsia="Times New Roman" w:hAnsi="Times New Roman" w:cs="Times New Roman"/>
                <w:color w:val="000000"/>
                <w:sz w:val="14"/>
                <w:szCs w:val="14"/>
                <w:lang w:eastAsia="en-GB"/>
              </w:rPr>
              <w:t xml:space="preserve">   </w:t>
            </w:r>
            <w:r w:rsidRPr="00112C70">
              <w:rPr>
                <w:rFonts w:ascii="Calibri" w:eastAsia="Times New Roman" w:hAnsi="Calibri" w:cs="Calibri"/>
                <w:color w:val="000000"/>
                <w:lang w:eastAsia="en-GB"/>
              </w:rPr>
              <w:t>Is it clear what was used to determine statistical significance and or/precision estimates (e.g. p-values/confidence intervals)?</w:t>
            </w:r>
          </w:p>
        </w:tc>
        <w:tc>
          <w:tcPr>
            <w:tcW w:w="217" w:type="pct"/>
            <w:tcBorders>
              <w:top w:val="nil"/>
              <w:left w:val="nil"/>
              <w:bottom w:val="nil"/>
              <w:right w:val="nil"/>
            </w:tcBorders>
            <w:shd w:val="clear" w:color="D9D9D9" w:fill="D9D9D9"/>
            <w:noWrap/>
            <w:vAlign w:val="bottom"/>
            <w:hideMark/>
          </w:tcPr>
          <w:p w14:paraId="3FFAC7D6"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12D12D4B"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7DC353D5"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49741E6B"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06BFDB72"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09525F76"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3824EA70"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7B42A9D8"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36" w:type="pct"/>
            <w:tcBorders>
              <w:top w:val="nil"/>
              <w:left w:val="nil"/>
              <w:bottom w:val="nil"/>
              <w:right w:val="nil"/>
            </w:tcBorders>
            <w:shd w:val="clear" w:color="D9D9D9" w:fill="D9D9D9"/>
            <w:noWrap/>
            <w:vAlign w:val="bottom"/>
            <w:hideMark/>
          </w:tcPr>
          <w:p w14:paraId="477AB788"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r>
      <w:tr w:rsidR="000B56EA" w:rsidRPr="00112C70" w14:paraId="1D551CE0" w14:textId="77777777" w:rsidTr="000B56EA">
        <w:trPr>
          <w:trHeight w:val="290"/>
        </w:trPr>
        <w:tc>
          <w:tcPr>
            <w:tcW w:w="3031" w:type="pct"/>
            <w:gridSpan w:val="2"/>
            <w:tcBorders>
              <w:top w:val="nil"/>
              <w:left w:val="nil"/>
              <w:bottom w:val="nil"/>
              <w:right w:val="nil"/>
            </w:tcBorders>
            <w:shd w:val="clear" w:color="auto" w:fill="auto"/>
            <w:noWrap/>
            <w:vAlign w:val="center"/>
            <w:hideMark/>
          </w:tcPr>
          <w:p w14:paraId="28760881" w14:textId="77777777" w:rsidR="000B56EA" w:rsidRPr="00112C70" w:rsidRDefault="000B56EA" w:rsidP="000B56EA">
            <w:pPr>
              <w:spacing w:after="0" w:line="240" w:lineRule="auto"/>
              <w:ind w:firstLineChars="400" w:firstLine="880"/>
              <w:rPr>
                <w:rFonts w:ascii="Calibri" w:eastAsia="Times New Roman" w:hAnsi="Calibri" w:cs="Calibri"/>
                <w:color w:val="000000"/>
                <w:lang w:eastAsia="en-GB"/>
              </w:rPr>
            </w:pPr>
            <w:r w:rsidRPr="00112C70">
              <w:rPr>
                <w:rFonts w:ascii="Calibri" w:eastAsia="Times New Roman" w:hAnsi="Calibri" w:cs="Calibri"/>
                <w:color w:val="000000"/>
                <w:lang w:eastAsia="en-GB"/>
              </w:rPr>
              <w:t>13.</w:t>
            </w:r>
            <w:r w:rsidRPr="00112C70">
              <w:rPr>
                <w:rFonts w:ascii="Times New Roman" w:eastAsia="Times New Roman" w:hAnsi="Times New Roman" w:cs="Times New Roman"/>
                <w:color w:val="000000"/>
                <w:sz w:val="14"/>
                <w:szCs w:val="14"/>
                <w:lang w:eastAsia="en-GB"/>
              </w:rPr>
              <w:t xml:space="preserve">   </w:t>
            </w:r>
            <w:r w:rsidRPr="00112C70">
              <w:rPr>
                <w:rFonts w:ascii="Calibri" w:eastAsia="Times New Roman" w:hAnsi="Calibri" w:cs="Calibri"/>
                <w:color w:val="000000"/>
                <w:lang w:eastAsia="en-GB"/>
              </w:rPr>
              <w:t>Were the methods (including statistical methods) sufficiently described to enable them to be repeated.</w:t>
            </w:r>
          </w:p>
        </w:tc>
        <w:tc>
          <w:tcPr>
            <w:tcW w:w="217" w:type="pct"/>
            <w:tcBorders>
              <w:top w:val="nil"/>
              <w:left w:val="nil"/>
              <w:bottom w:val="nil"/>
              <w:right w:val="nil"/>
            </w:tcBorders>
            <w:shd w:val="clear" w:color="auto" w:fill="auto"/>
            <w:noWrap/>
            <w:vAlign w:val="bottom"/>
            <w:hideMark/>
          </w:tcPr>
          <w:p w14:paraId="53311700"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1D4C488C"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1287EBC5"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036C8DEE"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768DA120"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326B3546"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55E78097"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2D3D099B"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36" w:type="pct"/>
            <w:tcBorders>
              <w:top w:val="nil"/>
              <w:left w:val="nil"/>
              <w:bottom w:val="nil"/>
              <w:right w:val="nil"/>
            </w:tcBorders>
            <w:shd w:val="clear" w:color="auto" w:fill="auto"/>
            <w:noWrap/>
            <w:vAlign w:val="bottom"/>
            <w:hideMark/>
          </w:tcPr>
          <w:p w14:paraId="19A6569A"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r>
      <w:tr w:rsidR="000B56EA" w:rsidRPr="00112C70" w14:paraId="3C59B84B" w14:textId="77777777" w:rsidTr="000B56EA">
        <w:trPr>
          <w:trHeight w:val="290"/>
        </w:trPr>
        <w:tc>
          <w:tcPr>
            <w:tcW w:w="2011" w:type="pct"/>
            <w:tcBorders>
              <w:top w:val="nil"/>
              <w:left w:val="nil"/>
              <w:bottom w:val="nil"/>
              <w:right w:val="nil"/>
            </w:tcBorders>
            <w:shd w:val="clear" w:color="D9D9D9" w:fill="D9D9D9"/>
            <w:noWrap/>
            <w:vAlign w:val="center"/>
            <w:hideMark/>
          </w:tcPr>
          <w:p w14:paraId="6541896D" w14:textId="77777777" w:rsidR="000B56EA" w:rsidRPr="00112C70" w:rsidRDefault="000B56EA" w:rsidP="000B56EA">
            <w:pPr>
              <w:spacing w:after="0" w:line="240" w:lineRule="auto"/>
              <w:rPr>
                <w:rFonts w:ascii="Calibri" w:eastAsia="Times New Roman" w:hAnsi="Calibri" w:cs="Calibri"/>
                <w:i/>
                <w:iCs/>
                <w:color w:val="000000"/>
                <w:lang w:eastAsia="en-GB"/>
              </w:rPr>
            </w:pPr>
            <w:r w:rsidRPr="00112C70">
              <w:rPr>
                <w:rFonts w:ascii="Calibri" w:eastAsia="Times New Roman" w:hAnsi="Calibri" w:cs="Calibri"/>
                <w:i/>
                <w:iCs/>
                <w:color w:val="000000"/>
                <w:lang w:eastAsia="en-GB"/>
              </w:rPr>
              <w:t>Results</w:t>
            </w:r>
          </w:p>
        </w:tc>
        <w:tc>
          <w:tcPr>
            <w:tcW w:w="1020" w:type="pct"/>
            <w:tcBorders>
              <w:top w:val="nil"/>
              <w:left w:val="nil"/>
              <w:bottom w:val="nil"/>
              <w:right w:val="nil"/>
            </w:tcBorders>
            <w:shd w:val="clear" w:color="D9D9D9" w:fill="D9D9D9"/>
            <w:noWrap/>
            <w:vAlign w:val="bottom"/>
            <w:hideMark/>
          </w:tcPr>
          <w:p w14:paraId="1E420273" w14:textId="77777777" w:rsidR="000B56EA" w:rsidRPr="00112C70" w:rsidRDefault="000B56EA" w:rsidP="000B56EA">
            <w:pPr>
              <w:spacing w:after="0" w:line="240" w:lineRule="auto"/>
              <w:rPr>
                <w:rFonts w:ascii="Calibri" w:eastAsia="Times New Roman" w:hAnsi="Calibri" w:cs="Calibri"/>
                <w:i/>
                <w:iCs/>
                <w:color w:val="000000"/>
                <w:lang w:eastAsia="en-GB"/>
              </w:rPr>
            </w:pPr>
          </w:p>
        </w:tc>
        <w:tc>
          <w:tcPr>
            <w:tcW w:w="217" w:type="pct"/>
            <w:tcBorders>
              <w:top w:val="nil"/>
              <w:left w:val="nil"/>
              <w:bottom w:val="nil"/>
              <w:right w:val="nil"/>
            </w:tcBorders>
            <w:shd w:val="clear" w:color="D9D9D9" w:fill="D9D9D9"/>
            <w:noWrap/>
            <w:vAlign w:val="bottom"/>
            <w:hideMark/>
          </w:tcPr>
          <w:p w14:paraId="6564C62C"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D9D9D9" w:fill="D9D9D9"/>
            <w:noWrap/>
            <w:vAlign w:val="bottom"/>
            <w:hideMark/>
          </w:tcPr>
          <w:p w14:paraId="6613825D"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D9D9D9" w:fill="D9D9D9"/>
            <w:noWrap/>
            <w:vAlign w:val="bottom"/>
            <w:hideMark/>
          </w:tcPr>
          <w:p w14:paraId="157D17B5"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D9D9D9" w:fill="D9D9D9"/>
            <w:noWrap/>
            <w:vAlign w:val="bottom"/>
            <w:hideMark/>
          </w:tcPr>
          <w:p w14:paraId="7B034022"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D9D9D9" w:fill="D9D9D9"/>
            <w:noWrap/>
            <w:vAlign w:val="bottom"/>
            <w:hideMark/>
          </w:tcPr>
          <w:p w14:paraId="46C06032"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D9D9D9" w:fill="D9D9D9"/>
            <w:noWrap/>
            <w:vAlign w:val="bottom"/>
            <w:hideMark/>
          </w:tcPr>
          <w:p w14:paraId="5D374424"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D9D9D9" w:fill="D9D9D9"/>
            <w:noWrap/>
            <w:vAlign w:val="bottom"/>
            <w:hideMark/>
          </w:tcPr>
          <w:p w14:paraId="2C3DFB16"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D9D9D9" w:fill="D9D9D9"/>
            <w:noWrap/>
            <w:vAlign w:val="bottom"/>
            <w:hideMark/>
          </w:tcPr>
          <w:p w14:paraId="60D644F2"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36" w:type="pct"/>
            <w:tcBorders>
              <w:top w:val="nil"/>
              <w:left w:val="nil"/>
              <w:bottom w:val="nil"/>
              <w:right w:val="nil"/>
            </w:tcBorders>
            <w:shd w:val="clear" w:color="D9D9D9" w:fill="D9D9D9"/>
            <w:noWrap/>
            <w:vAlign w:val="bottom"/>
            <w:hideMark/>
          </w:tcPr>
          <w:p w14:paraId="171FDC78"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r>
      <w:tr w:rsidR="000B56EA" w:rsidRPr="00112C70" w14:paraId="536E2E88" w14:textId="77777777" w:rsidTr="000B56EA">
        <w:trPr>
          <w:trHeight w:val="290"/>
        </w:trPr>
        <w:tc>
          <w:tcPr>
            <w:tcW w:w="3031" w:type="pct"/>
            <w:gridSpan w:val="2"/>
            <w:tcBorders>
              <w:top w:val="nil"/>
              <w:left w:val="nil"/>
              <w:bottom w:val="nil"/>
              <w:right w:val="nil"/>
            </w:tcBorders>
            <w:shd w:val="clear" w:color="auto" w:fill="auto"/>
            <w:noWrap/>
            <w:vAlign w:val="center"/>
            <w:hideMark/>
          </w:tcPr>
          <w:p w14:paraId="58FFE0C6" w14:textId="77777777" w:rsidR="000B56EA" w:rsidRPr="00112C70" w:rsidRDefault="000B56EA" w:rsidP="000B56EA">
            <w:pPr>
              <w:spacing w:after="0" w:line="240" w:lineRule="auto"/>
              <w:ind w:firstLineChars="400" w:firstLine="880"/>
              <w:rPr>
                <w:rFonts w:ascii="Calibri" w:eastAsia="Times New Roman" w:hAnsi="Calibri" w:cs="Calibri"/>
                <w:color w:val="000000"/>
                <w:lang w:eastAsia="en-GB"/>
              </w:rPr>
            </w:pPr>
            <w:r w:rsidRPr="00112C70">
              <w:rPr>
                <w:rFonts w:ascii="Calibri" w:eastAsia="Times New Roman" w:hAnsi="Calibri" w:cs="Calibri"/>
                <w:color w:val="000000"/>
                <w:lang w:eastAsia="en-GB"/>
              </w:rPr>
              <w:t>14.</w:t>
            </w:r>
            <w:r w:rsidRPr="00112C70">
              <w:rPr>
                <w:rFonts w:ascii="Times New Roman" w:eastAsia="Times New Roman" w:hAnsi="Times New Roman" w:cs="Times New Roman"/>
                <w:color w:val="000000"/>
                <w:sz w:val="14"/>
                <w:szCs w:val="14"/>
                <w:lang w:eastAsia="en-GB"/>
              </w:rPr>
              <w:t xml:space="preserve">   </w:t>
            </w:r>
            <w:r w:rsidRPr="00112C70">
              <w:rPr>
                <w:rFonts w:ascii="Calibri" w:eastAsia="Times New Roman" w:hAnsi="Calibri" w:cs="Calibri"/>
                <w:color w:val="000000"/>
                <w:lang w:eastAsia="en-GB"/>
              </w:rPr>
              <w:t>Were the basic data adequately described?</w:t>
            </w:r>
          </w:p>
        </w:tc>
        <w:tc>
          <w:tcPr>
            <w:tcW w:w="217" w:type="pct"/>
            <w:tcBorders>
              <w:top w:val="nil"/>
              <w:left w:val="nil"/>
              <w:bottom w:val="nil"/>
              <w:right w:val="nil"/>
            </w:tcBorders>
            <w:shd w:val="clear" w:color="auto" w:fill="auto"/>
            <w:noWrap/>
            <w:vAlign w:val="bottom"/>
            <w:hideMark/>
          </w:tcPr>
          <w:p w14:paraId="6B5EE95D"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332B8208"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27284074"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4E3D69EC"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25155D06"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3F9E844C"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3F463EA3"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04DDC3B1"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36" w:type="pct"/>
            <w:tcBorders>
              <w:top w:val="nil"/>
              <w:left w:val="nil"/>
              <w:bottom w:val="nil"/>
              <w:right w:val="nil"/>
            </w:tcBorders>
            <w:shd w:val="clear" w:color="auto" w:fill="auto"/>
            <w:noWrap/>
            <w:vAlign w:val="bottom"/>
            <w:hideMark/>
          </w:tcPr>
          <w:p w14:paraId="4AA913EC"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r>
      <w:tr w:rsidR="000B56EA" w:rsidRPr="00112C70" w14:paraId="28006CD8" w14:textId="77777777" w:rsidTr="000B56EA">
        <w:trPr>
          <w:trHeight w:val="290"/>
        </w:trPr>
        <w:tc>
          <w:tcPr>
            <w:tcW w:w="3031" w:type="pct"/>
            <w:gridSpan w:val="2"/>
            <w:tcBorders>
              <w:top w:val="nil"/>
              <w:left w:val="nil"/>
              <w:bottom w:val="nil"/>
              <w:right w:val="nil"/>
            </w:tcBorders>
            <w:shd w:val="clear" w:color="D9D9D9" w:fill="D9D9D9"/>
            <w:noWrap/>
            <w:vAlign w:val="center"/>
            <w:hideMark/>
          </w:tcPr>
          <w:p w14:paraId="44FC0387" w14:textId="77777777" w:rsidR="000B56EA" w:rsidRPr="00112C70" w:rsidRDefault="000B56EA" w:rsidP="000B56EA">
            <w:pPr>
              <w:spacing w:after="0" w:line="240" w:lineRule="auto"/>
              <w:ind w:firstLineChars="400" w:firstLine="880"/>
              <w:rPr>
                <w:rFonts w:ascii="Calibri" w:eastAsia="Times New Roman" w:hAnsi="Calibri" w:cs="Calibri"/>
                <w:color w:val="000000"/>
                <w:lang w:eastAsia="en-GB"/>
              </w:rPr>
            </w:pPr>
            <w:r w:rsidRPr="00112C70">
              <w:rPr>
                <w:rFonts w:ascii="Calibri" w:eastAsia="Times New Roman" w:hAnsi="Calibri" w:cs="Calibri"/>
                <w:color w:val="000000"/>
                <w:lang w:eastAsia="en-GB"/>
              </w:rPr>
              <w:t>15.</w:t>
            </w:r>
            <w:r w:rsidRPr="00112C70">
              <w:rPr>
                <w:rFonts w:ascii="Times New Roman" w:eastAsia="Times New Roman" w:hAnsi="Times New Roman" w:cs="Times New Roman"/>
                <w:color w:val="000000"/>
                <w:sz w:val="14"/>
                <w:szCs w:val="14"/>
                <w:lang w:eastAsia="en-GB"/>
              </w:rPr>
              <w:t xml:space="preserve">   </w:t>
            </w:r>
            <w:r w:rsidRPr="00112C70">
              <w:rPr>
                <w:rFonts w:ascii="Calibri" w:eastAsia="Times New Roman" w:hAnsi="Calibri" w:cs="Calibri"/>
                <w:color w:val="000000"/>
                <w:lang w:eastAsia="en-GB"/>
              </w:rPr>
              <w:t>Does the response rate raise concerns about non-response bias?</w:t>
            </w:r>
          </w:p>
        </w:tc>
        <w:tc>
          <w:tcPr>
            <w:tcW w:w="217" w:type="pct"/>
            <w:tcBorders>
              <w:top w:val="nil"/>
              <w:left w:val="nil"/>
              <w:bottom w:val="nil"/>
              <w:right w:val="nil"/>
            </w:tcBorders>
            <w:shd w:val="clear" w:color="D9D9D9" w:fill="D9D9D9"/>
            <w:noWrap/>
            <w:vAlign w:val="bottom"/>
            <w:hideMark/>
          </w:tcPr>
          <w:p w14:paraId="13203002"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0</w:t>
            </w:r>
          </w:p>
        </w:tc>
        <w:tc>
          <w:tcPr>
            <w:tcW w:w="217" w:type="pct"/>
            <w:tcBorders>
              <w:top w:val="nil"/>
              <w:left w:val="nil"/>
              <w:bottom w:val="nil"/>
              <w:right w:val="nil"/>
            </w:tcBorders>
            <w:shd w:val="clear" w:color="D9D9D9" w:fill="D9D9D9"/>
            <w:noWrap/>
            <w:vAlign w:val="bottom"/>
            <w:hideMark/>
          </w:tcPr>
          <w:p w14:paraId="54DE67A9"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0</w:t>
            </w:r>
          </w:p>
        </w:tc>
        <w:tc>
          <w:tcPr>
            <w:tcW w:w="217" w:type="pct"/>
            <w:tcBorders>
              <w:top w:val="nil"/>
              <w:left w:val="nil"/>
              <w:bottom w:val="nil"/>
              <w:right w:val="nil"/>
            </w:tcBorders>
            <w:shd w:val="clear" w:color="D9D9D9" w:fill="D9D9D9"/>
            <w:noWrap/>
            <w:vAlign w:val="bottom"/>
            <w:hideMark/>
          </w:tcPr>
          <w:p w14:paraId="733B9B4E"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0</w:t>
            </w:r>
          </w:p>
        </w:tc>
        <w:tc>
          <w:tcPr>
            <w:tcW w:w="217" w:type="pct"/>
            <w:tcBorders>
              <w:top w:val="nil"/>
              <w:left w:val="nil"/>
              <w:bottom w:val="nil"/>
              <w:right w:val="nil"/>
            </w:tcBorders>
            <w:shd w:val="clear" w:color="D9D9D9" w:fill="D9D9D9"/>
            <w:noWrap/>
            <w:vAlign w:val="bottom"/>
            <w:hideMark/>
          </w:tcPr>
          <w:p w14:paraId="50C1E22A"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390E5593"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0</w:t>
            </w:r>
          </w:p>
        </w:tc>
        <w:tc>
          <w:tcPr>
            <w:tcW w:w="217" w:type="pct"/>
            <w:tcBorders>
              <w:top w:val="nil"/>
              <w:left w:val="nil"/>
              <w:bottom w:val="nil"/>
              <w:right w:val="nil"/>
            </w:tcBorders>
            <w:shd w:val="clear" w:color="D9D9D9" w:fill="D9D9D9"/>
            <w:noWrap/>
            <w:vAlign w:val="bottom"/>
            <w:hideMark/>
          </w:tcPr>
          <w:p w14:paraId="75F5CCF4"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0</w:t>
            </w:r>
          </w:p>
        </w:tc>
        <w:tc>
          <w:tcPr>
            <w:tcW w:w="217" w:type="pct"/>
            <w:tcBorders>
              <w:top w:val="nil"/>
              <w:left w:val="nil"/>
              <w:bottom w:val="nil"/>
              <w:right w:val="nil"/>
            </w:tcBorders>
            <w:shd w:val="clear" w:color="D9D9D9" w:fill="D9D9D9"/>
            <w:noWrap/>
            <w:vAlign w:val="bottom"/>
            <w:hideMark/>
          </w:tcPr>
          <w:p w14:paraId="71C4A3B3"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0</w:t>
            </w:r>
          </w:p>
        </w:tc>
        <w:tc>
          <w:tcPr>
            <w:tcW w:w="217" w:type="pct"/>
            <w:tcBorders>
              <w:top w:val="nil"/>
              <w:left w:val="nil"/>
              <w:bottom w:val="nil"/>
              <w:right w:val="nil"/>
            </w:tcBorders>
            <w:shd w:val="clear" w:color="D9D9D9" w:fill="D9D9D9"/>
            <w:noWrap/>
            <w:vAlign w:val="bottom"/>
            <w:hideMark/>
          </w:tcPr>
          <w:p w14:paraId="1FC8FBFF"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36" w:type="pct"/>
            <w:tcBorders>
              <w:top w:val="nil"/>
              <w:left w:val="nil"/>
              <w:bottom w:val="nil"/>
              <w:right w:val="nil"/>
            </w:tcBorders>
            <w:shd w:val="clear" w:color="D9D9D9" w:fill="D9D9D9"/>
            <w:noWrap/>
            <w:vAlign w:val="bottom"/>
            <w:hideMark/>
          </w:tcPr>
          <w:p w14:paraId="7C7823C0"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0</w:t>
            </w:r>
          </w:p>
        </w:tc>
      </w:tr>
      <w:tr w:rsidR="000B56EA" w:rsidRPr="00112C70" w14:paraId="2FA66054" w14:textId="77777777" w:rsidTr="000B56EA">
        <w:trPr>
          <w:trHeight w:val="290"/>
        </w:trPr>
        <w:tc>
          <w:tcPr>
            <w:tcW w:w="3031" w:type="pct"/>
            <w:gridSpan w:val="2"/>
            <w:tcBorders>
              <w:top w:val="nil"/>
              <w:left w:val="nil"/>
              <w:bottom w:val="nil"/>
              <w:right w:val="nil"/>
            </w:tcBorders>
            <w:shd w:val="clear" w:color="auto" w:fill="auto"/>
            <w:noWrap/>
            <w:vAlign w:val="center"/>
            <w:hideMark/>
          </w:tcPr>
          <w:p w14:paraId="335C6A1E" w14:textId="77777777" w:rsidR="000B56EA" w:rsidRPr="00112C70" w:rsidRDefault="000B56EA" w:rsidP="000B56EA">
            <w:pPr>
              <w:spacing w:after="0" w:line="240" w:lineRule="auto"/>
              <w:ind w:firstLineChars="400" w:firstLine="880"/>
              <w:rPr>
                <w:rFonts w:ascii="Calibri" w:eastAsia="Times New Roman" w:hAnsi="Calibri" w:cs="Calibri"/>
                <w:color w:val="000000"/>
                <w:lang w:eastAsia="en-GB"/>
              </w:rPr>
            </w:pPr>
            <w:r w:rsidRPr="00112C70">
              <w:rPr>
                <w:rFonts w:ascii="Calibri" w:eastAsia="Times New Roman" w:hAnsi="Calibri" w:cs="Calibri"/>
                <w:color w:val="000000"/>
                <w:lang w:eastAsia="en-GB"/>
              </w:rPr>
              <w:lastRenderedPageBreak/>
              <w:t>16.</w:t>
            </w:r>
            <w:r w:rsidRPr="00112C70">
              <w:rPr>
                <w:rFonts w:ascii="Times New Roman" w:eastAsia="Times New Roman" w:hAnsi="Times New Roman" w:cs="Times New Roman"/>
                <w:color w:val="000000"/>
                <w:sz w:val="14"/>
                <w:szCs w:val="14"/>
                <w:lang w:eastAsia="en-GB"/>
              </w:rPr>
              <w:t xml:space="preserve">   </w:t>
            </w:r>
            <w:r w:rsidRPr="00112C70">
              <w:rPr>
                <w:rFonts w:ascii="Calibri" w:eastAsia="Times New Roman" w:hAnsi="Calibri" w:cs="Calibri"/>
                <w:color w:val="000000"/>
                <w:lang w:eastAsia="en-GB"/>
              </w:rPr>
              <w:t>If appropriate, was information about non-responders described?</w:t>
            </w:r>
          </w:p>
        </w:tc>
        <w:tc>
          <w:tcPr>
            <w:tcW w:w="217" w:type="pct"/>
            <w:tcBorders>
              <w:top w:val="nil"/>
              <w:left w:val="nil"/>
              <w:bottom w:val="nil"/>
              <w:right w:val="nil"/>
            </w:tcBorders>
            <w:shd w:val="clear" w:color="auto" w:fill="auto"/>
            <w:noWrap/>
            <w:vAlign w:val="bottom"/>
            <w:hideMark/>
          </w:tcPr>
          <w:p w14:paraId="7B5FDDF5"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0</w:t>
            </w:r>
          </w:p>
        </w:tc>
        <w:tc>
          <w:tcPr>
            <w:tcW w:w="217" w:type="pct"/>
            <w:tcBorders>
              <w:top w:val="nil"/>
              <w:left w:val="nil"/>
              <w:bottom w:val="nil"/>
              <w:right w:val="nil"/>
            </w:tcBorders>
            <w:shd w:val="clear" w:color="auto" w:fill="auto"/>
            <w:noWrap/>
            <w:vAlign w:val="bottom"/>
            <w:hideMark/>
          </w:tcPr>
          <w:p w14:paraId="27D2F0C6"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0</w:t>
            </w:r>
          </w:p>
        </w:tc>
        <w:tc>
          <w:tcPr>
            <w:tcW w:w="217" w:type="pct"/>
            <w:tcBorders>
              <w:top w:val="nil"/>
              <w:left w:val="nil"/>
              <w:bottom w:val="nil"/>
              <w:right w:val="nil"/>
            </w:tcBorders>
            <w:shd w:val="clear" w:color="auto" w:fill="auto"/>
            <w:noWrap/>
            <w:vAlign w:val="bottom"/>
            <w:hideMark/>
          </w:tcPr>
          <w:p w14:paraId="626B9DA4"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0</w:t>
            </w:r>
          </w:p>
        </w:tc>
        <w:tc>
          <w:tcPr>
            <w:tcW w:w="217" w:type="pct"/>
            <w:tcBorders>
              <w:top w:val="nil"/>
              <w:left w:val="nil"/>
              <w:bottom w:val="nil"/>
              <w:right w:val="nil"/>
            </w:tcBorders>
            <w:shd w:val="clear" w:color="auto" w:fill="auto"/>
            <w:noWrap/>
            <w:vAlign w:val="bottom"/>
            <w:hideMark/>
          </w:tcPr>
          <w:p w14:paraId="558B81E1"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640284C1"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4FABCF28"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0</w:t>
            </w:r>
          </w:p>
        </w:tc>
        <w:tc>
          <w:tcPr>
            <w:tcW w:w="217" w:type="pct"/>
            <w:tcBorders>
              <w:top w:val="nil"/>
              <w:left w:val="nil"/>
              <w:bottom w:val="nil"/>
              <w:right w:val="nil"/>
            </w:tcBorders>
            <w:shd w:val="clear" w:color="auto" w:fill="auto"/>
            <w:noWrap/>
            <w:vAlign w:val="bottom"/>
            <w:hideMark/>
          </w:tcPr>
          <w:p w14:paraId="0D3712B7"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0</w:t>
            </w:r>
          </w:p>
        </w:tc>
        <w:tc>
          <w:tcPr>
            <w:tcW w:w="217" w:type="pct"/>
            <w:tcBorders>
              <w:top w:val="nil"/>
              <w:left w:val="nil"/>
              <w:bottom w:val="nil"/>
              <w:right w:val="nil"/>
            </w:tcBorders>
            <w:shd w:val="clear" w:color="auto" w:fill="auto"/>
            <w:noWrap/>
            <w:vAlign w:val="bottom"/>
            <w:hideMark/>
          </w:tcPr>
          <w:p w14:paraId="14D5C083"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36" w:type="pct"/>
            <w:tcBorders>
              <w:top w:val="nil"/>
              <w:left w:val="nil"/>
              <w:bottom w:val="nil"/>
              <w:right w:val="nil"/>
            </w:tcBorders>
            <w:shd w:val="clear" w:color="auto" w:fill="auto"/>
            <w:noWrap/>
            <w:vAlign w:val="bottom"/>
            <w:hideMark/>
          </w:tcPr>
          <w:p w14:paraId="674726BF"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r>
      <w:tr w:rsidR="000B56EA" w:rsidRPr="00112C70" w14:paraId="7D9DF604" w14:textId="77777777" w:rsidTr="000B56EA">
        <w:trPr>
          <w:trHeight w:val="290"/>
        </w:trPr>
        <w:tc>
          <w:tcPr>
            <w:tcW w:w="3031" w:type="pct"/>
            <w:gridSpan w:val="2"/>
            <w:tcBorders>
              <w:top w:val="nil"/>
              <w:left w:val="nil"/>
              <w:bottom w:val="nil"/>
              <w:right w:val="nil"/>
            </w:tcBorders>
            <w:shd w:val="clear" w:color="D9D9D9" w:fill="D9D9D9"/>
            <w:noWrap/>
            <w:vAlign w:val="center"/>
            <w:hideMark/>
          </w:tcPr>
          <w:p w14:paraId="1CCA426C" w14:textId="77777777" w:rsidR="000B56EA" w:rsidRPr="00112C70" w:rsidRDefault="000B56EA" w:rsidP="000B56EA">
            <w:pPr>
              <w:spacing w:after="0" w:line="240" w:lineRule="auto"/>
              <w:ind w:firstLineChars="400" w:firstLine="880"/>
              <w:rPr>
                <w:rFonts w:ascii="Calibri" w:eastAsia="Times New Roman" w:hAnsi="Calibri" w:cs="Calibri"/>
                <w:color w:val="000000"/>
                <w:lang w:eastAsia="en-GB"/>
              </w:rPr>
            </w:pPr>
            <w:r w:rsidRPr="00112C70">
              <w:rPr>
                <w:rFonts w:ascii="Calibri" w:eastAsia="Times New Roman" w:hAnsi="Calibri" w:cs="Calibri"/>
                <w:color w:val="000000"/>
                <w:lang w:eastAsia="en-GB"/>
              </w:rPr>
              <w:t>17.</w:t>
            </w:r>
            <w:r w:rsidRPr="00112C70">
              <w:rPr>
                <w:rFonts w:ascii="Times New Roman" w:eastAsia="Times New Roman" w:hAnsi="Times New Roman" w:cs="Times New Roman"/>
                <w:color w:val="000000"/>
                <w:sz w:val="14"/>
                <w:szCs w:val="14"/>
                <w:lang w:eastAsia="en-GB"/>
              </w:rPr>
              <w:t xml:space="preserve">   </w:t>
            </w:r>
            <w:r w:rsidRPr="00112C70">
              <w:rPr>
                <w:rFonts w:ascii="Calibri" w:eastAsia="Times New Roman" w:hAnsi="Calibri" w:cs="Calibri"/>
                <w:color w:val="000000"/>
                <w:lang w:eastAsia="en-GB"/>
              </w:rPr>
              <w:t>Were the results internally consistent?</w:t>
            </w:r>
          </w:p>
        </w:tc>
        <w:tc>
          <w:tcPr>
            <w:tcW w:w="217" w:type="pct"/>
            <w:tcBorders>
              <w:top w:val="nil"/>
              <w:left w:val="nil"/>
              <w:bottom w:val="nil"/>
              <w:right w:val="nil"/>
            </w:tcBorders>
            <w:shd w:val="clear" w:color="D9D9D9" w:fill="D9D9D9"/>
            <w:noWrap/>
            <w:vAlign w:val="bottom"/>
            <w:hideMark/>
          </w:tcPr>
          <w:p w14:paraId="1662DCCA"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69BCE3A8"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0E769FAB"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77D80B5B"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363890A7"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33123468"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5C71362C"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7E381F41"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36" w:type="pct"/>
            <w:tcBorders>
              <w:top w:val="nil"/>
              <w:left w:val="nil"/>
              <w:bottom w:val="nil"/>
              <w:right w:val="nil"/>
            </w:tcBorders>
            <w:shd w:val="clear" w:color="D9D9D9" w:fill="D9D9D9"/>
            <w:noWrap/>
            <w:vAlign w:val="bottom"/>
            <w:hideMark/>
          </w:tcPr>
          <w:p w14:paraId="4A1408AF"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r>
      <w:tr w:rsidR="000B56EA" w:rsidRPr="00112C70" w14:paraId="0DFEB5B8" w14:textId="77777777" w:rsidTr="000B56EA">
        <w:trPr>
          <w:trHeight w:val="290"/>
        </w:trPr>
        <w:tc>
          <w:tcPr>
            <w:tcW w:w="3031" w:type="pct"/>
            <w:gridSpan w:val="2"/>
            <w:tcBorders>
              <w:top w:val="nil"/>
              <w:left w:val="nil"/>
              <w:bottom w:val="nil"/>
              <w:right w:val="nil"/>
            </w:tcBorders>
            <w:shd w:val="clear" w:color="auto" w:fill="auto"/>
            <w:noWrap/>
            <w:vAlign w:val="center"/>
            <w:hideMark/>
          </w:tcPr>
          <w:p w14:paraId="2FF3EC7E" w14:textId="77777777" w:rsidR="000B56EA" w:rsidRPr="00112C70" w:rsidRDefault="000B56EA" w:rsidP="000B56EA">
            <w:pPr>
              <w:spacing w:after="0" w:line="240" w:lineRule="auto"/>
              <w:ind w:firstLineChars="400" w:firstLine="880"/>
              <w:rPr>
                <w:rFonts w:ascii="Calibri" w:eastAsia="Times New Roman" w:hAnsi="Calibri" w:cs="Calibri"/>
                <w:color w:val="000000"/>
                <w:lang w:eastAsia="en-GB"/>
              </w:rPr>
            </w:pPr>
            <w:r w:rsidRPr="00112C70">
              <w:rPr>
                <w:rFonts w:ascii="Calibri" w:eastAsia="Times New Roman" w:hAnsi="Calibri" w:cs="Calibri"/>
                <w:color w:val="000000"/>
                <w:lang w:eastAsia="en-GB"/>
              </w:rPr>
              <w:t>18.</w:t>
            </w:r>
            <w:r w:rsidRPr="00112C70">
              <w:rPr>
                <w:rFonts w:ascii="Times New Roman" w:eastAsia="Times New Roman" w:hAnsi="Times New Roman" w:cs="Times New Roman"/>
                <w:color w:val="000000"/>
                <w:sz w:val="14"/>
                <w:szCs w:val="14"/>
                <w:lang w:eastAsia="en-GB"/>
              </w:rPr>
              <w:t xml:space="preserve">   </w:t>
            </w:r>
            <w:r w:rsidRPr="00112C70">
              <w:rPr>
                <w:rFonts w:ascii="Calibri" w:eastAsia="Times New Roman" w:hAnsi="Calibri" w:cs="Calibri"/>
                <w:color w:val="000000"/>
                <w:lang w:eastAsia="en-GB"/>
              </w:rPr>
              <w:t>Were the results presented for all analyses provided in the methods?#</w:t>
            </w:r>
          </w:p>
        </w:tc>
        <w:tc>
          <w:tcPr>
            <w:tcW w:w="217" w:type="pct"/>
            <w:tcBorders>
              <w:top w:val="nil"/>
              <w:left w:val="nil"/>
              <w:bottom w:val="nil"/>
              <w:right w:val="nil"/>
            </w:tcBorders>
            <w:shd w:val="clear" w:color="auto" w:fill="auto"/>
            <w:noWrap/>
            <w:vAlign w:val="bottom"/>
            <w:hideMark/>
          </w:tcPr>
          <w:p w14:paraId="3BC46D20"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799B25CF"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50067773"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23215D5B"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52073916"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7A25D057"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17B68129"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4F85B692"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36" w:type="pct"/>
            <w:tcBorders>
              <w:top w:val="nil"/>
              <w:left w:val="nil"/>
              <w:bottom w:val="nil"/>
              <w:right w:val="nil"/>
            </w:tcBorders>
            <w:shd w:val="clear" w:color="auto" w:fill="auto"/>
            <w:noWrap/>
            <w:vAlign w:val="bottom"/>
            <w:hideMark/>
          </w:tcPr>
          <w:p w14:paraId="57B9CD1D"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r>
      <w:tr w:rsidR="000B56EA" w:rsidRPr="00112C70" w14:paraId="4B0E11E2" w14:textId="77777777" w:rsidTr="000B56EA">
        <w:trPr>
          <w:trHeight w:val="290"/>
        </w:trPr>
        <w:tc>
          <w:tcPr>
            <w:tcW w:w="2011" w:type="pct"/>
            <w:tcBorders>
              <w:top w:val="nil"/>
              <w:left w:val="nil"/>
              <w:bottom w:val="nil"/>
              <w:right w:val="nil"/>
            </w:tcBorders>
            <w:shd w:val="clear" w:color="D9D9D9" w:fill="D9D9D9"/>
            <w:noWrap/>
            <w:vAlign w:val="center"/>
            <w:hideMark/>
          </w:tcPr>
          <w:p w14:paraId="7F8E01B2" w14:textId="77777777" w:rsidR="000B56EA" w:rsidRPr="00112C70" w:rsidRDefault="000B56EA" w:rsidP="000B56EA">
            <w:pPr>
              <w:spacing w:after="0" w:line="240" w:lineRule="auto"/>
              <w:rPr>
                <w:rFonts w:ascii="Calibri" w:eastAsia="Times New Roman" w:hAnsi="Calibri" w:cs="Calibri"/>
                <w:color w:val="000000"/>
                <w:lang w:eastAsia="en-GB"/>
              </w:rPr>
            </w:pPr>
            <w:r w:rsidRPr="00112C70">
              <w:rPr>
                <w:rFonts w:ascii="Calibri" w:eastAsia="Times New Roman" w:hAnsi="Calibri" w:cs="Calibri"/>
                <w:color w:val="000000"/>
                <w:lang w:eastAsia="en-GB"/>
              </w:rPr>
              <w:t>Discussion</w:t>
            </w:r>
          </w:p>
        </w:tc>
        <w:tc>
          <w:tcPr>
            <w:tcW w:w="1020" w:type="pct"/>
            <w:tcBorders>
              <w:top w:val="nil"/>
              <w:left w:val="nil"/>
              <w:bottom w:val="nil"/>
              <w:right w:val="nil"/>
            </w:tcBorders>
            <w:shd w:val="clear" w:color="D9D9D9" w:fill="D9D9D9"/>
            <w:noWrap/>
            <w:vAlign w:val="bottom"/>
            <w:hideMark/>
          </w:tcPr>
          <w:p w14:paraId="05E4102A" w14:textId="77777777" w:rsidR="000B56EA" w:rsidRPr="00112C70" w:rsidRDefault="000B56EA" w:rsidP="000B56EA">
            <w:pPr>
              <w:spacing w:after="0" w:line="240" w:lineRule="auto"/>
              <w:rPr>
                <w:rFonts w:ascii="Calibri" w:eastAsia="Times New Roman" w:hAnsi="Calibri" w:cs="Calibri"/>
                <w:color w:val="000000"/>
                <w:lang w:eastAsia="en-GB"/>
              </w:rPr>
            </w:pPr>
          </w:p>
        </w:tc>
        <w:tc>
          <w:tcPr>
            <w:tcW w:w="217" w:type="pct"/>
            <w:tcBorders>
              <w:top w:val="nil"/>
              <w:left w:val="nil"/>
              <w:bottom w:val="nil"/>
              <w:right w:val="nil"/>
            </w:tcBorders>
            <w:shd w:val="clear" w:color="D9D9D9" w:fill="D9D9D9"/>
            <w:noWrap/>
            <w:vAlign w:val="bottom"/>
            <w:hideMark/>
          </w:tcPr>
          <w:p w14:paraId="194CD089"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D9D9D9" w:fill="D9D9D9"/>
            <w:noWrap/>
            <w:vAlign w:val="bottom"/>
            <w:hideMark/>
          </w:tcPr>
          <w:p w14:paraId="32E8D0DE"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D9D9D9" w:fill="D9D9D9"/>
            <w:noWrap/>
            <w:vAlign w:val="bottom"/>
            <w:hideMark/>
          </w:tcPr>
          <w:p w14:paraId="28A197DC"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D9D9D9" w:fill="D9D9D9"/>
            <w:noWrap/>
            <w:vAlign w:val="bottom"/>
            <w:hideMark/>
          </w:tcPr>
          <w:p w14:paraId="5A4BAA23"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D9D9D9" w:fill="D9D9D9"/>
            <w:noWrap/>
            <w:vAlign w:val="bottom"/>
            <w:hideMark/>
          </w:tcPr>
          <w:p w14:paraId="23CAEB0A"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D9D9D9" w:fill="D9D9D9"/>
            <w:noWrap/>
            <w:vAlign w:val="bottom"/>
            <w:hideMark/>
          </w:tcPr>
          <w:p w14:paraId="3AA7AECF"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D9D9D9" w:fill="D9D9D9"/>
            <w:noWrap/>
            <w:vAlign w:val="bottom"/>
            <w:hideMark/>
          </w:tcPr>
          <w:p w14:paraId="4DE9FC50"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D9D9D9" w:fill="D9D9D9"/>
            <w:noWrap/>
            <w:vAlign w:val="bottom"/>
            <w:hideMark/>
          </w:tcPr>
          <w:p w14:paraId="24815CFC"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36" w:type="pct"/>
            <w:tcBorders>
              <w:top w:val="nil"/>
              <w:left w:val="nil"/>
              <w:bottom w:val="nil"/>
              <w:right w:val="nil"/>
            </w:tcBorders>
            <w:shd w:val="clear" w:color="D9D9D9" w:fill="D9D9D9"/>
            <w:noWrap/>
            <w:vAlign w:val="bottom"/>
            <w:hideMark/>
          </w:tcPr>
          <w:p w14:paraId="11D8F3CF"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r>
      <w:tr w:rsidR="000B56EA" w:rsidRPr="00112C70" w14:paraId="5D1ABE73" w14:textId="77777777" w:rsidTr="000B56EA">
        <w:trPr>
          <w:trHeight w:val="290"/>
        </w:trPr>
        <w:tc>
          <w:tcPr>
            <w:tcW w:w="3031" w:type="pct"/>
            <w:gridSpan w:val="2"/>
            <w:tcBorders>
              <w:top w:val="nil"/>
              <w:left w:val="nil"/>
              <w:bottom w:val="nil"/>
              <w:right w:val="nil"/>
            </w:tcBorders>
            <w:shd w:val="clear" w:color="auto" w:fill="auto"/>
            <w:noWrap/>
            <w:vAlign w:val="center"/>
            <w:hideMark/>
          </w:tcPr>
          <w:p w14:paraId="75D0E217" w14:textId="77777777" w:rsidR="000B56EA" w:rsidRPr="00112C70" w:rsidRDefault="000B56EA" w:rsidP="000B56EA">
            <w:pPr>
              <w:spacing w:after="0" w:line="240" w:lineRule="auto"/>
              <w:ind w:firstLineChars="400" w:firstLine="880"/>
              <w:rPr>
                <w:rFonts w:ascii="Calibri" w:eastAsia="Times New Roman" w:hAnsi="Calibri" w:cs="Calibri"/>
                <w:color w:val="000000"/>
                <w:lang w:eastAsia="en-GB"/>
              </w:rPr>
            </w:pPr>
            <w:r w:rsidRPr="00112C70">
              <w:rPr>
                <w:rFonts w:ascii="Calibri" w:eastAsia="Times New Roman" w:hAnsi="Calibri" w:cs="Calibri"/>
                <w:color w:val="000000"/>
                <w:lang w:eastAsia="en-GB"/>
              </w:rPr>
              <w:t>19.</w:t>
            </w:r>
            <w:r w:rsidRPr="00112C70">
              <w:rPr>
                <w:rFonts w:ascii="Times New Roman" w:eastAsia="Times New Roman" w:hAnsi="Times New Roman" w:cs="Times New Roman"/>
                <w:color w:val="000000"/>
                <w:sz w:val="14"/>
                <w:szCs w:val="14"/>
                <w:lang w:eastAsia="en-GB"/>
              </w:rPr>
              <w:t xml:space="preserve">   </w:t>
            </w:r>
            <w:r w:rsidRPr="00112C70">
              <w:rPr>
                <w:rFonts w:ascii="Calibri" w:eastAsia="Times New Roman" w:hAnsi="Calibri" w:cs="Calibri"/>
                <w:color w:val="000000"/>
                <w:lang w:eastAsia="en-GB"/>
              </w:rPr>
              <w:t>Were the authors’ discussion and conclusion justified by the results?</w:t>
            </w:r>
          </w:p>
        </w:tc>
        <w:tc>
          <w:tcPr>
            <w:tcW w:w="217" w:type="pct"/>
            <w:tcBorders>
              <w:top w:val="nil"/>
              <w:left w:val="nil"/>
              <w:bottom w:val="nil"/>
              <w:right w:val="nil"/>
            </w:tcBorders>
            <w:shd w:val="clear" w:color="auto" w:fill="auto"/>
            <w:noWrap/>
            <w:vAlign w:val="bottom"/>
            <w:hideMark/>
          </w:tcPr>
          <w:p w14:paraId="697E8823"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36398341"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576D149A"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0EBC366F"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6580F5AC"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1F5DADEA"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67E5A918"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7094FBAC"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36" w:type="pct"/>
            <w:tcBorders>
              <w:top w:val="nil"/>
              <w:left w:val="nil"/>
              <w:bottom w:val="nil"/>
              <w:right w:val="nil"/>
            </w:tcBorders>
            <w:shd w:val="clear" w:color="auto" w:fill="auto"/>
            <w:noWrap/>
            <w:vAlign w:val="bottom"/>
            <w:hideMark/>
          </w:tcPr>
          <w:p w14:paraId="1E87DC4A"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r>
      <w:tr w:rsidR="000B56EA" w:rsidRPr="00112C70" w14:paraId="65EB90E9" w14:textId="77777777" w:rsidTr="000B56EA">
        <w:trPr>
          <w:trHeight w:val="290"/>
        </w:trPr>
        <w:tc>
          <w:tcPr>
            <w:tcW w:w="3031" w:type="pct"/>
            <w:gridSpan w:val="2"/>
            <w:tcBorders>
              <w:top w:val="nil"/>
              <w:left w:val="nil"/>
              <w:bottom w:val="nil"/>
              <w:right w:val="nil"/>
            </w:tcBorders>
            <w:shd w:val="clear" w:color="D9D9D9" w:fill="D9D9D9"/>
            <w:noWrap/>
            <w:vAlign w:val="center"/>
            <w:hideMark/>
          </w:tcPr>
          <w:p w14:paraId="66092B20" w14:textId="77777777" w:rsidR="000B56EA" w:rsidRPr="00112C70" w:rsidRDefault="000B56EA" w:rsidP="000B56EA">
            <w:pPr>
              <w:spacing w:after="0" w:line="240" w:lineRule="auto"/>
              <w:ind w:firstLineChars="400" w:firstLine="880"/>
              <w:rPr>
                <w:rFonts w:ascii="Calibri" w:eastAsia="Times New Roman" w:hAnsi="Calibri" w:cs="Calibri"/>
                <w:color w:val="000000"/>
                <w:lang w:eastAsia="en-GB"/>
              </w:rPr>
            </w:pPr>
            <w:r w:rsidRPr="00112C70">
              <w:rPr>
                <w:rFonts w:ascii="Calibri" w:eastAsia="Times New Roman" w:hAnsi="Calibri" w:cs="Calibri"/>
                <w:color w:val="000000"/>
                <w:lang w:eastAsia="en-GB"/>
              </w:rPr>
              <w:t>20.</w:t>
            </w:r>
            <w:r w:rsidRPr="00112C70">
              <w:rPr>
                <w:rFonts w:ascii="Times New Roman" w:eastAsia="Times New Roman" w:hAnsi="Times New Roman" w:cs="Times New Roman"/>
                <w:color w:val="000000"/>
                <w:sz w:val="14"/>
                <w:szCs w:val="14"/>
                <w:lang w:eastAsia="en-GB"/>
              </w:rPr>
              <w:t xml:space="preserve">   </w:t>
            </w:r>
            <w:r w:rsidRPr="00112C70">
              <w:rPr>
                <w:rFonts w:ascii="Calibri" w:eastAsia="Times New Roman" w:hAnsi="Calibri" w:cs="Calibri"/>
                <w:color w:val="000000"/>
                <w:lang w:eastAsia="en-GB"/>
              </w:rPr>
              <w:t>Were the limitations of the study discussed</w:t>
            </w:r>
          </w:p>
        </w:tc>
        <w:tc>
          <w:tcPr>
            <w:tcW w:w="217" w:type="pct"/>
            <w:tcBorders>
              <w:top w:val="nil"/>
              <w:left w:val="nil"/>
              <w:bottom w:val="nil"/>
              <w:right w:val="nil"/>
            </w:tcBorders>
            <w:shd w:val="clear" w:color="D9D9D9" w:fill="D9D9D9"/>
            <w:noWrap/>
            <w:vAlign w:val="bottom"/>
            <w:hideMark/>
          </w:tcPr>
          <w:p w14:paraId="08C8534E"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0830814D"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47DD0FA9"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06AE9213"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7226A7E9"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50047AA6"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56E20673"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381E42F1"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36" w:type="pct"/>
            <w:tcBorders>
              <w:top w:val="nil"/>
              <w:left w:val="nil"/>
              <w:bottom w:val="nil"/>
              <w:right w:val="nil"/>
            </w:tcBorders>
            <w:shd w:val="clear" w:color="D9D9D9" w:fill="D9D9D9"/>
            <w:noWrap/>
            <w:vAlign w:val="bottom"/>
            <w:hideMark/>
          </w:tcPr>
          <w:p w14:paraId="7BFAF73B"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r>
      <w:tr w:rsidR="000B56EA" w:rsidRPr="00112C70" w14:paraId="04ACCCAC" w14:textId="77777777" w:rsidTr="000B56EA">
        <w:trPr>
          <w:trHeight w:val="290"/>
        </w:trPr>
        <w:tc>
          <w:tcPr>
            <w:tcW w:w="2011" w:type="pct"/>
            <w:tcBorders>
              <w:top w:val="nil"/>
              <w:left w:val="nil"/>
              <w:bottom w:val="nil"/>
              <w:right w:val="nil"/>
            </w:tcBorders>
            <w:shd w:val="clear" w:color="auto" w:fill="auto"/>
            <w:noWrap/>
            <w:vAlign w:val="center"/>
            <w:hideMark/>
          </w:tcPr>
          <w:p w14:paraId="19232BDD" w14:textId="77777777" w:rsidR="000B56EA" w:rsidRPr="00112C70" w:rsidRDefault="000B56EA" w:rsidP="000B56EA">
            <w:pPr>
              <w:spacing w:after="0" w:line="240" w:lineRule="auto"/>
              <w:rPr>
                <w:rFonts w:ascii="Calibri" w:eastAsia="Times New Roman" w:hAnsi="Calibri" w:cs="Calibri"/>
                <w:color w:val="000000"/>
                <w:lang w:eastAsia="en-GB"/>
              </w:rPr>
            </w:pPr>
            <w:r w:rsidRPr="00112C70">
              <w:rPr>
                <w:rFonts w:ascii="Calibri" w:eastAsia="Times New Roman" w:hAnsi="Calibri" w:cs="Calibri"/>
                <w:color w:val="000000"/>
                <w:lang w:eastAsia="en-GB"/>
              </w:rPr>
              <w:t>Other</w:t>
            </w:r>
          </w:p>
        </w:tc>
        <w:tc>
          <w:tcPr>
            <w:tcW w:w="1020" w:type="pct"/>
            <w:tcBorders>
              <w:top w:val="nil"/>
              <w:left w:val="nil"/>
              <w:bottom w:val="nil"/>
              <w:right w:val="nil"/>
            </w:tcBorders>
            <w:shd w:val="clear" w:color="auto" w:fill="auto"/>
            <w:noWrap/>
            <w:vAlign w:val="bottom"/>
            <w:hideMark/>
          </w:tcPr>
          <w:p w14:paraId="7556825E" w14:textId="77777777" w:rsidR="000B56EA" w:rsidRPr="00112C70" w:rsidRDefault="000B56EA" w:rsidP="000B56EA">
            <w:pPr>
              <w:spacing w:after="0" w:line="240" w:lineRule="auto"/>
              <w:rPr>
                <w:rFonts w:ascii="Calibri" w:eastAsia="Times New Roman" w:hAnsi="Calibri" w:cs="Calibri"/>
                <w:color w:val="000000"/>
                <w:lang w:eastAsia="en-GB"/>
              </w:rPr>
            </w:pPr>
          </w:p>
        </w:tc>
        <w:tc>
          <w:tcPr>
            <w:tcW w:w="217" w:type="pct"/>
            <w:tcBorders>
              <w:top w:val="nil"/>
              <w:left w:val="nil"/>
              <w:bottom w:val="nil"/>
              <w:right w:val="nil"/>
            </w:tcBorders>
            <w:shd w:val="clear" w:color="auto" w:fill="auto"/>
            <w:noWrap/>
            <w:vAlign w:val="bottom"/>
            <w:hideMark/>
          </w:tcPr>
          <w:p w14:paraId="12D43C20"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auto" w:fill="auto"/>
            <w:noWrap/>
            <w:vAlign w:val="bottom"/>
            <w:hideMark/>
          </w:tcPr>
          <w:p w14:paraId="7313415B"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auto" w:fill="auto"/>
            <w:noWrap/>
            <w:vAlign w:val="bottom"/>
            <w:hideMark/>
          </w:tcPr>
          <w:p w14:paraId="44BF46EE"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auto" w:fill="auto"/>
            <w:noWrap/>
            <w:vAlign w:val="bottom"/>
            <w:hideMark/>
          </w:tcPr>
          <w:p w14:paraId="7910F080"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auto" w:fill="auto"/>
            <w:noWrap/>
            <w:vAlign w:val="bottom"/>
            <w:hideMark/>
          </w:tcPr>
          <w:p w14:paraId="19E748C0"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auto" w:fill="auto"/>
            <w:noWrap/>
            <w:vAlign w:val="bottom"/>
            <w:hideMark/>
          </w:tcPr>
          <w:p w14:paraId="58DEB71B"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auto" w:fill="auto"/>
            <w:noWrap/>
            <w:vAlign w:val="bottom"/>
            <w:hideMark/>
          </w:tcPr>
          <w:p w14:paraId="732359FA"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17" w:type="pct"/>
            <w:tcBorders>
              <w:top w:val="nil"/>
              <w:left w:val="nil"/>
              <w:bottom w:val="nil"/>
              <w:right w:val="nil"/>
            </w:tcBorders>
            <w:shd w:val="clear" w:color="auto" w:fill="auto"/>
            <w:noWrap/>
            <w:vAlign w:val="bottom"/>
            <w:hideMark/>
          </w:tcPr>
          <w:p w14:paraId="2E3FBD7D"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c>
          <w:tcPr>
            <w:tcW w:w="236" w:type="pct"/>
            <w:tcBorders>
              <w:top w:val="nil"/>
              <w:left w:val="nil"/>
              <w:bottom w:val="nil"/>
              <w:right w:val="nil"/>
            </w:tcBorders>
            <w:shd w:val="clear" w:color="auto" w:fill="auto"/>
            <w:noWrap/>
            <w:vAlign w:val="bottom"/>
            <w:hideMark/>
          </w:tcPr>
          <w:p w14:paraId="5E552D04" w14:textId="77777777" w:rsidR="000B56EA" w:rsidRPr="00112C70" w:rsidRDefault="000B56EA" w:rsidP="000B56EA">
            <w:pPr>
              <w:spacing w:after="0" w:line="240" w:lineRule="auto"/>
              <w:rPr>
                <w:rFonts w:ascii="Times New Roman" w:eastAsia="Times New Roman" w:hAnsi="Times New Roman" w:cs="Times New Roman"/>
                <w:sz w:val="20"/>
                <w:szCs w:val="20"/>
                <w:lang w:eastAsia="en-GB"/>
              </w:rPr>
            </w:pPr>
          </w:p>
        </w:tc>
      </w:tr>
      <w:tr w:rsidR="000B56EA" w:rsidRPr="00112C70" w14:paraId="220CDD60" w14:textId="77777777" w:rsidTr="000B56EA">
        <w:trPr>
          <w:trHeight w:val="290"/>
        </w:trPr>
        <w:tc>
          <w:tcPr>
            <w:tcW w:w="3031" w:type="pct"/>
            <w:gridSpan w:val="2"/>
            <w:tcBorders>
              <w:top w:val="nil"/>
              <w:left w:val="nil"/>
              <w:bottom w:val="nil"/>
              <w:right w:val="nil"/>
            </w:tcBorders>
            <w:shd w:val="clear" w:color="D9D9D9" w:fill="D9D9D9"/>
            <w:noWrap/>
            <w:vAlign w:val="center"/>
            <w:hideMark/>
          </w:tcPr>
          <w:p w14:paraId="74348A45" w14:textId="77777777" w:rsidR="000B56EA" w:rsidRPr="00112C70" w:rsidRDefault="000B56EA" w:rsidP="000B56EA">
            <w:pPr>
              <w:spacing w:after="0" w:line="240" w:lineRule="auto"/>
              <w:ind w:firstLineChars="400" w:firstLine="880"/>
              <w:rPr>
                <w:rFonts w:ascii="Calibri" w:eastAsia="Times New Roman" w:hAnsi="Calibri" w:cs="Calibri"/>
                <w:color w:val="000000"/>
                <w:lang w:eastAsia="en-GB"/>
              </w:rPr>
            </w:pPr>
            <w:r w:rsidRPr="00112C70">
              <w:rPr>
                <w:rFonts w:ascii="Calibri" w:eastAsia="Times New Roman" w:hAnsi="Calibri" w:cs="Calibri"/>
                <w:color w:val="000000"/>
                <w:lang w:eastAsia="en-GB"/>
              </w:rPr>
              <w:t>21.</w:t>
            </w:r>
            <w:r w:rsidRPr="00112C70">
              <w:rPr>
                <w:rFonts w:ascii="Times New Roman" w:eastAsia="Times New Roman" w:hAnsi="Times New Roman" w:cs="Times New Roman"/>
                <w:color w:val="000000"/>
                <w:sz w:val="14"/>
                <w:szCs w:val="14"/>
                <w:lang w:eastAsia="en-GB"/>
              </w:rPr>
              <w:t xml:space="preserve">   </w:t>
            </w:r>
            <w:r w:rsidRPr="00112C70">
              <w:rPr>
                <w:rFonts w:ascii="Calibri" w:eastAsia="Times New Roman" w:hAnsi="Calibri" w:cs="Calibri"/>
                <w:color w:val="000000"/>
                <w:lang w:eastAsia="en-GB"/>
              </w:rPr>
              <w:t>Were there any funding sources or conflicts of interest that may affect the author’s interpretation of results?</w:t>
            </w:r>
          </w:p>
        </w:tc>
        <w:tc>
          <w:tcPr>
            <w:tcW w:w="217" w:type="pct"/>
            <w:tcBorders>
              <w:top w:val="nil"/>
              <w:left w:val="nil"/>
              <w:bottom w:val="nil"/>
              <w:right w:val="nil"/>
            </w:tcBorders>
            <w:shd w:val="clear" w:color="D9D9D9" w:fill="D9D9D9"/>
            <w:noWrap/>
            <w:vAlign w:val="bottom"/>
            <w:hideMark/>
          </w:tcPr>
          <w:p w14:paraId="1EA96437"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6376623A"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4FA33984"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43E24CC0"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5BA74CBF"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3C3823EA"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D9D9D9" w:fill="D9D9D9"/>
            <w:noWrap/>
            <w:vAlign w:val="bottom"/>
            <w:hideMark/>
          </w:tcPr>
          <w:p w14:paraId="50C68A65"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0</w:t>
            </w:r>
          </w:p>
        </w:tc>
        <w:tc>
          <w:tcPr>
            <w:tcW w:w="217" w:type="pct"/>
            <w:tcBorders>
              <w:top w:val="nil"/>
              <w:left w:val="nil"/>
              <w:bottom w:val="nil"/>
              <w:right w:val="nil"/>
            </w:tcBorders>
            <w:shd w:val="clear" w:color="D9D9D9" w:fill="D9D9D9"/>
            <w:noWrap/>
            <w:vAlign w:val="bottom"/>
            <w:hideMark/>
          </w:tcPr>
          <w:p w14:paraId="6BB81BFB"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36" w:type="pct"/>
            <w:tcBorders>
              <w:top w:val="nil"/>
              <w:left w:val="nil"/>
              <w:bottom w:val="nil"/>
              <w:right w:val="nil"/>
            </w:tcBorders>
            <w:shd w:val="clear" w:color="D9D9D9" w:fill="D9D9D9"/>
            <w:noWrap/>
            <w:vAlign w:val="bottom"/>
            <w:hideMark/>
          </w:tcPr>
          <w:p w14:paraId="11165D7A"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r>
      <w:tr w:rsidR="000B56EA" w:rsidRPr="00112C70" w14:paraId="267378ED" w14:textId="77777777" w:rsidTr="000B56EA">
        <w:trPr>
          <w:trHeight w:val="290"/>
        </w:trPr>
        <w:tc>
          <w:tcPr>
            <w:tcW w:w="3031" w:type="pct"/>
            <w:gridSpan w:val="2"/>
            <w:tcBorders>
              <w:top w:val="nil"/>
              <w:left w:val="nil"/>
              <w:bottom w:val="nil"/>
              <w:right w:val="nil"/>
            </w:tcBorders>
            <w:shd w:val="clear" w:color="auto" w:fill="auto"/>
            <w:noWrap/>
            <w:vAlign w:val="center"/>
            <w:hideMark/>
          </w:tcPr>
          <w:p w14:paraId="62956D5C" w14:textId="77777777" w:rsidR="000B56EA" w:rsidRPr="00112C70" w:rsidRDefault="000B56EA" w:rsidP="000B56EA">
            <w:pPr>
              <w:spacing w:after="0" w:line="240" w:lineRule="auto"/>
              <w:ind w:firstLineChars="400" w:firstLine="880"/>
              <w:rPr>
                <w:rFonts w:ascii="Calibri" w:eastAsia="Times New Roman" w:hAnsi="Calibri" w:cs="Calibri"/>
                <w:color w:val="000000"/>
                <w:lang w:eastAsia="en-GB"/>
              </w:rPr>
            </w:pPr>
            <w:r w:rsidRPr="00112C70">
              <w:rPr>
                <w:rFonts w:ascii="Calibri" w:eastAsia="Times New Roman" w:hAnsi="Calibri" w:cs="Calibri"/>
                <w:color w:val="000000"/>
                <w:lang w:eastAsia="en-GB"/>
              </w:rPr>
              <w:t>22.</w:t>
            </w:r>
            <w:r w:rsidRPr="00112C70">
              <w:rPr>
                <w:rFonts w:ascii="Times New Roman" w:eastAsia="Times New Roman" w:hAnsi="Times New Roman" w:cs="Times New Roman"/>
                <w:color w:val="000000"/>
                <w:sz w:val="14"/>
                <w:szCs w:val="14"/>
                <w:lang w:eastAsia="en-GB"/>
              </w:rPr>
              <w:t xml:space="preserve">   </w:t>
            </w:r>
            <w:r w:rsidRPr="00112C70">
              <w:rPr>
                <w:rFonts w:ascii="Calibri" w:eastAsia="Times New Roman" w:hAnsi="Calibri" w:cs="Calibri"/>
                <w:color w:val="000000"/>
                <w:lang w:eastAsia="en-GB"/>
              </w:rPr>
              <w:t>Was ethical approval or consent of participants attained?</w:t>
            </w:r>
          </w:p>
        </w:tc>
        <w:tc>
          <w:tcPr>
            <w:tcW w:w="217" w:type="pct"/>
            <w:tcBorders>
              <w:top w:val="nil"/>
              <w:left w:val="nil"/>
              <w:bottom w:val="nil"/>
              <w:right w:val="nil"/>
            </w:tcBorders>
            <w:shd w:val="clear" w:color="auto" w:fill="auto"/>
            <w:noWrap/>
            <w:vAlign w:val="bottom"/>
            <w:hideMark/>
          </w:tcPr>
          <w:p w14:paraId="19915930"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78173617"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2D82FE47"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1561AF41"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5F8D12B3"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42133ECF"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775D669C"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17" w:type="pct"/>
            <w:tcBorders>
              <w:top w:val="nil"/>
              <w:left w:val="nil"/>
              <w:bottom w:val="nil"/>
              <w:right w:val="nil"/>
            </w:tcBorders>
            <w:shd w:val="clear" w:color="auto" w:fill="auto"/>
            <w:noWrap/>
            <w:vAlign w:val="bottom"/>
            <w:hideMark/>
          </w:tcPr>
          <w:p w14:paraId="55365F96"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c>
          <w:tcPr>
            <w:tcW w:w="236" w:type="pct"/>
            <w:tcBorders>
              <w:top w:val="nil"/>
              <w:left w:val="nil"/>
              <w:bottom w:val="nil"/>
              <w:right w:val="nil"/>
            </w:tcBorders>
            <w:shd w:val="clear" w:color="auto" w:fill="auto"/>
            <w:noWrap/>
            <w:vAlign w:val="bottom"/>
            <w:hideMark/>
          </w:tcPr>
          <w:p w14:paraId="21FDF382"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w:t>
            </w:r>
          </w:p>
        </w:tc>
      </w:tr>
      <w:tr w:rsidR="000B56EA" w:rsidRPr="00112C70" w14:paraId="3A0226FF" w14:textId="77777777" w:rsidTr="000B56EA">
        <w:trPr>
          <w:trHeight w:val="290"/>
        </w:trPr>
        <w:tc>
          <w:tcPr>
            <w:tcW w:w="2011" w:type="pct"/>
            <w:tcBorders>
              <w:top w:val="nil"/>
              <w:left w:val="nil"/>
              <w:bottom w:val="nil"/>
              <w:right w:val="nil"/>
            </w:tcBorders>
            <w:shd w:val="clear" w:color="D9D9D9" w:fill="D9D9D9"/>
            <w:noWrap/>
            <w:vAlign w:val="center"/>
            <w:hideMark/>
          </w:tcPr>
          <w:p w14:paraId="36F2E681" w14:textId="77777777" w:rsidR="000B56EA" w:rsidRPr="00112C70" w:rsidRDefault="000B56EA" w:rsidP="000B56EA">
            <w:pPr>
              <w:spacing w:after="0" w:line="240" w:lineRule="auto"/>
              <w:ind w:firstLineChars="400" w:firstLine="880"/>
              <w:rPr>
                <w:rFonts w:ascii="Calibri" w:eastAsia="Times New Roman" w:hAnsi="Calibri" w:cs="Calibri"/>
                <w:color w:val="000000"/>
                <w:lang w:eastAsia="en-GB"/>
              </w:rPr>
            </w:pPr>
            <w:r w:rsidRPr="00112C70">
              <w:rPr>
                <w:rFonts w:ascii="Calibri" w:eastAsia="Times New Roman" w:hAnsi="Calibri" w:cs="Calibri"/>
                <w:color w:val="000000"/>
                <w:lang w:eastAsia="en-GB"/>
              </w:rPr>
              <w:t>Total</w:t>
            </w:r>
          </w:p>
        </w:tc>
        <w:tc>
          <w:tcPr>
            <w:tcW w:w="1020" w:type="pct"/>
            <w:tcBorders>
              <w:top w:val="nil"/>
              <w:left w:val="nil"/>
              <w:bottom w:val="nil"/>
              <w:right w:val="nil"/>
            </w:tcBorders>
            <w:shd w:val="clear" w:color="D9D9D9" w:fill="D9D9D9"/>
            <w:noWrap/>
            <w:vAlign w:val="bottom"/>
            <w:hideMark/>
          </w:tcPr>
          <w:p w14:paraId="1F81A481" w14:textId="77777777" w:rsidR="000B56EA" w:rsidRPr="00112C70" w:rsidRDefault="000B56EA" w:rsidP="000B56EA">
            <w:pPr>
              <w:spacing w:after="0" w:line="240" w:lineRule="auto"/>
              <w:ind w:firstLineChars="400" w:firstLine="880"/>
              <w:rPr>
                <w:rFonts w:ascii="Calibri" w:eastAsia="Times New Roman" w:hAnsi="Calibri" w:cs="Calibri"/>
                <w:color w:val="000000"/>
                <w:lang w:eastAsia="en-GB"/>
              </w:rPr>
            </w:pPr>
          </w:p>
        </w:tc>
        <w:tc>
          <w:tcPr>
            <w:tcW w:w="217" w:type="pct"/>
            <w:tcBorders>
              <w:top w:val="nil"/>
              <w:left w:val="nil"/>
              <w:bottom w:val="nil"/>
              <w:right w:val="nil"/>
            </w:tcBorders>
            <w:shd w:val="clear" w:color="D9D9D9" w:fill="D9D9D9"/>
            <w:noWrap/>
            <w:vAlign w:val="bottom"/>
            <w:hideMark/>
          </w:tcPr>
          <w:p w14:paraId="4B90A0D6"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15</w:t>
            </w:r>
          </w:p>
        </w:tc>
        <w:tc>
          <w:tcPr>
            <w:tcW w:w="217" w:type="pct"/>
            <w:tcBorders>
              <w:top w:val="nil"/>
              <w:left w:val="nil"/>
              <w:bottom w:val="nil"/>
              <w:right w:val="nil"/>
            </w:tcBorders>
            <w:shd w:val="clear" w:color="D9D9D9" w:fill="D9D9D9"/>
            <w:noWrap/>
            <w:vAlign w:val="bottom"/>
            <w:hideMark/>
          </w:tcPr>
          <w:p w14:paraId="0676FF86"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17</w:t>
            </w:r>
          </w:p>
        </w:tc>
        <w:tc>
          <w:tcPr>
            <w:tcW w:w="217" w:type="pct"/>
            <w:tcBorders>
              <w:top w:val="nil"/>
              <w:left w:val="nil"/>
              <w:bottom w:val="nil"/>
              <w:right w:val="nil"/>
            </w:tcBorders>
            <w:shd w:val="clear" w:color="D9D9D9" w:fill="D9D9D9"/>
            <w:noWrap/>
            <w:vAlign w:val="bottom"/>
            <w:hideMark/>
          </w:tcPr>
          <w:p w14:paraId="1E3559A0"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14</w:t>
            </w:r>
          </w:p>
        </w:tc>
        <w:tc>
          <w:tcPr>
            <w:tcW w:w="217" w:type="pct"/>
            <w:tcBorders>
              <w:top w:val="nil"/>
              <w:left w:val="nil"/>
              <w:bottom w:val="nil"/>
              <w:right w:val="nil"/>
            </w:tcBorders>
            <w:shd w:val="clear" w:color="D9D9D9" w:fill="D9D9D9"/>
            <w:noWrap/>
            <w:vAlign w:val="bottom"/>
            <w:hideMark/>
          </w:tcPr>
          <w:p w14:paraId="7FBC0D76"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21</w:t>
            </w:r>
          </w:p>
        </w:tc>
        <w:tc>
          <w:tcPr>
            <w:tcW w:w="217" w:type="pct"/>
            <w:tcBorders>
              <w:top w:val="nil"/>
              <w:left w:val="nil"/>
              <w:bottom w:val="nil"/>
              <w:right w:val="nil"/>
            </w:tcBorders>
            <w:shd w:val="clear" w:color="D9D9D9" w:fill="D9D9D9"/>
            <w:noWrap/>
            <w:vAlign w:val="bottom"/>
            <w:hideMark/>
          </w:tcPr>
          <w:p w14:paraId="6C5D6CDD"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18</w:t>
            </w:r>
          </w:p>
        </w:tc>
        <w:tc>
          <w:tcPr>
            <w:tcW w:w="217" w:type="pct"/>
            <w:tcBorders>
              <w:top w:val="nil"/>
              <w:left w:val="nil"/>
              <w:bottom w:val="nil"/>
              <w:right w:val="nil"/>
            </w:tcBorders>
            <w:shd w:val="clear" w:color="D9D9D9" w:fill="D9D9D9"/>
            <w:noWrap/>
            <w:vAlign w:val="bottom"/>
            <w:hideMark/>
          </w:tcPr>
          <w:p w14:paraId="57264402"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15</w:t>
            </w:r>
          </w:p>
        </w:tc>
        <w:tc>
          <w:tcPr>
            <w:tcW w:w="217" w:type="pct"/>
            <w:tcBorders>
              <w:top w:val="nil"/>
              <w:left w:val="nil"/>
              <w:bottom w:val="nil"/>
              <w:right w:val="nil"/>
            </w:tcBorders>
            <w:shd w:val="clear" w:color="D9D9D9" w:fill="D9D9D9"/>
            <w:noWrap/>
            <w:vAlign w:val="bottom"/>
            <w:hideMark/>
          </w:tcPr>
          <w:p w14:paraId="720BE5F4"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15</w:t>
            </w:r>
          </w:p>
        </w:tc>
        <w:tc>
          <w:tcPr>
            <w:tcW w:w="217" w:type="pct"/>
            <w:tcBorders>
              <w:top w:val="nil"/>
              <w:left w:val="nil"/>
              <w:bottom w:val="nil"/>
              <w:right w:val="nil"/>
            </w:tcBorders>
            <w:shd w:val="clear" w:color="D9D9D9" w:fill="D9D9D9"/>
            <w:noWrap/>
            <w:vAlign w:val="bottom"/>
            <w:hideMark/>
          </w:tcPr>
          <w:p w14:paraId="4D81AAB1"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20</w:t>
            </w:r>
          </w:p>
        </w:tc>
        <w:tc>
          <w:tcPr>
            <w:tcW w:w="236" w:type="pct"/>
            <w:tcBorders>
              <w:top w:val="nil"/>
              <w:left w:val="nil"/>
              <w:bottom w:val="nil"/>
              <w:right w:val="nil"/>
            </w:tcBorders>
            <w:shd w:val="clear" w:color="D9D9D9" w:fill="D9D9D9"/>
            <w:noWrap/>
            <w:vAlign w:val="bottom"/>
            <w:hideMark/>
          </w:tcPr>
          <w:p w14:paraId="027E1542"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20</w:t>
            </w:r>
          </w:p>
        </w:tc>
      </w:tr>
      <w:tr w:rsidR="000B56EA" w:rsidRPr="00112C70" w14:paraId="746830F0" w14:textId="77777777" w:rsidTr="000B56EA">
        <w:trPr>
          <w:trHeight w:val="290"/>
        </w:trPr>
        <w:tc>
          <w:tcPr>
            <w:tcW w:w="3031" w:type="pct"/>
            <w:gridSpan w:val="2"/>
            <w:tcBorders>
              <w:top w:val="nil"/>
              <w:left w:val="nil"/>
              <w:bottom w:val="single" w:sz="4" w:space="0" w:color="000000"/>
              <w:right w:val="nil"/>
            </w:tcBorders>
            <w:shd w:val="clear" w:color="auto" w:fill="auto"/>
            <w:noWrap/>
            <w:vAlign w:val="center"/>
            <w:hideMark/>
          </w:tcPr>
          <w:p w14:paraId="7F9EC9F2" w14:textId="77777777" w:rsidR="000B56EA" w:rsidRPr="00112C70" w:rsidRDefault="000B56EA" w:rsidP="000B56EA">
            <w:pPr>
              <w:spacing w:after="0" w:line="240" w:lineRule="auto"/>
              <w:ind w:firstLineChars="400" w:firstLine="880"/>
              <w:rPr>
                <w:rFonts w:ascii="Calibri" w:eastAsia="Times New Roman" w:hAnsi="Calibri" w:cs="Calibri"/>
                <w:color w:val="000000"/>
                <w:lang w:eastAsia="en-GB"/>
              </w:rPr>
            </w:pPr>
            <w:r w:rsidRPr="00112C70">
              <w:rPr>
                <w:rFonts w:ascii="Calibri" w:eastAsia="Times New Roman" w:hAnsi="Calibri" w:cs="Calibri"/>
                <w:color w:val="000000"/>
                <w:lang w:eastAsia="en-GB"/>
              </w:rPr>
              <w:t>Total %</w:t>
            </w:r>
          </w:p>
        </w:tc>
        <w:tc>
          <w:tcPr>
            <w:tcW w:w="217" w:type="pct"/>
            <w:tcBorders>
              <w:top w:val="nil"/>
              <w:left w:val="nil"/>
              <w:bottom w:val="single" w:sz="4" w:space="0" w:color="000000"/>
              <w:right w:val="nil"/>
            </w:tcBorders>
            <w:shd w:val="clear" w:color="auto" w:fill="auto"/>
            <w:noWrap/>
            <w:vAlign w:val="bottom"/>
            <w:hideMark/>
          </w:tcPr>
          <w:p w14:paraId="09B63A6F"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75%</w:t>
            </w:r>
          </w:p>
        </w:tc>
        <w:tc>
          <w:tcPr>
            <w:tcW w:w="217" w:type="pct"/>
            <w:tcBorders>
              <w:top w:val="nil"/>
              <w:left w:val="nil"/>
              <w:bottom w:val="single" w:sz="4" w:space="0" w:color="000000"/>
              <w:right w:val="nil"/>
            </w:tcBorders>
            <w:shd w:val="clear" w:color="auto" w:fill="auto"/>
            <w:noWrap/>
            <w:vAlign w:val="bottom"/>
            <w:hideMark/>
          </w:tcPr>
          <w:p w14:paraId="2EEC6EFF"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77%</w:t>
            </w:r>
          </w:p>
        </w:tc>
        <w:tc>
          <w:tcPr>
            <w:tcW w:w="217" w:type="pct"/>
            <w:tcBorders>
              <w:top w:val="nil"/>
              <w:left w:val="nil"/>
              <w:bottom w:val="single" w:sz="4" w:space="0" w:color="000000"/>
              <w:right w:val="nil"/>
            </w:tcBorders>
            <w:shd w:val="clear" w:color="auto" w:fill="auto"/>
            <w:noWrap/>
            <w:vAlign w:val="bottom"/>
            <w:hideMark/>
          </w:tcPr>
          <w:p w14:paraId="3F6AE8BB"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70%</w:t>
            </w:r>
          </w:p>
        </w:tc>
        <w:tc>
          <w:tcPr>
            <w:tcW w:w="217" w:type="pct"/>
            <w:tcBorders>
              <w:top w:val="nil"/>
              <w:left w:val="nil"/>
              <w:bottom w:val="single" w:sz="4" w:space="0" w:color="000000"/>
              <w:right w:val="nil"/>
            </w:tcBorders>
            <w:shd w:val="clear" w:color="auto" w:fill="auto"/>
            <w:noWrap/>
            <w:vAlign w:val="bottom"/>
            <w:hideMark/>
          </w:tcPr>
          <w:p w14:paraId="036F1B57"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95%</w:t>
            </w:r>
          </w:p>
        </w:tc>
        <w:tc>
          <w:tcPr>
            <w:tcW w:w="217" w:type="pct"/>
            <w:tcBorders>
              <w:top w:val="nil"/>
              <w:left w:val="nil"/>
              <w:bottom w:val="single" w:sz="4" w:space="0" w:color="000000"/>
              <w:right w:val="nil"/>
            </w:tcBorders>
            <w:shd w:val="clear" w:color="auto" w:fill="auto"/>
            <w:noWrap/>
            <w:vAlign w:val="bottom"/>
            <w:hideMark/>
          </w:tcPr>
          <w:p w14:paraId="58787E12"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90%</w:t>
            </w:r>
          </w:p>
        </w:tc>
        <w:tc>
          <w:tcPr>
            <w:tcW w:w="217" w:type="pct"/>
            <w:tcBorders>
              <w:top w:val="nil"/>
              <w:left w:val="nil"/>
              <w:bottom w:val="single" w:sz="4" w:space="0" w:color="000000"/>
              <w:right w:val="nil"/>
            </w:tcBorders>
            <w:shd w:val="clear" w:color="auto" w:fill="auto"/>
            <w:noWrap/>
            <w:vAlign w:val="bottom"/>
            <w:hideMark/>
          </w:tcPr>
          <w:p w14:paraId="21894B7D"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75%</w:t>
            </w:r>
          </w:p>
        </w:tc>
        <w:tc>
          <w:tcPr>
            <w:tcW w:w="217" w:type="pct"/>
            <w:tcBorders>
              <w:top w:val="nil"/>
              <w:left w:val="nil"/>
              <w:bottom w:val="single" w:sz="4" w:space="0" w:color="000000"/>
              <w:right w:val="nil"/>
            </w:tcBorders>
            <w:shd w:val="clear" w:color="auto" w:fill="auto"/>
            <w:noWrap/>
            <w:vAlign w:val="bottom"/>
            <w:hideMark/>
          </w:tcPr>
          <w:p w14:paraId="2B21B0CF"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75%</w:t>
            </w:r>
          </w:p>
        </w:tc>
        <w:tc>
          <w:tcPr>
            <w:tcW w:w="217" w:type="pct"/>
            <w:tcBorders>
              <w:top w:val="nil"/>
              <w:left w:val="nil"/>
              <w:bottom w:val="single" w:sz="4" w:space="0" w:color="000000"/>
              <w:right w:val="nil"/>
            </w:tcBorders>
            <w:shd w:val="clear" w:color="auto" w:fill="auto"/>
            <w:noWrap/>
            <w:vAlign w:val="bottom"/>
            <w:hideMark/>
          </w:tcPr>
          <w:p w14:paraId="4688CA18"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100%</w:t>
            </w:r>
          </w:p>
        </w:tc>
        <w:tc>
          <w:tcPr>
            <w:tcW w:w="236" w:type="pct"/>
            <w:tcBorders>
              <w:top w:val="nil"/>
              <w:left w:val="nil"/>
              <w:bottom w:val="single" w:sz="4" w:space="0" w:color="000000"/>
              <w:right w:val="nil"/>
            </w:tcBorders>
            <w:shd w:val="clear" w:color="auto" w:fill="auto"/>
            <w:noWrap/>
            <w:vAlign w:val="bottom"/>
            <w:hideMark/>
          </w:tcPr>
          <w:p w14:paraId="08BDCCD8" w14:textId="77777777" w:rsidR="000B56EA" w:rsidRPr="00112C70" w:rsidRDefault="000B56EA" w:rsidP="000B56EA">
            <w:pPr>
              <w:spacing w:after="0" w:line="240" w:lineRule="auto"/>
              <w:jc w:val="right"/>
              <w:rPr>
                <w:rFonts w:ascii="Calibri" w:eastAsia="Times New Roman" w:hAnsi="Calibri" w:cs="Calibri"/>
                <w:color w:val="000000"/>
                <w:lang w:eastAsia="en-GB"/>
              </w:rPr>
            </w:pPr>
            <w:r w:rsidRPr="00112C70">
              <w:rPr>
                <w:rFonts w:ascii="Calibri" w:eastAsia="Times New Roman" w:hAnsi="Calibri" w:cs="Calibri"/>
                <w:color w:val="000000"/>
                <w:lang w:eastAsia="en-GB"/>
              </w:rPr>
              <w:t>91%</w:t>
            </w:r>
          </w:p>
        </w:tc>
      </w:tr>
    </w:tbl>
    <w:p w14:paraId="18ADA862" w14:textId="77777777" w:rsidR="000B56EA" w:rsidRDefault="000B56EA" w:rsidP="009427A4">
      <w:pPr>
        <w:rPr>
          <w:rFonts w:ascii="Arial" w:hAnsi="Arial" w:cs="Arial"/>
          <w:sz w:val="24"/>
          <w:szCs w:val="24"/>
        </w:rPr>
        <w:sectPr w:rsidR="000B56EA" w:rsidSect="000B56EA">
          <w:pgSz w:w="16838" w:h="11906" w:orient="landscape"/>
          <w:pgMar w:top="1440" w:right="1440" w:bottom="1440" w:left="1440" w:header="709" w:footer="709" w:gutter="0"/>
          <w:cols w:space="708"/>
          <w:docGrid w:linePitch="360"/>
        </w:sectPr>
      </w:pPr>
    </w:p>
    <w:p w14:paraId="371DADFE" w14:textId="484E19C1" w:rsidR="00023489" w:rsidRDefault="00023489" w:rsidP="001435E1">
      <w:pPr>
        <w:rPr>
          <w:rFonts w:ascii="Arial" w:hAnsi="Arial" w:cs="Arial"/>
          <w:sz w:val="24"/>
          <w:szCs w:val="24"/>
        </w:rPr>
      </w:pPr>
    </w:p>
    <w:p w14:paraId="08A8ACA3" w14:textId="48CD1176" w:rsidR="00023489" w:rsidRDefault="00023489" w:rsidP="001435E1">
      <w:pPr>
        <w:rPr>
          <w:rFonts w:ascii="Arial" w:hAnsi="Arial" w:cs="Arial"/>
          <w:sz w:val="24"/>
          <w:szCs w:val="24"/>
        </w:rPr>
      </w:pPr>
    </w:p>
    <w:p w14:paraId="7E23B242" w14:textId="1FCD0EEC" w:rsidR="00027769" w:rsidRDefault="00027769" w:rsidP="001435E1">
      <w:pPr>
        <w:rPr>
          <w:rFonts w:ascii="Arial" w:hAnsi="Arial" w:cs="Arial"/>
          <w:sz w:val="24"/>
          <w:szCs w:val="24"/>
        </w:rPr>
      </w:pPr>
    </w:p>
    <w:p w14:paraId="18C2408A" w14:textId="360D415F" w:rsidR="00027769" w:rsidRDefault="00027769" w:rsidP="001435E1">
      <w:pPr>
        <w:rPr>
          <w:rFonts w:ascii="Arial" w:hAnsi="Arial" w:cs="Arial"/>
          <w:sz w:val="24"/>
          <w:szCs w:val="24"/>
        </w:rPr>
      </w:pPr>
    </w:p>
    <w:p w14:paraId="3591A6C4" w14:textId="3B38ED76" w:rsidR="00027769" w:rsidRDefault="00027769" w:rsidP="001435E1">
      <w:pPr>
        <w:rPr>
          <w:rFonts w:ascii="Arial" w:hAnsi="Arial" w:cs="Arial"/>
          <w:sz w:val="24"/>
          <w:szCs w:val="24"/>
        </w:rPr>
      </w:pPr>
    </w:p>
    <w:p w14:paraId="11FA956C" w14:textId="77777777" w:rsidR="00027769" w:rsidRDefault="00027769" w:rsidP="001435E1">
      <w:pPr>
        <w:rPr>
          <w:rFonts w:ascii="Arial" w:hAnsi="Arial" w:cs="Arial"/>
          <w:sz w:val="24"/>
          <w:szCs w:val="24"/>
        </w:rPr>
      </w:pPr>
    </w:p>
    <w:p w14:paraId="33590590" w14:textId="77777777" w:rsidR="00027769" w:rsidRDefault="00027769" w:rsidP="001435E1">
      <w:pPr>
        <w:rPr>
          <w:rFonts w:ascii="Arial" w:hAnsi="Arial" w:cs="Arial"/>
          <w:sz w:val="24"/>
          <w:szCs w:val="24"/>
        </w:rPr>
      </w:pPr>
    </w:p>
    <w:p w14:paraId="49F3A801" w14:textId="77777777" w:rsidR="00023489" w:rsidRDefault="00023489" w:rsidP="00027769">
      <w:pPr>
        <w:pStyle w:val="Heading1"/>
      </w:pPr>
      <w:bookmarkStart w:id="134" w:name="_Toc133487809"/>
      <w:r>
        <w:t>Paper 2: Empirical Paper</w:t>
      </w:r>
      <w:bookmarkEnd w:id="134"/>
    </w:p>
    <w:p w14:paraId="23811072" w14:textId="77777777" w:rsidR="00023489" w:rsidRDefault="00023489" w:rsidP="00027769">
      <w:pPr>
        <w:pStyle w:val="Heading1"/>
      </w:pPr>
    </w:p>
    <w:p w14:paraId="2960B657" w14:textId="77777777" w:rsidR="00023489" w:rsidRPr="00D40344" w:rsidRDefault="00023489" w:rsidP="00023489"/>
    <w:p w14:paraId="072B6CBD" w14:textId="77777777" w:rsidR="00CC5E04" w:rsidRPr="00027769" w:rsidRDefault="00CC5E04" w:rsidP="00CC5E04">
      <w:pPr>
        <w:spacing w:line="360" w:lineRule="auto"/>
        <w:jc w:val="center"/>
        <w:rPr>
          <w:b/>
        </w:rPr>
      </w:pPr>
      <w:r w:rsidRPr="00027769">
        <w:rPr>
          <w:b/>
        </w:rPr>
        <w:t xml:space="preserve">Psychological Factors associated with Somatisation </w:t>
      </w:r>
      <w:r>
        <w:rPr>
          <w:b/>
        </w:rPr>
        <w:t>and Seizure Frequency in Seizure Conditions</w:t>
      </w:r>
      <w:r w:rsidRPr="00027769">
        <w:rPr>
          <w:b/>
        </w:rPr>
        <w:t xml:space="preserve">: </w:t>
      </w:r>
      <w:r>
        <w:rPr>
          <w:b/>
        </w:rPr>
        <w:t xml:space="preserve">Comparing </w:t>
      </w:r>
      <w:r w:rsidRPr="00027769">
        <w:rPr>
          <w:b/>
        </w:rPr>
        <w:t xml:space="preserve">Intolerance of Uncertainty, Anxiety Sensitivity, Anxiety, and Depression </w:t>
      </w:r>
      <w:r>
        <w:rPr>
          <w:b/>
        </w:rPr>
        <w:t>between</w:t>
      </w:r>
      <w:r w:rsidRPr="00027769">
        <w:rPr>
          <w:b/>
        </w:rPr>
        <w:t xml:space="preserve"> </w:t>
      </w:r>
      <w:r>
        <w:rPr>
          <w:b/>
        </w:rPr>
        <w:t>People with Epilepsy and Dissociative Seizures</w:t>
      </w:r>
    </w:p>
    <w:p w14:paraId="7926C6DC" w14:textId="7AB1E80F" w:rsidR="00027769" w:rsidRDefault="00027769" w:rsidP="00027769"/>
    <w:p w14:paraId="16208D20" w14:textId="1928BD7E" w:rsidR="00027769" w:rsidRDefault="00027769" w:rsidP="00027769"/>
    <w:p w14:paraId="4AFA55ED" w14:textId="77777777" w:rsidR="00027769" w:rsidRPr="00027769" w:rsidRDefault="00027769" w:rsidP="00027769"/>
    <w:p w14:paraId="0C1679F9" w14:textId="51260453" w:rsidR="00023489" w:rsidRDefault="00023489" w:rsidP="00436994">
      <w:pPr>
        <w:spacing w:line="360" w:lineRule="auto"/>
        <w:ind w:firstLine="720"/>
        <w:jc w:val="center"/>
        <w:rPr>
          <w:rFonts w:cs="Arial"/>
          <w:szCs w:val="24"/>
        </w:rPr>
      </w:pPr>
      <w:r w:rsidRPr="00201283">
        <w:rPr>
          <w:rFonts w:cs="Arial"/>
          <w:b/>
          <w:szCs w:val="24"/>
        </w:rPr>
        <w:t>Word count:</w:t>
      </w:r>
      <w:r w:rsidRPr="00201283">
        <w:rPr>
          <w:rFonts w:cs="Arial"/>
          <w:szCs w:val="24"/>
        </w:rPr>
        <w:t xml:space="preserve"> </w:t>
      </w:r>
      <w:r w:rsidR="0055208E">
        <w:rPr>
          <w:rFonts w:cs="Arial"/>
          <w:szCs w:val="24"/>
        </w:rPr>
        <w:t>7922</w:t>
      </w:r>
      <w:r w:rsidRPr="00201283">
        <w:rPr>
          <w:rFonts w:cs="Arial"/>
          <w:szCs w:val="24"/>
        </w:rPr>
        <w:t xml:space="preserve"> (Excluding </w:t>
      </w:r>
      <w:r>
        <w:rPr>
          <w:rFonts w:cs="Arial"/>
          <w:szCs w:val="24"/>
        </w:rPr>
        <w:t xml:space="preserve">the </w:t>
      </w:r>
      <w:r w:rsidRPr="00201283">
        <w:rPr>
          <w:rFonts w:cs="Arial"/>
          <w:szCs w:val="24"/>
        </w:rPr>
        <w:t>title p</w:t>
      </w:r>
      <w:r>
        <w:rPr>
          <w:rFonts w:cs="Arial"/>
          <w:szCs w:val="24"/>
        </w:rPr>
        <w:t>age, references and appendices)</w:t>
      </w:r>
    </w:p>
    <w:p w14:paraId="5551FE07" w14:textId="6F93B375" w:rsidR="00023489" w:rsidRDefault="00023489" w:rsidP="00436994">
      <w:pPr>
        <w:spacing w:line="360" w:lineRule="auto"/>
        <w:ind w:firstLine="720"/>
        <w:jc w:val="center"/>
        <w:rPr>
          <w:rFonts w:cs="Arial"/>
          <w:szCs w:val="24"/>
        </w:rPr>
      </w:pPr>
    </w:p>
    <w:p w14:paraId="10588B5D" w14:textId="77777777" w:rsidR="00027769" w:rsidRPr="00201283" w:rsidRDefault="00027769" w:rsidP="00436994">
      <w:pPr>
        <w:spacing w:line="360" w:lineRule="auto"/>
        <w:ind w:firstLine="720"/>
        <w:jc w:val="center"/>
        <w:rPr>
          <w:rFonts w:cs="Arial"/>
          <w:szCs w:val="24"/>
        </w:rPr>
      </w:pPr>
    </w:p>
    <w:p w14:paraId="458B31B4" w14:textId="77777777" w:rsidR="00023489" w:rsidRDefault="00023489" w:rsidP="00436994">
      <w:pPr>
        <w:spacing w:line="360" w:lineRule="auto"/>
        <w:ind w:firstLine="720"/>
        <w:jc w:val="center"/>
        <w:rPr>
          <w:rFonts w:cs="Arial"/>
          <w:b/>
          <w:szCs w:val="24"/>
        </w:rPr>
      </w:pPr>
      <w:r>
        <w:rPr>
          <w:rFonts w:cs="Arial"/>
          <w:szCs w:val="24"/>
        </w:rPr>
        <w:t>This paper has been written with the intention of submitting to Seizure – European Journal of Epilepsy. Author guidelines can be found in Appendix A.</w:t>
      </w:r>
      <w:r w:rsidRPr="00A96637">
        <w:rPr>
          <w:rFonts w:cs="Arial"/>
          <w:szCs w:val="24"/>
        </w:rPr>
        <w:t xml:space="preserve"> </w:t>
      </w:r>
      <w:r>
        <w:rPr>
          <w:rFonts w:cs="Arial"/>
          <w:szCs w:val="24"/>
        </w:rPr>
        <w:t xml:space="preserve">This paper will initially be submitted to Staffordshire University as part of a doctoral thesis. Word count </w:t>
      </w:r>
      <w:r w:rsidR="007617A5">
        <w:rPr>
          <w:rFonts w:cs="Arial"/>
          <w:szCs w:val="24"/>
        </w:rPr>
        <w:t>and formatting have been changed</w:t>
      </w:r>
      <w:r>
        <w:rPr>
          <w:rFonts w:cs="Arial"/>
          <w:szCs w:val="24"/>
        </w:rPr>
        <w:t xml:space="preserve"> to meet university requirements and will later be adjusted for journal submission.</w:t>
      </w:r>
    </w:p>
    <w:p w14:paraId="07FE9418" w14:textId="77777777" w:rsidR="00023489" w:rsidRDefault="00023489" w:rsidP="00023489"/>
    <w:p w14:paraId="4C841E0E" w14:textId="77777777" w:rsidR="00023489" w:rsidRDefault="00023489" w:rsidP="00023489"/>
    <w:p w14:paraId="0381E7EA" w14:textId="77777777" w:rsidR="00023489" w:rsidRDefault="00023489" w:rsidP="00023489"/>
    <w:p w14:paraId="29AAB3E8" w14:textId="77777777" w:rsidR="00023489" w:rsidRDefault="00023489" w:rsidP="00023489"/>
    <w:p w14:paraId="14C49217" w14:textId="77777777" w:rsidR="00023489" w:rsidRDefault="00023489" w:rsidP="00023489"/>
    <w:p w14:paraId="542548C8" w14:textId="77777777" w:rsidR="00023489" w:rsidRDefault="00023489" w:rsidP="00023489"/>
    <w:p w14:paraId="356604FC" w14:textId="77777777" w:rsidR="00023489" w:rsidRDefault="00023489" w:rsidP="00023489"/>
    <w:p w14:paraId="5DA38BB5" w14:textId="17171230" w:rsidR="004F5221" w:rsidRDefault="004F5221">
      <w:pPr>
        <w:rPr>
          <w:rFonts w:eastAsiaTheme="majorEastAsia" w:cstheme="minorHAnsi"/>
          <w:b/>
        </w:rPr>
      </w:pPr>
    </w:p>
    <w:p w14:paraId="25DA19B4" w14:textId="20C917D2" w:rsidR="00023489" w:rsidRPr="00642398" w:rsidRDefault="00023489" w:rsidP="00027769">
      <w:pPr>
        <w:pStyle w:val="Heading1"/>
      </w:pPr>
      <w:bookmarkStart w:id="135" w:name="_Toc133487810"/>
      <w:r w:rsidRPr="00642398">
        <w:t>Abstract</w:t>
      </w:r>
      <w:bookmarkEnd w:id="135"/>
    </w:p>
    <w:p w14:paraId="4D3AF2BC" w14:textId="77777777" w:rsidR="008B3232" w:rsidRDefault="00023489" w:rsidP="008B3232">
      <w:pPr>
        <w:spacing w:line="360" w:lineRule="auto"/>
        <w:ind w:firstLine="720"/>
        <w:jc w:val="both"/>
      </w:pPr>
      <w:r>
        <w:t xml:space="preserve">Aims: Research </w:t>
      </w:r>
      <w:r w:rsidR="00A379D0">
        <w:t>suggests</w:t>
      </w:r>
      <w:r>
        <w:t xml:space="preserve"> a bi-directional relationship between psychological factors and physical and mental health outcomes in seizure conditions.  Intolerance of uncertainty (IU), Anxiety sensitivity (AS), anxiety and depression have been associated with poor outcomes in a range of physical and mental health conditions. This study was designed to investigate their occurrence in people with diagnoses of epilepsy (PWE) or dissociative seizures (PWDS) and their relationship to somatisation, and seizure frequency.</w:t>
      </w:r>
    </w:p>
    <w:p w14:paraId="47AB86FF" w14:textId="2CA190C0" w:rsidR="008B3232" w:rsidRDefault="00023489" w:rsidP="008B3232">
      <w:pPr>
        <w:spacing w:line="360" w:lineRule="auto"/>
        <w:ind w:firstLine="720"/>
        <w:jc w:val="both"/>
      </w:pPr>
      <w:r>
        <w:t xml:space="preserve">Methods: 90 participants (44 </w:t>
      </w:r>
      <w:r w:rsidR="00E10C82">
        <w:t>PWE</w:t>
      </w:r>
      <w:r>
        <w:t xml:space="preserve">, 46 </w:t>
      </w:r>
      <w:r w:rsidR="00E10C82">
        <w:t>PW</w:t>
      </w:r>
      <w:r>
        <w:t>DS), completed a range of online self-report measures for IU (Intolerance of Uncertainty Scale 12)</w:t>
      </w:r>
      <w:r w:rsidR="00E10C82">
        <w:t>, AS (Anxiety Sensitivity index-</w:t>
      </w:r>
      <w:r>
        <w:t>3), depressio</w:t>
      </w:r>
      <w:r w:rsidR="00E10C82">
        <w:t>n (Patient Health Questionnaire-</w:t>
      </w:r>
      <w:r>
        <w:t>9), anxiety (Generalised Anxiety Disorder assessme</w:t>
      </w:r>
      <w:r w:rsidR="00E10C82">
        <w:t>nt-</w:t>
      </w:r>
      <w:r>
        <w:t>7), somatisatio</w:t>
      </w:r>
      <w:r w:rsidR="00E10C82">
        <w:t>n (Patient Health Questionnaire-</w:t>
      </w:r>
      <w:r>
        <w:t>15), and further demographic and seizure</w:t>
      </w:r>
      <w:r w:rsidR="009B1410">
        <w:t xml:space="preserve"> condition questions including reporting </w:t>
      </w:r>
      <w:r>
        <w:t>seizure frequency. Outcomes on measures were compared to assess differences between PWE and PWDS. Two multiple regression analyses were conducted to find potential predictors of somatisation and then seizure frequency.</w:t>
      </w:r>
    </w:p>
    <w:p w14:paraId="57B4B10A" w14:textId="4AD77B8C" w:rsidR="00023489" w:rsidRDefault="00023489" w:rsidP="008B3232">
      <w:pPr>
        <w:pStyle w:val="NoSpacing"/>
        <w:spacing w:line="360" w:lineRule="auto"/>
        <w:ind w:firstLine="720"/>
      </w:pPr>
      <w:r>
        <w:t>Results: Scores across all measures were higher for PWDS than PWE but not to a statistically significant extent. Significant correlations were found between all scale measures. Regression analyses identified that only depression significantly predicted increased somatisation and that no variables significantly predicted seizure frequency. A key limitation was that seizure frequency data violated multiple regression assumptions, meaning that related outcomes may not accurately describe the populations.</w:t>
      </w:r>
    </w:p>
    <w:p w14:paraId="49F8B77B" w14:textId="18291FE7" w:rsidR="004F5221" w:rsidRDefault="00023489" w:rsidP="004F5221">
      <w:pPr>
        <w:spacing w:line="360" w:lineRule="auto"/>
        <w:ind w:firstLine="720"/>
        <w:jc w:val="both"/>
      </w:pPr>
      <w:r>
        <w:t>Conclusion: This study adds novel evidence for the occurrence of, and associations between, clinically significant levels of IU, AS, anxiety, depression, and somatisation in populations with seizure conditions. Finding that depression was the only significant predictor of somatisation in both groups adds evidence for the importance of treating depression in people with seizure conditions experiencing somatisation. Research exposed limitations in the collection of seizure frequency data.</w:t>
      </w:r>
    </w:p>
    <w:p w14:paraId="7CB99C55" w14:textId="77777777" w:rsidR="004F5221" w:rsidRDefault="004F5221">
      <w:r>
        <w:br w:type="page"/>
      </w:r>
    </w:p>
    <w:p w14:paraId="65A3C445" w14:textId="77777777" w:rsidR="00023489" w:rsidRDefault="00023489" w:rsidP="00027769">
      <w:pPr>
        <w:pStyle w:val="Heading1"/>
      </w:pPr>
      <w:bookmarkStart w:id="136" w:name="_Toc133487811"/>
      <w:r w:rsidRPr="00642398">
        <w:lastRenderedPageBreak/>
        <w:t>Introduction</w:t>
      </w:r>
      <w:bookmarkEnd w:id="136"/>
      <w:r w:rsidRPr="00642398">
        <w:t xml:space="preserve"> </w:t>
      </w:r>
    </w:p>
    <w:p w14:paraId="56AD7C0F" w14:textId="77777777" w:rsidR="00023489" w:rsidRDefault="00023489" w:rsidP="004F5221">
      <w:pPr>
        <w:spacing w:line="360" w:lineRule="auto"/>
        <w:ind w:firstLine="720"/>
        <w:jc w:val="both"/>
      </w:pPr>
      <w:r>
        <w:t>Epilepsy is a condition characterised by the presence of recurring seizures, due to electrical activity in the brain. Dissociative seizures (DS) involve experience of episodes of partial or major loss of bodily control and awareness, similar to seizures but which do not share the same underlying physiological characteristics as epilepsy and do not respond to anti-epileptic medication (Hubsch et al., 2011). Both conditions are associated with poor health outcomes, stigma, and economic costs (D</w:t>
      </w:r>
      <w:r w:rsidRPr="00EF1FBA">
        <w:t>e Boer et al., 2008</w:t>
      </w:r>
      <w:r>
        <w:t>, Karakis et al., 2020</w:t>
      </w:r>
      <w:r w:rsidRPr="00EF1FBA">
        <w:t>)</w:t>
      </w:r>
      <w:r>
        <w:t xml:space="preserve">. Co-occurring psychological conditions are common, with evidence pointing towards a bi-directional link between both epilepsy and DS symptoms, with psychological factors such as depression and anxiety </w:t>
      </w:r>
      <w:r w:rsidRPr="00F10B36">
        <w:t>(</w:t>
      </w:r>
      <w:r>
        <w:t xml:space="preserve">Fobian &amp; Elliott, 2019, Galtrey et al., 2016, </w:t>
      </w:r>
      <w:r w:rsidRPr="00F10B36">
        <w:t>Mula, 2012)</w:t>
      </w:r>
      <w:r>
        <w:t>. It is therefore important to understand which psychological factors may be relevant for people with seizure conditions so that treatment pathways can target potential psychological difficulties, leading to possible improvements in outcomes for those affected.</w:t>
      </w:r>
    </w:p>
    <w:p w14:paraId="587D21FD" w14:textId="77777777" w:rsidR="00023489" w:rsidRDefault="00023489" w:rsidP="004F5221">
      <w:pPr>
        <w:spacing w:line="360" w:lineRule="auto"/>
        <w:ind w:firstLine="720"/>
        <w:jc w:val="both"/>
      </w:pPr>
      <w:r>
        <w:t xml:space="preserve">Brown and Reuber (2016) conceptualised an Integrated Cognitive Model (ICM) to explain DS. The model suggests that dissociative seizures occur as part of a feedback loop in which psychological factors contribute to triggering episodes by maintaining arousal responses. Potentially relevant factors include catastrophizing, repetitive negative thinking, and low mindfulness, which have all been found to predict seizure frequency in people with DS (PWDS), (Cullingham et al., 2020, Whitfield et al., 2020).   Psychological factors that increase stress have been suggested to contribute to increased epilepsy seizure frequency too, with more research called to investigate this relationship </w:t>
      </w:r>
      <w:r w:rsidRPr="00540682">
        <w:t>(</w:t>
      </w:r>
      <w:r>
        <w:t xml:space="preserve">Novakova et al., 2013, </w:t>
      </w:r>
      <w:r w:rsidRPr="00540682">
        <w:t>Sawyer &amp; Escayg, 2010)</w:t>
      </w:r>
      <w:r>
        <w:t>.</w:t>
      </w:r>
    </w:p>
    <w:p w14:paraId="538DDF3E" w14:textId="77777777" w:rsidR="00023489" w:rsidRDefault="00023489" w:rsidP="004F5221">
      <w:pPr>
        <w:spacing w:line="360" w:lineRule="auto"/>
        <w:ind w:firstLine="720"/>
        <w:jc w:val="both"/>
      </w:pPr>
      <w:r>
        <w:t xml:space="preserve">Intolerance of Uncertainty (IU) and Anxiety Sensitivity (AS) are cognitive behavioural dispositions towards causes of fear, which contribute to maintaining stress responses (Boswell et. al. 2013, Carleton, 2012). IU involves a negative reaction to uncertainty on a cognitive, emotional, and behavioural level (Buhr &amp; Dugas, 2002). This contributes to experience of anxiety and stress when facing unknown situations.  IU has been linked to coping strategies that maintain anxiety and depression such as avoidance and worry (Flores et al., 2018, Suh &amp; Lee, 2018). IU has been demonstrated to contribute to a range of psychological difficulties, including generalized anxiety disorder (GAD), obsessive compulsive disorder (OCD), and depression (Boswell et. al. 2013). IU has not yet been considered in relation to PWDS. IU has been shown to predict lower quality of life in people with epilepsy (PWE), (Barahmand &amp; Haji, 2014). </w:t>
      </w:r>
    </w:p>
    <w:p w14:paraId="04BA42CA" w14:textId="435CFB4B" w:rsidR="00023489" w:rsidRDefault="00023489" w:rsidP="004F5221">
      <w:pPr>
        <w:spacing w:line="360" w:lineRule="auto"/>
        <w:ind w:firstLine="720"/>
        <w:jc w:val="both"/>
      </w:pPr>
      <w:r>
        <w:t xml:space="preserve">AS describes sensitivity to the outcomes of the anxiety response, such as fear of elevated heart-rate leading to a heart-attack. AS has been demonstrated to be closely related and yet distinct from IU in its contribution to different psychological difficulties (Carleton et al., 2007, Carleton, 2012). </w:t>
      </w:r>
      <w:r>
        <w:lastRenderedPageBreak/>
        <w:t>AS involves fear of embodied experience, which is likely to be relevant to DS and epilepsy due to the physiological experiences at the core of the</w:t>
      </w:r>
      <w:r w:rsidR="009B1410">
        <w:t>se</w:t>
      </w:r>
      <w:r>
        <w:t xml:space="preserve"> conditions. AS has been demonstrated to be higher in adolescent populations with DS than sibling controls, and to predict higher PTSD scores in this population but no published studies have considered its role in adults with a diagnosis of DS (Plioplys et al., 2014, Plioplys et al., 2016). AS was found to predict quality of life but not seizure presence over the last year, in PWE (Johnson et al., 2018). </w:t>
      </w:r>
    </w:p>
    <w:p w14:paraId="78A0FD1F" w14:textId="77777777" w:rsidR="00023489" w:rsidRDefault="00023489" w:rsidP="004F5221">
      <w:pPr>
        <w:spacing w:line="360" w:lineRule="auto"/>
        <w:ind w:firstLine="720"/>
        <w:jc w:val="both"/>
      </w:pPr>
      <w:r>
        <w:t xml:space="preserve">Rates of anxiety and depression have been reported to be higher in PWE and PWDS than the general population (Kwon &amp; Park, 2014, </w:t>
      </w:r>
      <w:r w:rsidRPr="00A41D33">
        <w:t>Urbanek et al., 2014)</w:t>
      </w:r>
      <w:r>
        <w:t xml:space="preserve">. Depression has been argued to play a bi-directional role in epilepsy and DS, both being triggered by the conditions and potentially contributing to their development (Brown and Reuber, 2016, Kanner, 2003). A range of anxiety disorders such as GAD and OCD have been shown to have higher than typical rates in PWE (Brandt &amp; Mula, 2016, Beyenburg et al., 2005). Studies comparing psychological factors in both epilepsy and DS, have typically found them to be more prevalent and predictive of negative outcomes in the latter group </w:t>
      </w:r>
      <w:r w:rsidRPr="0022457B">
        <w:t>(</w:t>
      </w:r>
      <w:r>
        <w:t xml:space="preserve">Hovorka et al., 2007, </w:t>
      </w:r>
      <w:r w:rsidRPr="0022457B">
        <w:t>Vilyte &amp; Pretorius, 2019)</w:t>
      </w:r>
      <w:r>
        <w:t xml:space="preserve">. For example, depression and anxiety have been reported as higher in PWDS than in PWE and to predict lower quality of life (Abe et al., 2020). Comparator studies have identified that PWDS are more likely than PWE to score higher on measures of alexithymia, sadness, catastrophizing, perseveration, and post-traumatic stress </w:t>
      </w:r>
      <w:r w:rsidRPr="00C41EB0">
        <w:t>(</w:t>
      </w:r>
      <w:r>
        <w:t xml:space="preserve">Diprose et al., 2016, </w:t>
      </w:r>
      <w:r w:rsidRPr="00C41EB0">
        <w:t>Kaplan et al., 2013</w:t>
      </w:r>
      <w:r>
        <w:t xml:space="preserve">, </w:t>
      </w:r>
      <w:r w:rsidRPr="00C41EB0">
        <w:t>Tremont et al., 2012</w:t>
      </w:r>
      <w:r>
        <w:t xml:space="preserve">, </w:t>
      </w:r>
      <w:r w:rsidRPr="00C41EB0">
        <w:t>Whitfield et al., 20</w:t>
      </w:r>
      <w:r>
        <w:t>20</w:t>
      </w:r>
      <w:r w:rsidRPr="00C41EB0">
        <w:t>)</w:t>
      </w:r>
      <w:r>
        <w:t>. Therefore, whilst psychological factors may be relevant for both groups, research suggests that they may be more prevalent for PWDS.</w:t>
      </w:r>
    </w:p>
    <w:p w14:paraId="531B81E0" w14:textId="77777777" w:rsidR="00023489" w:rsidRPr="00241C9E" w:rsidRDefault="00023489" w:rsidP="00A53770">
      <w:pPr>
        <w:pStyle w:val="Heading2"/>
      </w:pPr>
      <w:bookmarkStart w:id="137" w:name="_Toc133487812"/>
      <w:r w:rsidRPr="00241C9E">
        <w:t>Outcomes in seizure studies</w:t>
      </w:r>
      <w:bookmarkEnd w:id="137"/>
    </w:p>
    <w:p w14:paraId="4CB53D8C" w14:textId="654B220B" w:rsidR="004869DC" w:rsidRDefault="00023489" w:rsidP="004F5221">
      <w:pPr>
        <w:spacing w:line="360" w:lineRule="auto"/>
        <w:ind w:firstLine="720"/>
        <w:jc w:val="both"/>
      </w:pPr>
      <w:r>
        <w:t>Reduction in seizure frequency has been the most common primary outcome for intervention directed towards seizure conditions (Martlew et al., 2014, Mohanraj &amp; Brodie, 2013). Self-report observations of seizure frequency are subject to the difficulties inherent in capturing data about experience over a period of time, such as inconsistent reporting, uncertain criteria and potential for bias. Moreover, high quality studies of therapeutic input reducing seizure frequency are limited (Goldstein et al., 2015). Further outcome measures of the impact of seizure conditions are therefore frequently included in studies alongside reports of seizure frequency. One such outcome is somatisation. Somatisation is the experience of negative bodily sensations</w:t>
      </w:r>
      <w:r w:rsidR="00E10C82">
        <w:t>, such as headaches,</w:t>
      </w:r>
      <w:r>
        <w:t xml:space="preserve"> which are thought to be associated with stress-related triggers. Somatisation has been shown to be more highly reported in PWDS than PWE, to predict seizure frequency, to be correlated with increased seizure severity and continuation over time, and to predict lower quality of life (Cullingham et al., 2020, Myers et al., 2019, Reuber et al., 2003, Wolf et al., 2015). IU mediated perceived COVID-19 threat and somatisation in a community, general population study (Gica et al., 2020). Higher levels of </w:t>
      </w:r>
      <w:r>
        <w:lastRenderedPageBreak/>
        <w:t xml:space="preserve">AS have been demonstrated to predispose people to higher levels of somatisation (Wood et al., 2011). Anxiety and depression have been consistently associated with somatisation </w:t>
      </w:r>
      <w:r w:rsidRPr="003565B0">
        <w:t>(Löwe et al., 2008)</w:t>
      </w:r>
      <w:r>
        <w:t xml:space="preserve">. </w:t>
      </w:r>
    </w:p>
    <w:p w14:paraId="2E3BA58C" w14:textId="77777777" w:rsidR="00023489" w:rsidRPr="00241C9E" w:rsidRDefault="00023489" w:rsidP="00027769">
      <w:pPr>
        <w:pStyle w:val="Heading1"/>
      </w:pPr>
      <w:bookmarkStart w:id="138" w:name="_Toc133487813"/>
      <w:r w:rsidRPr="00241C9E">
        <w:t>Wider relevance of this research</w:t>
      </w:r>
      <w:bookmarkEnd w:id="138"/>
    </w:p>
    <w:p w14:paraId="414AC3C0" w14:textId="7D56DEC0" w:rsidR="00023489" w:rsidRDefault="00023489" w:rsidP="004F5221">
      <w:pPr>
        <w:spacing w:line="360" w:lineRule="auto"/>
        <w:ind w:firstLine="720"/>
        <w:jc w:val="both"/>
      </w:pPr>
      <w:r>
        <w:t xml:space="preserve">Currently </w:t>
      </w:r>
      <w:r w:rsidR="00F12447">
        <w:t>Cognitive Behavioural Therapy</w:t>
      </w:r>
      <w:r>
        <w:t xml:space="preserve"> is a recommended form of psychological intervention for people with seizure conditions, with recent research demonstrating benefits from other th</w:t>
      </w:r>
      <w:r w:rsidR="00F12447">
        <w:t>erapeutic modalities such as Acceptance and Commitment Therapy</w:t>
      </w:r>
      <w:r>
        <w:t xml:space="preserve"> or psychodynamic therapies (Cullingham, 2000, Martlew et al., 2014, Modi et al., 2017). The content of therapeutic delivery varies within and between approaches and is often tailored to specific client populations and psychological conditions (Gaynor et al., 2009). Evidence for the presence and role of IU and AS amongst people with seizure conditions could support the promotion of targeted therapeutic intervention to help reduce their influence. Interventions that consider IU and AS and aim to therapeutically resolve their mechanisms have been demonstrated to lead to clinically significant improvements (Boswell et al., 2013; Hebert &amp; Dugas, 2018, Ladouceur et al., 2000; McEvoy &amp; Erceg-Hurn, 2016, Smits et al., 2008, Van der Heiden et al., 2012). Alternatively, clinician and client time may be better spent targeting other psychological factors such as anxiety or depression, if these prove more detrimental to people with seizure conditions. Improvement in psychological treatment is important because standard medication-based treatment is limited for PWDS and for PWE does not target associated psychological factors </w:t>
      </w:r>
      <w:r w:rsidRPr="006279B5">
        <w:t>(</w:t>
      </w:r>
      <w:r>
        <w:t xml:space="preserve">LaFrance et al., 2013, </w:t>
      </w:r>
      <w:r w:rsidRPr="006279B5">
        <w:t>Paschal et al., 2014)</w:t>
      </w:r>
      <w:r>
        <w:t>.</w:t>
      </w:r>
    </w:p>
    <w:p w14:paraId="6C44790F" w14:textId="77777777" w:rsidR="00023489" w:rsidRPr="00A125CD" w:rsidRDefault="00023489" w:rsidP="00A53770">
      <w:pPr>
        <w:pStyle w:val="Heading2"/>
      </w:pPr>
      <w:bookmarkStart w:id="139" w:name="_Toc133487814"/>
      <w:r w:rsidRPr="00A125CD">
        <w:t>Hypotheses</w:t>
      </w:r>
      <w:bookmarkEnd w:id="139"/>
    </w:p>
    <w:p w14:paraId="19E52C43" w14:textId="77777777" w:rsidR="00023489" w:rsidRDefault="00023489" w:rsidP="00436994">
      <w:pPr>
        <w:pStyle w:val="ListParagraph"/>
        <w:numPr>
          <w:ilvl w:val="0"/>
          <w:numId w:val="4"/>
        </w:numPr>
        <w:spacing w:line="360" w:lineRule="auto"/>
        <w:ind w:firstLine="720"/>
      </w:pPr>
      <w:r>
        <w:t>PWDS will have statistically significantly higher mean scores on measures of IU, AS, anxiety, depression, and somatisation than PWE.</w:t>
      </w:r>
    </w:p>
    <w:p w14:paraId="07DFCAE7" w14:textId="77777777" w:rsidR="00023489" w:rsidRDefault="00023489" w:rsidP="00436994">
      <w:pPr>
        <w:pStyle w:val="ListParagraph"/>
        <w:numPr>
          <w:ilvl w:val="0"/>
          <w:numId w:val="4"/>
        </w:numPr>
        <w:spacing w:line="360" w:lineRule="auto"/>
        <w:ind w:firstLine="720"/>
      </w:pPr>
      <w:r>
        <w:t>Higher levels of IU, AS, anxiety, and depression, along with having a diagnosis of DS rather than epilepsy, will predict higher levels of somatisation.</w:t>
      </w:r>
    </w:p>
    <w:p w14:paraId="2F77BB1D" w14:textId="77777777" w:rsidR="00023489" w:rsidRDefault="00023489" w:rsidP="00436994">
      <w:pPr>
        <w:pStyle w:val="ListParagraph"/>
        <w:numPr>
          <w:ilvl w:val="0"/>
          <w:numId w:val="4"/>
        </w:numPr>
        <w:spacing w:line="360" w:lineRule="auto"/>
        <w:ind w:firstLine="720"/>
      </w:pPr>
      <w:r>
        <w:t>Higher levels of IU, AS, anxiety, and depression, along with having a diagnosis of DS rather than epilepsy will predict increased seizure frequency.</w:t>
      </w:r>
    </w:p>
    <w:p w14:paraId="1F520E0C" w14:textId="77777777" w:rsidR="00023489" w:rsidRDefault="00023489" w:rsidP="00027769">
      <w:pPr>
        <w:pStyle w:val="Heading1"/>
      </w:pPr>
      <w:bookmarkStart w:id="140" w:name="_Toc133487815"/>
      <w:r w:rsidRPr="00F55295">
        <w:t>Method</w:t>
      </w:r>
      <w:bookmarkEnd w:id="140"/>
    </w:p>
    <w:p w14:paraId="29F192EA" w14:textId="50DFA783" w:rsidR="00023489" w:rsidRPr="005448B6" w:rsidRDefault="00023489" w:rsidP="00A53770">
      <w:pPr>
        <w:pStyle w:val="Heading2"/>
      </w:pPr>
      <w:bookmarkStart w:id="141" w:name="_Toc133487816"/>
      <w:r>
        <w:t>Design and Ethics</w:t>
      </w:r>
      <w:bookmarkEnd w:id="141"/>
    </w:p>
    <w:p w14:paraId="339DE975" w14:textId="09C74843" w:rsidR="00023489" w:rsidRDefault="00023489" w:rsidP="004F5221">
      <w:pPr>
        <w:spacing w:line="360" w:lineRule="auto"/>
        <w:ind w:firstLine="720"/>
        <w:jc w:val="both"/>
      </w:pPr>
      <w:r>
        <w:t xml:space="preserve">This study involved a cross-sectional, observational design, comparing results on online measures between PWE and PWDS. </w:t>
      </w:r>
      <w:r w:rsidRPr="00B74045">
        <w:t>Ethical approval</w:t>
      </w:r>
      <w:r>
        <w:t xml:space="preserve"> for the study</w:t>
      </w:r>
      <w:r w:rsidRPr="00B74045">
        <w:t xml:space="preserve"> was</w:t>
      </w:r>
      <w:r>
        <w:t xml:space="preserve"> obtained from Staffordshire University, and NHS ethics (Appendices B and C). Informed consent was obtained for all participants.</w:t>
      </w:r>
      <w:r w:rsidRPr="00B74045">
        <w:t xml:space="preserve"> </w:t>
      </w:r>
      <w:r>
        <w:t xml:space="preserve">The author took a positivist stance to the research, involving a quantitative, hypothesis-testing approach </w:t>
      </w:r>
      <w:r w:rsidRPr="005E2E7F">
        <w:t>(Park et al., 2020)</w:t>
      </w:r>
      <w:r>
        <w:t>.</w:t>
      </w:r>
    </w:p>
    <w:p w14:paraId="3D2BE0A5" w14:textId="7F5643F9" w:rsidR="004869DC" w:rsidRDefault="004869DC" w:rsidP="004F5221">
      <w:pPr>
        <w:spacing w:line="360" w:lineRule="auto"/>
        <w:ind w:firstLine="720"/>
        <w:jc w:val="both"/>
      </w:pPr>
    </w:p>
    <w:p w14:paraId="4C120E29" w14:textId="77777777" w:rsidR="00023489" w:rsidRPr="00AD4056" w:rsidRDefault="00023489" w:rsidP="00A53770">
      <w:pPr>
        <w:pStyle w:val="Heading2"/>
      </w:pPr>
      <w:bookmarkStart w:id="142" w:name="_Toc133487817"/>
      <w:r w:rsidRPr="00AD4056">
        <w:t>Service User Involvement</w:t>
      </w:r>
      <w:bookmarkEnd w:id="142"/>
    </w:p>
    <w:p w14:paraId="4517ED05" w14:textId="5D6A1FBE" w:rsidR="00023489" w:rsidRPr="004869DC" w:rsidRDefault="00023489" w:rsidP="004F5221">
      <w:pPr>
        <w:spacing w:line="360" w:lineRule="auto"/>
        <w:ind w:firstLine="720"/>
        <w:jc w:val="both"/>
        <w:rPr>
          <w:b/>
        </w:rPr>
      </w:pPr>
      <w:r w:rsidRPr="00B74045">
        <w:t xml:space="preserve"> Prior to recruitment, a service user panel</w:t>
      </w:r>
      <w:r>
        <w:t xml:space="preserve"> </w:t>
      </w:r>
      <w:r w:rsidR="004869DC">
        <w:t xml:space="preserve">affiliated </w:t>
      </w:r>
      <w:r>
        <w:t>with Staffordshire University trialled the survey and provided</w:t>
      </w:r>
      <w:r w:rsidRPr="00B74045">
        <w:t xml:space="preserve"> feedbac</w:t>
      </w:r>
      <w:r>
        <w:t>k on accessibility. Feedback suggested that the survey was accessible and provided an estimate of time taken.</w:t>
      </w:r>
    </w:p>
    <w:p w14:paraId="41ECA2C5" w14:textId="77777777" w:rsidR="00023489" w:rsidRPr="00776231" w:rsidRDefault="00023489" w:rsidP="00A53770">
      <w:pPr>
        <w:pStyle w:val="Heading2"/>
      </w:pPr>
      <w:bookmarkStart w:id="143" w:name="_Toc133487818"/>
      <w:r w:rsidRPr="00776231">
        <w:t>Participants</w:t>
      </w:r>
      <w:bookmarkEnd w:id="143"/>
    </w:p>
    <w:p w14:paraId="2E2D441F" w14:textId="6E48FE4C" w:rsidR="00023489" w:rsidRDefault="00023489" w:rsidP="004F5221">
      <w:pPr>
        <w:spacing w:line="360" w:lineRule="auto"/>
        <w:ind w:firstLine="720"/>
        <w:jc w:val="both"/>
      </w:pPr>
      <w:r>
        <w:t>Participant total was 90 (epilepsy = 44, DS = 46). Combined group demographi</w:t>
      </w:r>
      <w:r w:rsidR="00F12447">
        <w:t>c information is summarised in t</w:t>
      </w:r>
      <w:r>
        <w:t xml:space="preserve">able 1. The majority of the sample identified as women (83.33%). Ages ranged from 18 – 88 (M = 39.06, SD = 16.80). Further demographic information, used for assessing comparability of groups, can be found in table </w:t>
      </w:r>
      <w:r w:rsidR="00F12447">
        <w:t>2</w:t>
      </w:r>
      <w:r w:rsidR="00E62C26">
        <w:t>.</w:t>
      </w:r>
    </w:p>
    <w:p w14:paraId="199B29F6" w14:textId="77777777" w:rsidR="00023489" w:rsidRPr="008270FA" w:rsidRDefault="00023489" w:rsidP="00A53770">
      <w:pPr>
        <w:spacing w:line="360" w:lineRule="auto"/>
        <w:ind w:firstLine="720"/>
      </w:pPr>
    </w:p>
    <w:p w14:paraId="70A58DE4" w14:textId="2186E530" w:rsidR="00023489" w:rsidRDefault="00A53770" w:rsidP="00A53770">
      <w:pPr>
        <w:pStyle w:val="Heading2"/>
      </w:pPr>
      <w:bookmarkStart w:id="144" w:name="_Toc133487819"/>
      <w:r>
        <w:t>Table 1</w:t>
      </w:r>
      <w:bookmarkEnd w:id="144"/>
    </w:p>
    <w:p w14:paraId="5A315272" w14:textId="4F46F162" w:rsidR="00023489" w:rsidRDefault="00023489" w:rsidP="00A53770">
      <w:pPr>
        <w:spacing w:line="360" w:lineRule="auto"/>
        <w:rPr>
          <w:i/>
        </w:rPr>
      </w:pPr>
      <w:r>
        <w:rPr>
          <w:i/>
        </w:rPr>
        <w:t>Total combined group participant age,</w:t>
      </w:r>
      <w:r w:rsidR="00A53770">
        <w:rPr>
          <w:i/>
        </w:rPr>
        <w:t xml:space="preserve"> gender, and ethnicity (N = 90)</w:t>
      </w:r>
    </w:p>
    <w:tbl>
      <w:tblPr>
        <w:tblW w:w="4855" w:type="pct"/>
        <w:jc w:val="center"/>
        <w:tblLook w:val="04A0" w:firstRow="1" w:lastRow="0" w:firstColumn="1" w:lastColumn="0" w:noHBand="0" w:noVBand="1"/>
      </w:tblPr>
      <w:tblGrid>
        <w:gridCol w:w="3719"/>
        <w:gridCol w:w="1681"/>
        <w:gridCol w:w="1681"/>
        <w:gridCol w:w="1683"/>
      </w:tblGrid>
      <w:tr w:rsidR="00023489" w:rsidRPr="00EE1660" w14:paraId="11EE975A" w14:textId="77777777" w:rsidTr="00023489">
        <w:trPr>
          <w:trHeight w:val="462"/>
          <w:jc w:val="center"/>
        </w:trPr>
        <w:tc>
          <w:tcPr>
            <w:tcW w:w="2122" w:type="pct"/>
            <w:tcBorders>
              <w:top w:val="single" w:sz="4" w:space="0" w:color="auto"/>
              <w:bottom w:val="single" w:sz="4" w:space="0" w:color="auto"/>
            </w:tcBorders>
            <w:vAlign w:val="center"/>
          </w:tcPr>
          <w:p w14:paraId="3134B9C7" w14:textId="77777777" w:rsidR="00023489" w:rsidRPr="00EE1660" w:rsidRDefault="00023489" w:rsidP="00BC1C17">
            <w:pPr>
              <w:tabs>
                <w:tab w:val="left" w:pos="1134"/>
              </w:tabs>
              <w:spacing w:after="0" w:line="240" w:lineRule="auto"/>
              <w:jc w:val="center"/>
              <w:rPr>
                <w:rFonts w:cs="Arial"/>
                <w:szCs w:val="24"/>
              </w:rPr>
            </w:pPr>
          </w:p>
        </w:tc>
        <w:tc>
          <w:tcPr>
            <w:tcW w:w="959" w:type="pct"/>
            <w:tcBorders>
              <w:top w:val="single" w:sz="4" w:space="0" w:color="auto"/>
              <w:bottom w:val="single" w:sz="4" w:space="0" w:color="auto"/>
            </w:tcBorders>
            <w:vAlign w:val="center"/>
          </w:tcPr>
          <w:p w14:paraId="4EC7E361" w14:textId="77777777" w:rsidR="00023489" w:rsidRPr="00EE1660" w:rsidRDefault="00023489" w:rsidP="00BC1C17">
            <w:pPr>
              <w:tabs>
                <w:tab w:val="left" w:pos="1134"/>
              </w:tabs>
              <w:spacing w:after="0" w:line="240" w:lineRule="auto"/>
              <w:jc w:val="center"/>
              <w:rPr>
                <w:rFonts w:cs="Arial"/>
                <w:b/>
                <w:bCs/>
                <w:szCs w:val="24"/>
              </w:rPr>
            </w:pPr>
            <w:r>
              <w:rPr>
                <w:rFonts w:cs="Arial"/>
                <w:b/>
                <w:bCs/>
                <w:szCs w:val="24"/>
              </w:rPr>
              <w:t>(</w:t>
            </w:r>
            <w:r w:rsidRPr="00EE1660">
              <w:rPr>
                <w:rFonts w:cs="Arial"/>
                <w:b/>
                <w:bCs/>
                <w:szCs w:val="24"/>
              </w:rPr>
              <w:t>M</w:t>
            </w:r>
            <w:r>
              <w:rPr>
                <w:rFonts w:cs="Arial"/>
                <w:b/>
                <w:bCs/>
                <w:szCs w:val="24"/>
              </w:rPr>
              <w:t>)</w:t>
            </w:r>
          </w:p>
        </w:tc>
        <w:tc>
          <w:tcPr>
            <w:tcW w:w="959" w:type="pct"/>
            <w:tcBorders>
              <w:top w:val="single" w:sz="4" w:space="0" w:color="auto"/>
              <w:bottom w:val="single" w:sz="4" w:space="0" w:color="auto"/>
            </w:tcBorders>
            <w:vAlign w:val="center"/>
          </w:tcPr>
          <w:p w14:paraId="656AE324" w14:textId="77777777" w:rsidR="00023489" w:rsidRPr="00EE1660" w:rsidRDefault="00023489" w:rsidP="00BC1C17">
            <w:pPr>
              <w:tabs>
                <w:tab w:val="left" w:pos="1134"/>
              </w:tabs>
              <w:spacing w:after="0" w:line="240" w:lineRule="auto"/>
              <w:jc w:val="center"/>
              <w:rPr>
                <w:rFonts w:cs="Arial"/>
                <w:b/>
                <w:bCs/>
                <w:szCs w:val="24"/>
              </w:rPr>
            </w:pPr>
            <w:r>
              <w:rPr>
                <w:rFonts w:cs="Arial"/>
                <w:b/>
                <w:bCs/>
                <w:szCs w:val="24"/>
              </w:rPr>
              <w:t>(</w:t>
            </w:r>
            <w:r w:rsidRPr="00EE1660">
              <w:rPr>
                <w:rFonts w:cs="Arial"/>
                <w:b/>
                <w:bCs/>
                <w:szCs w:val="24"/>
              </w:rPr>
              <w:t>SD</w:t>
            </w:r>
            <w:r>
              <w:rPr>
                <w:rFonts w:cs="Arial"/>
                <w:b/>
                <w:bCs/>
                <w:szCs w:val="24"/>
              </w:rPr>
              <w:t>)</w:t>
            </w:r>
          </w:p>
        </w:tc>
        <w:tc>
          <w:tcPr>
            <w:tcW w:w="960" w:type="pct"/>
            <w:tcBorders>
              <w:top w:val="single" w:sz="4" w:space="0" w:color="auto"/>
              <w:bottom w:val="single" w:sz="4" w:space="0" w:color="auto"/>
            </w:tcBorders>
            <w:vAlign w:val="center"/>
          </w:tcPr>
          <w:p w14:paraId="5098D34A" w14:textId="77777777" w:rsidR="00023489" w:rsidRPr="00EE1660" w:rsidRDefault="00023489" w:rsidP="00BC1C17">
            <w:pPr>
              <w:tabs>
                <w:tab w:val="left" w:pos="1134"/>
              </w:tabs>
              <w:spacing w:after="0" w:line="240" w:lineRule="auto"/>
              <w:jc w:val="center"/>
              <w:rPr>
                <w:rFonts w:cs="Arial"/>
                <w:b/>
                <w:bCs/>
                <w:szCs w:val="24"/>
              </w:rPr>
            </w:pPr>
            <w:r>
              <w:rPr>
                <w:rFonts w:cs="Arial"/>
                <w:b/>
                <w:bCs/>
                <w:szCs w:val="24"/>
              </w:rPr>
              <w:t>(</w:t>
            </w:r>
            <w:r w:rsidRPr="00EE1660">
              <w:rPr>
                <w:rFonts w:cs="Arial"/>
                <w:b/>
                <w:bCs/>
                <w:szCs w:val="24"/>
              </w:rPr>
              <w:t>Range</w:t>
            </w:r>
            <w:r>
              <w:rPr>
                <w:rFonts w:cs="Arial"/>
                <w:b/>
                <w:bCs/>
                <w:szCs w:val="24"/>
              </w:rPr>
              <w:t>)</w:t>
            </w:r>
          </w:p>
        </w:tc>
      </w:tr>
      <w:tr w:rsidR="00023489" w:rsidRPr="00EE1660" w14:paraId="5D68F8BE" w14:textId="77777777" w:rsidTr="00023489">
        <w:trPr>
          <w:trHeight w:val="462"/>
          <w:jc w:val="center"/>
        </w:trPr>
        <w:tc>
          <w:tcPr>
            <w:tcW w:w="2122" w:type="pct"/>
            <w:tcBorders>
              <w:top w:val="single" w:sz="4" w:space="0" w:color="auto"/>
              <w:bottom w:val="single" w:sz="4" w:space="0" w:color="auto"/>
            </w:tcBorders>
            <w:vAlign w:val="center"/>
          </w:tcPr>
          <w:p w14:paraId="09310687" w14:textId="77777777" w:rsidR="00023489" w:rsidRPr="00EE1660" w:rsidRDefault="00023489" w:rsidP="00BC1C17">
            <w:pPr>
              <w:tabs>
                <w:tab w:val="left" w:pos="1134"/>
              </w:tabs>
              <w:spacing w:after="0" w:line="240" w:lineRule="auto"/>
              <w:jc w:val="center"/>
              <w:rPr>
                <w:rFonts w:cs="Arial"/>
                <w:szCs w:val="24"/>
              </w:rPr>
            </w:pPr>
          </w:p>
        </w:tc>
        <w:tc>
          <w:tcPr>
            <w:tcW w:w="959" w:type="pct"/>
            <w:tcBorders>
              <w:top w:val="single" w:sz="4" w:space="0" w:color="auto"/>
              <w:bottom w:val="single" w:sz="4" w:space="0" w:color="auto"/>
            </w:tcBorders>
            <w:vAlign w:val="center"/>
          </w:tcPr>
          <w:p w14:paraId="38D430AD" w14:textId="77777777" w:rsidR="00023489" w:rsidRPr="00EE1660" w:rsidRDefault="00023489" w:rsidP="00BC1C17">
            <w:pPr>
              <w:tabs>
                <w:tab w:val="left" w:pos="1134"/>
              </w:tabs>
              <w:spacing w:after="0" w:line="240" w:lineRule="auto"/>
              <w:jc w:val="center"/>
              <w:rPr>
                <w:rFonts w:cs="Arial"/>
                <w:b/>
                <w:bCs/>
                <w:szCs w:val="24"/>
              </w:rPr>
            </w:pPr>
            <w:r>
              <w:rPr>
                <w:rFonts w:cs="Arial"/>
                <w:b/>
                <w:bCs/>
                <w:szCs w:val="24"/>
              </w:rPr>
              <w:t>Category</w:t>
            </w:r>
          </w:p>
        </w:tc>
        <w:tc>
          <w:tcPr>
            <w:tcW w:w="959" w:type="pct"/>
            <w:tcBorders>
              <w:top w:val="single" w:sz="4" w:space="0" w:color="auto"/>
              <w:bottom w:val="single" w:sz="4" w:space="0" w:color="auto"/>
            </w:tcBorders>
            <w:vAlign w:val="center"/>
          </w:tcPr>
          <w:p w14:paraId="3F5C2933" w14:textId="77777777" w:rsidR="00023489" w:rsidRPr="00EE1660" w:rsidRDefault="00023489" w:rsidP="00BC1C17">
            <w:pPr>
              <w:tabs>
                <w:tab w:val="left" w:pos="1134"/>
              </w:tabs>
              <w:spacing w:after="0" w:line="240" w:lineRule="auto"/>
              <w:jc w:val="center"/>
              <w:rPr>
                <w:rFonts w:cs="Arial"/>
                <w:b/>
                <w:bCs/>
                <w:szCs w:val="24"/>
              </w:rPr>
            </w:pPr>
            <w:r>
              <w:rPr>
                <w:rFonts w:cs="Arial"/>
                <w:b/>
                <w:bCs/>
                <w:szCs w:val="24"/>
              </w:rPr>
              <w:t>Frequency</w:t>
            </w:r>
          </w:p>
        </w:tc>
        <w:tc>
          <w:tcPr>
            <w:tcW w:w="960" w:type="pct"/>
            <w:tcBorders>
              <w:top w:val="single" w:sz="4" w:space="0" w:color="auto"/>
              <w:bottom w:val="single" w:sz="4" w:space="0" w:color="auto"/>
            </w:tcBorders>
            <w:vAlign w:val="center"/>
          </w:tcPr>
          <w:p w14:paraId="4DA566E3" w14:textId="77777777" w:rsidR="00023489" w:rsidRPr="00EE1660" w:rsidRDefault="00023489" w:rsidP="00BC1C17">
            <w:pPr>
              <w:tabs>
                <w:tab w:val="left" w:pos="1134"/>
              </w:tabs>
              <w:spacing w:after="0" w:line="240" w:lineRule="auto"/>
              <w:jc w:val="center"/>
              <w:rPr>
                <w:rFonts w:cs="Arial"/>
                <w:b/>
                <w:bCs/>
                <w:szCs w:val="24"/>
              </w:rPr>
            </w:pPr>
            <w:r>
              <w:rPr>
                <w:rFonts w:cs="Arial"/>
                <w:b/>
                <w:bCs/>
                <w:szCs w:val="24"/>
              </w:rPr>
              <w:t>Percentage</w:t>
            </w:r>
          </w:p>
        </w:tc>
      </w:tr>
      <w:tr w:rsidR="00023489" w:rsidRPr="00EE1660" w14:paraId="3C3A6372" w14:textId="77777777" w:rsidTr="00023489">
        <w:trPr>
          <w:trHeight w:val="462"/>
          <w:jc w:val="center"/>
        </w:trPr>
        <w:tc>
          <w:tcPr>
            <w:tcW w:w="2122" w:type="pct"/>
            <w:tcBorders>
              <w:top w:val="single" w:sz="4" w:space="0" w:color="auto"/>
            </w:tcBorders>
            <w:vAlign w:val="center"/>
          </w:tcPr>
          <w:p w14:paraId="1F1B688B" w14:textId="77777777" w:rsidR="00023489" w:rsidRPr="008C74E0" w:rsidRDefault="00023489" w:rsidP="00BC1C17">
            <w:pPr>
              <w:tabs>
                <w:tab w:val="left" w:pos="1134"/>
              </w:tabs>
              <w:spacing w:after="0" w:line="240" w:lineRule="auto"/>
              <w:rPr>
                <w:rFonts w:cs="Arial"/>
                <w:b/>
                <w:bCs/>
                <w:szCs w:val="24"/>
              </w:rPr>
            </w:pPr>
            <w:r w:rsidRPr="008C74E0">
              <w:rPr>
                <w:b/>
              </w:rPr>
              <w:t>Age</w:t>
            </w:r>
          </w:p>
        </w:tc>
        <w:tc>
          <w:tcPr>
            <w:tcW w:w="959" w:type="pct"/>
            <w:tcBorders>
              <w:top w:val="single" w:sz="4" w:space="0" w:color="auto"/>
            </w:tcBorders>
            <w:vAlign w:val="center"/>
          </w:tcPr>
          <w:p w14:paraId="798655F7" w14:textId="77777777" w:rsidR="00023489" w:rsidRDefault="00023489" w:rsidP="00BC1C17">
            <w:pPr>
              <w:tabs>
                <w:tab w:val="left" w:pos="1134"/>
              </w:tabs>
              <w:spacing w:after="0" w:line="240" w:lineRule="auto"/>
              <w:jc w:val="center"/>
            </w:pPr>
          </w:p>
          <w:p w14:paraId="319CCAC9" w14:textId="77777777" w:rsidR="00023489" w:rsidRDefault="00023489" w:rsidP="00BC1C17">
            <w:pPr>
              <w:tabs>
                <w:tab w:val="left" w:pos="1134"/>
              </w:tabs>
              <w:spacing w:after="0" w:line="240" w:lineRule="auto"/>
              <w:jc w:val="center"/>
            </w:pPr>
            <w:r>
              <w:t>(39.06)</w:t>
            </w:r>
          </w:p>
          <w:p w14:paraId="671C43C7" w14:textId="77777777" w:rsidR="00023489" w:rsidRPr="00EE1660" w:rsidRDefault="00023489" w:rsidP="00BC1C17">
            <w:pPr>
              <w:tabs>
                <w:tab w:val="left" w:pos="1134"/>
              </w:tabs>
              <w:spacing w:after="0" w:line="240" w:lineRule="auto"/>
              <w:rPr>
                <w:rFonts w:cs="Arial"/>
                <w:szCs w:val="24"/>
              </w:rPr>
            </w:pPr>
          </w:p>
        </w:tc>
        <w:tc>
          <w:tcPr>
            <w:tcW w:w="959" w:type="pct"/>
            <w:tcBorders>
              <w:top w:val="single" w:sz="4" w:space="0" w:color="auto"/>
            </w:tcBorders>
            <w:vAlign w:val="center"/>
          </w:tcPr>
          <w:p w14:paraId="4261236D" w14:textId="77777777" w:rsidR="00023489" w:rsidRPr="00EE1660" w:rsidRDefault="00023489" w:rsidP="00BC1C17">
            <w:pPr>
              <w:tabs>
                <w:tab w:val="left" w:pos="1134"/>
              </w:tabs>
              <w:spacing w:after="0" w:line="240" w:lineRule="auto"/>
              <w:jc w:val="center"/>
              <w:rPr>
                <w:rFonts w:cs="Arial"/>
                <w:szCs w:val="24"/>
              </w:rPr>
            </w:pPr>
            <w:r>
              <w:t>(16.80)</w:t>
            </w:r>
          </w:p>
        </w:tc>
        <w:tc>
          <w:tcPr>
            <w:tcW w:w="960" w:type="pct"/>
            <w:tcBorders>
              <w:top w:val="single" w:sz="4" w:space="0" w:color="auto"/>
            </w:tcBorders>
            <w:vAlign w:val="center"/>
          </w:tcPr>
          <w:p w14:paraId="2398E949" w14:textId="77777777" w:rsidR="00023489" w:rsidRPr="00EE1660" w:rsidRDefault="00023489" w:rsidP="00BC1C17">
            <w:pPr>
              <w:tabs>
                <w:tab w:val="left" w:pos="1134"/>
              </w:tabs>
              <w:spacing w:after="0" w:line="240" w:lineRule="auto"/>
              <w:jc w:val="center"/>
              <w:rPr>
                <w:rFonts w:cs="Arial"/>
                <w:szCs w:val="24"/>
              </w:rPr>
            </w:pPr>
            <w:r>
              <w:rPr>
                <w:rFonts w:cs="Arial"/>
                <w:szCs w:val="24"/>
              </w:rPr>
              <w:t>(18 – 88)</w:t>
            </w:r>
          </w:p>
        </w:tc>
      </w:tr>
      <w:tr w:rsidR="00023489" w:rsidRPr="00EE1660" w14:paraId="3A8A4B55" w14:textId="77777777" w:rsidTr="00023489">
        <w:trPr>
          <w:trHeight w:val="462"/>
          <w:jc w:val="center"/>
        </w:trPr>
        <w:tc>
          <w:tcPr>
            <w:tcW w:w="2122" w:type="pct"/>
            <w:tcBorders>
              <w:bottom w:val="single" w:sz="4" w:space="0" w:color="auto"/>
            </w:tcBorders>
            <w:vAlign w:val="center"/>
          </w:tcPr>
          <w:p w14:paraId="2705E2A9" w14:textId="77777777" w:rsidR="00023489" w:rsidRDefault="00023489" w:rsidP="00BC1C17">
            <w:pPr>
              <w:tabs>
                <w:tab w:val="left" w:pos="1134"/>
              </w:tabs>
              <w:spacing w:after="0" w:line="240" w:lineRule="auto"/>
              <w:rPr>
                <w:b/>
              </w:rPr>
            </w:pPr>
          </w:p>
          <w:p w14:paraId="27D5237F" w14:textId="77777777" w:rsidR="00023489" w:rsidRPr="008C74E0" w:rsidRDefault="00023489" w:rsidP="00BC1C17">
            <w:pPr>
              <w:tabs>
                <w:tab w:val="left" w:pos="1134"/>
              </w:tabs>
              <w:spacing w:after="0" w:line="240" w:lineRule="auto"/>
              <w:rPr>
                <w:rFonts w:cs="Arial"/>
                <w:b/>
                <w:bCs/>
                <w:szCs w:val="24"/>
              </w:rPr>
            </w:pPr>
            <w:r w:rsidRPr="008C74E0">
              <w:rPr>
                <w:b/>
              </w:rPr>
              <w:t>Gender</w:t>
            </w:r>
          </w:p>
        </w:tc>
        <w:tc>
          <w:tcPr>
            <w:tcW w:w="959" w:type="pct"/>
            <w:tcBorders>
              <w:bottom w:val="single" w:sz="4" w:space="0" w:color="auto"/>
            </w:tcBorders>
            <w:vAlign w:val="center"/>
          </w:tcPr>
          <w:p w14:paraId="36BF7828" w14:textId="77777777" w:rsidR="00023489" w:rsidRDefault="00023489" w:rsidP="00BC1C17">
            <w:pPr>
              <w:spacing w:after="0" w:line="240" w:lineRule="auto"/>
              <w:jc w:val="center"/>
            </w:pPr>
          </w:p>
          <w:p w14:paraId="6A717922" w14:textId="77777777" w:rsidR="00023489" w:rsidRDefault="00023489" w:rsidP="00BC1C17">
            <w:pPr>
              <w:spacing w:after="0" w:line="240" w:lineRule="auto"/>
              <w:jc w:val="center"/>
            </w:pPr>
            <w:r>
              <w:t>Female</w:t>
            </w:r>
          </w:p>
          <w:p w14:paraId="1E410F0E" w14:textId="77777777" w:rsidR="00023489" w:rsidRDefault="00023489" w:rsidP="00BC1C17">
            <w:pPr>
              <w:spacing w:after="0" w:line="240" w:lineRule="auto"/>
              <w:jc w:val="center"/>
            </w:pPr>
            <w:r>
              <w:t>Male</w:t>
            </w:r>
          </w:p>
          <w:p w14:paraId="40EB4FAC" w14:textId="77777777" w:rsidR="00023489" w:rsidRDefault="00023489" w:rsidP="00BC1C17">
            <w:pPr>
              <w:tabs>
                <w:tab w:val="left" w:pos="1134"/>
              </w:tabs>
              <w:spacing w:after="0" w:line="240" w:lineRule="auto"/>
              <w:jc w:val="center"/>
              <w:rPr>
                <w:rFonts w:cs="Arial"/>
                <w:szCs w:val="24"/>
              </w:rPr>
            </w:pPr>
            <w:r>
              <w:rPr>
                <w:rFonts w:cs="Arial"/>
                <w:szCs w:val="24"/>
              </w:rPr>
              <w:t>Trans male</w:t>
            </w:r>
          </w:p>
          <w:p w14:paraId="1E5C4D2F" w14:textId="77777777" w:rsidR="00023489" w:rsidRPr="00EE1660" w:rsidRDefault="00023489" w:rsidP="00BC1C17">
            <w:pPr>
              <w:tabs>
                <w:tab w:val="left" w:pos="1134"/>
              </w:tabs>
              <w:spacing w:after="0" w:line="240" w:lineRule="auto"/>
              <w:jc w:val="center"/>
              <w:rPr>
                <w:rFonts w:cs="Arial"/>
                <w:szCs w:val="24"/>
              </w:rPr>
            </w:pPr>
            <w:r>
              <w:rPr>
                <w:rFonts w:cs="Arial"/>
                <w:szCs w:val="24"/>
              </w:rPr>
              <w:t>Non-binary</w:t>
            </w:r>
          </w:p>
        </w:tc>
        <w:tc>
          <w:tcPr>
            <w:tcW w:w="959" w:type="pct"/>
            <w:tcBorders>
              <w:bottom w:val="single" w:sz="4" w:space="0" w:color="auto"/>
            </w:tcBorders>
            <w:vAlign w:val="center"/>
          </w:tcPr>
          <w:p w14:paraId="5609B36E" w14:textId="77777777" w:rsidR="00023489" w:rsidRDefault="00023489" w:rsidP="00BC1C17">
            <w:pPr>
              <w:spacing w:after="0" w:line="240" w:lineRule="auto"/>
              <w:jc w:val="center"/>
              <w:rPr>
                <w:rFonts w:cs="Arial"/>
                <w:szCs w:val="24"/>
              </w:rPr>
            </w:pPr>
          </w:p>
          <w:p w14:paraId="4D355502" w14:textId="77777777" w:rsidR="00023489" w:rsidRDefault="00023489" w:rsidP="00BC1C17">
            <w:pPr>
              <w:spacing w:after="0" w:line="240" w:lineRule="auto"/>
              <w:jc w:val="center"/>
              <w:rPr>
                <w:rFonts w:cs="Arial"/>
                <w:szCs w:val="24"/>
              </w:rPr>
            </w:pPr>
            <w:r>
              <w:rPr>
                <w:rFonts w:cs="Arial"/>
                <w:szCs w:val="24"/>
              </w:rPr>
              <w:t>75</w:t>
            </w:r>
          </w:p>
          <w:p w14:paraId="120B0399" w14:textId="77777777" w:rsidR="00023489" w:rsidRDefault="00023489" w:rsidP="00BC1C17">
            <w:pPr>
              <w:spacing w:after="0" w:line="240" w:lineRule="auto"/>
              <w:jc w:val="center"/>
              <w:rPr>
                <w:rFonts w:cs="Arial"/>
                <w:szCs w:val="24"/>
              </w:rPr>
            </w:pPr>
            <w:r>
              <w:rPr>
                <w:rFonts w:cs="Arial"/>
                <w:szCs w:val="24"/>
              </w:rPr>
              <w:t>13</w:t>
            </w:r>
          </w:p>
          <w:p w14:paraId="4B95BE34" w14:textId="77777777" w:rsidR="00023489" w:rsidRDefault="00023489" w:rsidP="00BC1C17">
            <w:pPr>
              <w:spacing w:after="0" w:line="240" w:lineRule="auto"/>
              <w:jc w:val="center"/>
              <w:rPr>
                <w:rFonts w:cs="Arial"/>
                <w:szCs w:val="24"/>
              </w:rPr>
            </w:pPr>
            <w:r>
              <w:rPr>
                <w:rFonts w:cs="Arial"/>
                <w:szCs w:val="24"/>
              </w:rPr>
              <w:t>1</w:t>
            </w:r>
          </w:p>
          <w:p w14:paraId="4AAE9E84" w14:textId="77777777" w:rsidR="00023489" w:rsidRPr="00EE1660" w:rsidRDefault="00023489" w:rsidP="00BC1C17">
            <w:pPr>
              <w:spacing w:after="0" w:line="240" w:lineRule="auto"/>
              <w:jc w:val="center"/>
              <w:rPr>
                <w:rFonts w:cs="Arial"/>
                <w:szCs w:val="24"/>
              </w:rPr>
            </w:pPr>
            <w:r>
              <w:rPr>
                <w:rFonts w:cs="Arial"/>
                <w:szCs w:val="24"/>
              </w:rPr>
              <w:t>1</w:t>
            </w:r>
          </w:p>
        </w:tc>
        <w:tc>
          <w:tcPr>
            <w:tcW w:w="960" w:type="pct"/>
            <w:tcBorders>
              <w:bottom w:val="single" w:sz="4" w:space="0" w:color="auto"/>
            </w:tcBorders>
            <w:vAlign w:val="center"/>
          </w:tcPr>
          <w:p w14:paraId="28040EB0" w14:textId="77777777" w:rsidR="00023489" w:rsidRDefault="00023489" w:rsidP="00BC1C17">
            <w:pPr>
              <w:tabs>
                <w:tab w:val="left" w:pos="1134"/>
              </w:tabs>
              <w:spacing w:after="0" w:line="240" w:lineRule="auto"/>
              <w:jc w:val="center"/>
              <w:rPr>
                <w:rFonts w:cs="Arial"/>
                <w:szCs w:val="24"/>
              </w:rPr>
            </w:pPr>
          </w:p>
          <w:p w14:paraId="3EB43C85" w14:textId="77777777" w:rsidR="00023489" w:rsidRDefault="00023489" w:rsidP="00BC1C17">
            <w:pPr>
              <w:tabs>
                <w:tab w:val="left" w:pos="1134"/>
              </w:tabs>
              <w:spacing w:after="0" w:line="240" w:lineRule="auto"/>
              <w:jc w:val="center"/>
              <w:rPr>
                <w:rFonts w:cs="Arial"/>
                <w:szCs w:val="24"/>
              </w:rPr>
            </w:pPr>
            <w:r>
              <w:rPr>
                <w:rFonts w:cs="Arial"/>
                <w:szCs w:val="24"/>
              </w:rPr>
              <w:t>83.33%</w:t>
            </w:r>
          </w:p>
          <w:p w14:paraId="23829834" w14:textId="77777777" w:rsidR="00023489" w:rsidRDefault="00023489" w:rsidP="00BC1C17">
            <w:pPr>
              <w:tabs>
                <w:tab w:val="left" w:pos="1134"/>
              </w:tabs>
              <w:spacing w:after="0" w:line="240" w:lineRule="auto"/>
              <w:jc w:val="center"/>
              <w:rPr>
                <w:rFonts w:cs="Arial"/>
                <w:szCs w:val="24"/>
              </w:rPr>
            </w:pPr>
            <w:r>
              <w:rPr>
                <w:rFonts w:cs="Arial"/>
                <w:szCs w:val="24"/>
              </w:rPr>
              <w:t>14.44%</w:t>
            </w:r>
          </w:p>
          <w:p w14:paraId="6415CD38" w14:textId="77777777" w:rsidR="00023489" w:rsidRDefault="00023489" w:rsidP="00BC1C17">
            <w:pPr>
              <w:tabs>
                <w:tab w:val="left" w:pos="1134"/>
              </w:tabs>
              <w:spacing w:after="0" w:line="240" w:lineRule="auto"/>
              <w:jc w:val="center"/>
              <w:rPr>
                <w:rFonts w:cs="Arial"/>
                <w:szCs w:val="24"/>
              </w:rPr>
            </w:pPr>
            <w:r>
              <w:rPr>
                <w:rFonts w:cs="Arial"/>
                <w:szCs w:val="24"/>
              </w:rPr>
              <w:t>1.11%</w:t>
            </w:r>
          </w:p>
          <w:p w14:paraId="336EBE61" w14:textId="77777777" w:rsidR="00023489" w:rsidRPr="00EE1660" w:rsidRDefault="00023489" w:rsidP="00BC1C17">
            <w:pPr>
              <w:tabs>
                <w:tab w:val="left" w:pos="1134"/>
              </w:tabs>
              <w:spacing w:after="0" w:line="240" w:lineRule="auto"/>
              <w:jc w:val="center"/>
              <w:rPr>
                <w:rFonts w:cs="Arial"/>
                <w:szCs w:val="24"/>
              </w:rPr>
            </w:pPr>
            <w:r>
              <w:rPr>
                <w:rFonts w:cs="Arial"/>
                <w:szCs w:val="24"/>
              </w:rPr>
              <w:t>1.11%</w:t>
            </w:r>
          </w:p>
        </w:tc>
      </w:tr>
    </w:tbl>
    <w:p w14:paraId="6678C947" w14:textId="77777777" w:rsidR="00023489" w:rsidRPr="00CA3B62" w:rsidRDefault="00023489" w:rsidP="00023489"/>
    <w:p w14:paraId="0B1C887F" w14:textId="77777777" w:rsidR="00023489" w:rsidRPr="00F55295" w:rsidRDefault="00023489" w:rsidP="00A53770">
      <w:pPr>
        <w:pStyle w:val="Heading2"/>
      </w:pPr>
      <w:bookmarkStart w:id="145" w:name="_Toc133487820"/>
      <w:r>
        <w:t>Recruitment and procedure</w:t>
      </w:r>
      <w:bookmarkEnd w:id="145"/>
    </w:p>
    <w:p w14:paraId="60AD2688" w14:textId="77777777" w:rsidR="00023489" w:rsidRDefault="00023489" w:rsidP="00A53770">
      <w:pPr>
        <w:spacing w:line="360" w:lineRule="auto"/>
        <w:ind w:firstLine="720"/>
        <w:jc w:val="both"/>
      </w:pPr>
      <w:r>
        <w:t>Voluntary response sampling was used to recruit participants reporting diagnoses of either epilepsy or DS, excluding those with both. Participants were required to be 18 years or older and capable of completing measures independently online in English. Recruitment occurred between February and March 2023. Participants responded</w:t>
      </w:r>
      <w:r w:rsidRPr="00B74045">
        <w:t xml:space="preserve"> to </w:t>
      </w:r>
      <w:r>
        <w:t>research advertisements stating study information, inclusion criteria,</w:t>
      </w:r>
      <w:r w:rsidRPr="00B74045">
        <w:t xml:space="preserve"> </w:t>
      </w:r>
      <w:r>
        <w:t xml:space="preserve">and providing a link to the online survey (Appendix D). The advertisement was </w:t>
      </w:r>
      <w:r w:rsidRPr="00B74045">
        <w:t>shared by clinicians in a neurology clinic, neuropsychology service, and in social media groups for people with seizure conditions.</w:t>
      </w:r>
      <w:r>
        <w:t xml:space="preserve"> Sharing to social media involved the researcher posting the study advertisement to Facebook group pages for people with seizure conditions. </w:t>
      </w:r>
      <w:r w:rsidRPr="00B74045">
        <w:t xml:space="preserve">All participation </w:t>
      </w:r>
      <w:r>
        <w:t>involved Qualtrics survey software</w:t>
      </w:r>
      <w:r w:rsidRPr="00B74045">
        <w:t xml:space="preserve">, </w:t>
      </w:r>
      <w:r>
        <w:t xml:space="preserve">with the link leading to </w:t>
      </w:r>
      <w:r w:rsidRPr="00B74045">
        <w:t>a digital participant infor</w:t>
      </w:r>
      <w:r>
        <w:t xml:space="preserve">mation sheet, consent form, questionnaires, and </w:t>
      </w:r>
      <w:r w:rsidRPr="00B74045">
        <w:t>debrief sheet</w:t>
      </w:r>
      <w:r>
        <w:t xml:space="preserve"> (Appendices E – I)</w:t>
      </w:r>
      <w:r w:rsidRPr="00B74045">
        <w:t xml:space="preserve">. </w:t>
      </w:r>
      <w:r>
        <w:t xml:space="preserve">Participants </w:t>
      </w:r>
      <w:r>
        <w:lastRenderedPageBreak/>
        <w:t>were informed that d</w:t>
      </w:r>
      <w:r w:rsidRPr="00B74045">
        <w:t>ata was anonymous</w:t>
      </w:r>
      <w:r>
        <w:t>,</w:t>
      </w:r>
      <w:r w:rsidRPr="00B74045">
        <w:t xml:space="preserve"> with </w:t>
      </w:r>
      <w:r>
        <w:t>Qualtrics</w:t>
      </w:r>
      <w:r w:rsidRPr="00B74045">
        <w:t xml:space="preserve"> generating a</w:t>
      </w:r>
      <w:r>
        <w:t xml:space="preserve"> randomised password, which</w:t>
      </w:r>
      <w:r w:rsidRPr="00B74045">
        <w:t xml:space="preserve"> could </w:t>
      </w:r>
      <w:r>
        <w:t xml:space="preserve">be </w:t>
      </w:r>
      <w:r w:rsidRPr="00B74045">
        <w:t>share</w:t>
      </w:r>
      <w:r>
        <w:t>d by anyone wanting</w:t>
      </w:r>
      <w:r w:rsidRPr="00B74045">
        <w:t xml:space="preserve"> to withdraw from the study</w:t>
      </w:r>
      <w:r>
        <w:t xml:space="preserve"> after completion</w:t>
      </w:r>
      <w:r w:rsidRPr="00B74045">
        <w:t>.</w:t>
      </w:r>
      <w:r>
        <w:t xml:space="preserve"> Alongside the five scale measures, all participants completed a demographic and seizure condition questionnaire (Appendix G).  </w:t>
      </w:r>
    </w:p>
    <w:p w14:paraId="6DAC2AA9" w14:textId="77777777" w:rsidR="00023489" w:rsidRPr="00F55295" w:rsidRDefault="00023489" w:rsidP="00A53770">
      <w:pPr>
        <w:pStyle w:val="Heading2"/>
      </w:pPr>
      <w:bookmarkStart w:id="146" w:name="_Toc133487821"/>
      <w:r w:rsidRPr="00F55295">
        <w:t>Measures</w:t>
      </w:r>
      <w:bookmarkEnd w:id="146"/>
    </w:p>
    <w:p w14:paraId="00ED8DE2" w14:textId="2BFA2B2B" w:rsidR="00023489" w:rsidRDefault="00023489" w:rsidP="00A53770">
      <w:pPr>
        <w:pStyle w:val="BodyText2"/>
        <w:spacing w:line="360" w:lineRule="auto"/>
        <w:ind w:firstLine="720"/>
        <w:jc w:val="both"/>
        <w:rPr>
          <w:rFonts w:asciiTheme="minorHAnsi" w:hAnsiTheme="minorHAnsi" w:cstheme="minorHAnsi"/>
          <w:b w:val="0"/>
          <w:szCs w:val="22"/>
        </w:rPr>
      </w:pPr>
      <w:r w:rsidRPr="00B74045">
        <w:rPr>
          <w:rFonts w:asciiTheme="minorHAnsi" w:hAnsiTheme="minorHAnsi" w:cstheme="minorHAnsi"/>
          <w:b w:val="0"/>
          <w:szCs w:val="22"/>
        </w:rPr>
        <w:t xml:space="preserve">The </w:t>
      </w:r>
      <w:r w:rsidRPr="00B74045">
        <w:rPr>
          <w:rFonts w:asciiTheme="minorHAnsi" w:hAnsiTheme="minorHAnsi" w:cstheme="minorHAnsi"/>
          <w:b w:val="0"/>
          <w:i/>
          <w:szCs w:val="22"/>
        </w:rPr>
        <w:t>Intolerance of Uncertainty Scale, Short Form</w:t>
      </w:r>
      <w:r w:rsidRPr="00B74045">
        <w:rPr>
          <w:rFonts w:asciiTheme="minorHAnsi" w:hAnsiTheme="minorHAnsi" w:cstheme="minorHAnsi"/>
          <w:b w:val="0"/>
          <w:szCs w:val="22"/>
        </w:rPr>
        <w:t xml:space="preserve"> (IUS-12</w:t>
      </w:r>
      <w:r>
        <w:rPr>
          <w:rFonts w:asciiTheme="minorHAnsi" w:hAnsiTheme="minorHAnsi" w:cstheme="minorHAnsi"/>
          <w:b w:val="0"/>
          <w:szCs w:val="22"/>
        </w:rPr>
        <w:t>; Carleton et al., 2007) is a 12-</w:t>
      </w:r>
      <w:r w:rsidRPr="00B74045">
        <w:rPr>
          <w:rFonts w:asciiTheme="minorHAnsi" w:hAnsiTheme="minorHAnsi" w:cstheme="minorHAnsi"/>
          <w:b w:val="0"/>
          <w:szCs w:val="22"/>
        </w:rPr>
        <w:t xml:space="preserve">item </w:t>
      </w:r>
      <w:r>
        <w:rPr>
          <w:rFonts w:asciiTheme="minorHAnsi" w:hAnsiTheme="minorHAnsi" w:cstheme="minorHAnsi"/>
          <w:b w:val="0"/>
          <w:szCs w:val="22"/>
        </w:rPr>
        <w:t>measure with each item scored between 1 (not at all characteristic of me) and 5 (Entirely characteristic of me) for statements such as “unforeseen events upset me greatly”. Scores range from 12 to 60, with higher scores representing higher IU.</w:t>
      </w:r>
      <w:r w:rsidR="00F12447">
        <w:rPr>
          <w:rFonts w:asciiTheme="minorHAnsi" w:hAnsiTheme="minorHAnsi" w:cstheme="minorHAnsi"/>
          <w:b w:val="0"/>
          <w:szCs w:val="22"/>
        </w:rPr>
        <w:t xml:space="preserve"> It is based on the original 27-</w:t>
      </w:r>
      <w:r>
        <w:rPr>
          <w:rFonts w:asciiTheme="minorHAnsi" w:hAnsiTheme="minorHAnsi" w:cstheme="minorHAnsi"/>
          <w:b w:val="0"/>
          <w:szCs w:val="22"/>
        </w:rPr>
        <w:t>item I</w:t>
      </w:r>
      <w:r w:rsidRPr="00B74045">
        <w:rPr>
          <w:rFonts w:asciiTheme="minorHAnsi" w:hAnsiTheme="minorHAnsi" w:cstheme="minorHAnsi"/>
          <w:b w:val="0"/>
          <w:szCs w:val="22"/>
        </w:rPr>
        <w:t>ntolerance of Uncertainty Scale (Freeston et al., 1994). Both scales are highly correlated and the two-factor structure of the short form version is considered the more stable of the two (Carleton et al., 2007). The first factor, prospective anxiety</w:t>
      </w:r>
      <w:r>
        <w:rPr>
          <w:rFonts w:asciiTheme="minorHAnsi" w:hAnsiTheme="minorHAnsi" w:cstheme="minorHAnsi"/>
          <w:b w:val="0"/>
          <w:szCs w:val="22"/>
        </w:rPr>
        <w:t xml:space="preserve">, relates to fear about uncertain future events, such as dislike of surprises. The second factor, inhibitory anxiety, relates to behavioural inhibition </w:t>
      </w:r>
      <w:r w:rsidR="00E62C26">
        <w:rPr>
          <w:rFonts w:asciiTheme="minorHAnsi" w:hAnsiTheme="minorHAnsi" w:cstheme="minorHAnsi"/>
          <w:b w:val="0"/>
          <w:szCs w:val="22"/>
        </w:rPr>
        <w:t>because</w:t>
      </w:r>
      <w:r>
        <w:rPr>
          <w:rFonts w:asciiTheme="minorHAnsi" w:hAnsiTheme="minorHAnsi" w:cstheme="minorHAnsi"/>
          <w:b w:val="0"/>
          <w:szCs w:val="22"/>
        </w:rPr>
        <w:t xml:space="preserve"> of concerns around uncertainty, for example avoiding uncertain situations.</w:t>
      </w:r>
      <w:r w:rsidRPr="00B74045">
        <w:rPr>
          <w:rFonts w:asciiTheme="minorHAnsi" w:hAnsiTheme="minorHAnsi" w:cstheme="minorHAnsi"/>
          <w:b w:val="0"/>
          <w:szCs w:val="22"/>
        </w:rPr>
        <w:t xml:space="preserve"> </w:t>
      </w:r>
      <w:r>
        <w:rPr>
          <w:rFonts w:asciiTheme="minorHAnsi" w:hAnsiTheme="minorHAnsi" w:cstheme="minorHAnsi"/>
          <w:b w:val="0"/>
          <w:szCs w:val="22"/>
        </w:rPr>
        <w:t xml:space="preserve">This study originally planned to use subscale data for analysis, however, research suggests that total score is more robust and should be used in preference </w:t>
      </w:r>
      <w:r w:rsidR="00E62C26">
        <w:rPr>
          <w:rFonts w:asciiTheme="minorHAnsi" w:hAnsiTheme="minorHAnsi" w:cstheme="minorHAnsi"/>
          <w:b w:val="0"/>
          <w:szCs w:val="22"/>
        </w:rPr>
        <w:t>to</w:t>
      </w:r>
      <w:r>
        <w:rPr>
          <w:rFonts w:asciiTheme="minorHAnsi" w:hAnsiTheme="minorHAnsi" w:cstheme="minorHAnsi"/>
          <w:b w:val="0"/>
          <w:szCs w:val="22"/>
        </w:rPr>
        <w:t xml:space="preserve"> subscale scores </w:t>
      </w:r>
      <w:r w:rsidRPr="00AA2CDA">
        <w:rPr>
          <w:rFonts w:asciiTheme="minorHAnsi" w:hAnsiTheme="minorHAnsi" w:cstheme="minorHAnsi"/>
          <w:b w:val="0"/>
          <w:szCs w:val="22"/>
        </w:rPr>
        <w:t>(Hale et al., 2015)</w:t>
      </w:r>
      <w:r>
        <w:rPr>
          <w:rFonts w:asciiTheme="minorHAnsi" w:hAnsiTheme="minorHAnsi" w:cstheme="minorHAnsi"/>
          <w:b w:val="0"/>
          <w:szCs w:val="22"/>
        </w:rPr>
        <w:t>. Internal</w:t>
      </w:r>
      <w:r w:rsidRPr="00B74045">
        <w:rPr>
          <w:rFonts w:asciiTheme="minorHAnsi" w:hAnsiTheme="minorHAnsi" w:cstheme="minorHAnsi"/>
          <w:b w:val="0"/>
          <w:szCs w:val="22"/>
        </w:rPr>
        <w:t xml:space="preserve"> consistency has been </w:t>
      </w:r>
      <w:r w:rsidR="00E62C26">
        <w:rPr>
          <w:rFonts w:asciiTheme="minorHAnsi" w:hAnsiTheme="minorHAnsi" w:cstheme="minorHAnsi"/>
          <w:b w:val="0"/>
          <w:szCs w:val="22"/>
        </w:rPr>
        <w:t>excellent</w:t>
      </w:r>
      <w:r w:rsidRPr="00B74045">
        <w:rPr>
          <w:rFonts w:asciiTheme="minorHAnsi" w:hAnsiTheme="minorHAnsi" w:cstheme="minorHAnsi"/>
          <w:b w:val="0"/>
          <w:szCs w:val="22"/>
        </w:rPr>
        <w:t xml:space="preserve"> in </w:t>
      </w:r>
      <w:r>
        <w:rPr>
          <w:rFonts w:asciiTheme="minorHAnsi" w:hAnsiTheme="minorHAnsi" w:cstheme="minorHAnsi"/>
          <w:b w:val="0"/>
          <w:szCs w:val="22"/>
        </w:rPr>
        <w:t xml:space="preserve">a </w:t>
      </w:r>
      <w:r w:rsidRPr="00B74045">
        <w:rPr>
          <w:rFonts w:asciiTheme="minorHAnsi" w:hAnsiTheme="minorHAnsi" w:cstheme="minorHAnsi"/>
          <w:b w:val="0"/>
          <w:szCs w:val="22"/>
        </w:rPr>
        <w:t xml:space="preserve">previous </w:t>
      </w:r>
      <w:r>
        <w:rPr>
          <w:rFonts w:asciiTheme="minorHAnsi" w:hAnsiTheme="minorHAnsi" w:cstheme="minorHAnsi"/>
          <w:b w:val="0"/>
          <w:szCs w:val="22"/>
        </w:rPr>
        <w:t xml:space="preserve">sample of people with anxiety and depression </w:t>
      </w:r>
      <w:r w:rsidRPr="00385AD6">
        <w:rPr>
          <w:rFonts w:asciiTheme="minorHAnsi" w:hAnsiTheme="minorHAnsi" w:cstheme="minorHAnsi"/>
          <w:b w:val="0"/>
          <w:szCs w:val="22"/>
        </w:rPr>
        <w:t>(α = .97)</w:t>
      </w:r>
      <w:r w:rsidRPr="00B74045">
        <w:rPr>
          <w:rFonts w:asciiTheme="minorHAnsi" w:hAnsiTheme="minorHAnsi" w:cstheme="minorHAnsi"/>
          <w:b w:val="0"/>
          <w:szCs w:val="22"/>
        </w:rPr>
        <w:t xml:space="preserve">, </w:t>
      </w:r>
      <w:r>
        <w:rPr>
          <w:rFonts w:asciiTheme="minorHAnsi" w:hAnsiTheme="minorHAnsi" w:cstheme="minorHAnsi"/>
          <w:b w:val="0"/>
          <w:szCs w:val="22"/>
        </w:rPr>
        <w:t>as wa</w:t>
      </w:r>
      <w:r w:rsidRPr="00B74045">
        <w:rPr>
          <w:rFonts w:asciiTheme="minorHAnsi" w:hAnsiTheme="minorHAnsi" w:cstheme="minorHAnsi"/>
          <w:b w:val="0"/>
          <w:szCs w:val="22"/>
        </w:rPr>
        <w:t>s convergent validity with related measures (McEvoy &amp; Mahoney, 2011)</w:t>
      </w:r>
      <w:r>
        <w:rPr>
          <w:rFonts w:asciiTheme="minorHAnsi" w:hAnsiTheme="minorHAnsi" w:cstheme="minorHAnsi"/>
          <w:b w:val="0"/>
          <w:szCs w:val="22"/>
        </w:rPr>
        <w:t xml:space="preserve">. In the current study the scale’s reliability was </w:t>
      </w:r>
      <w:r w:rsidR="00E62C26">
        <w:rPr>
          <w:rFonts w:asciiTheme="minorHAnsi" w:hAnsiTheme="minorHAnsi" w:cstheme="minorHAnsi"/>
          <w:b w:val="0"/>
          <w:szCs w:val="22"/>
        </w:rPr>
        <w:t>excellent</w:t>
      </w:r>
      <w:r>
        <w:rPr>
          <w:rFonts w:asciiTheme="minorHAnsi" w:hAnsiTheme="minorHAnsi" w:cstheme="minorHAnsi"/>
          <w:b w:val="0"/>
          <w:szCs w:val="22"/>
        </w:rPr>
        <w:t xml:space="preserve"> (</w:t>
      </w:r>
      <w:r w:rsidRPr="00C35A05">
        <w:rPr>
          <w:rFonts w:asciiTheme="minorHAnsi" w:hAnsiTheme="minorHAnsi" w:cstheme="minorHAnsi"/>
          <w:b w:val="0"/>
          <w:szCs w:val="22"/>
        </w:rPr>
        <w:t>α</w:t>
      </w:r>
      <w:r>
        <w:rPr>
          <w:rFonts w:ascii="Arial" w:hAnsi="Arial" w:cs="Arial"/>
          <w:b w:val="0"/>
          <w:bCs/>
          <w:color w:val="202124"/>
          <w:sz w:val="21"/>
          <w:szCs w:val="21"/>
          <w:shd w:val="clear" w:color="auto" w:fill="FFFFFF"/>
        </w:rPr>
        <w:t xml:space="preserve"> = .93).</w:t>
      </w:r>
    </w:p>
    <w:p w14:paraId="3468CD93" w14:textId="77777777" w:rsidR="00023489" w:rsidRPr="00F422FC" w:rsidRDefault="00023489" w:rsidP="00A53770">
      <w:pPr>
        <w:pStyle w:val="BodyText2"/>
        <w:spacing w:line="360" w:lineRule="auto"/>
        <w:ind w:firstLine="720"/>
        <w:jc w:val="both"/>
        <w:rPr>
          <w:rFonts w:asciiTheme="minorHAnsi" w:hAnsiTheme="minorHAnsi" w:cstheme="minorHAnsi"/>
          <w:b w:val="0"/>
          <w:szCs w:val="22"/>
        </w:rPr>
      </w:pPr>
    </w:p>
    <w:p w14:paraId="33A35C44" w14:textId="7D7B390C" w:rsidR="00023489" w:rsidRPr="00B74045" w:rsidRDefault="00023489" w:rsidP="00A53770">
      <w:pPr>
        <w:pStyle w:val="BodyText2"/>
        <w:spacing w:line="360" w:lineRule="auto"/>
        <w:ind w:firstLine="720"/>
        <w:jc w:val="both"/>
        <w:rPr>
          <w:rFonts w:asciiTheme="minorHAnsi" w:hAnsiTheme="minorHAnsi" w:cstheme="minorHAnsi"/>
          <w:b w:val="0"/>
          <w:szCs w:val="22"/>
        </w:rPr>
      </w:pPr>
      <w:r w:rsidRPr="00B74045">
        <w:rPr>
          <w:rFonts w:asciiTheme="minorHAnsi" w:hAnsiTheme="minorHAnsi" w:cstheme="minorHAnsi"/>
          <w:b w:val="0"/>
          <w:szCs w:val="22"/>
        </w:rPr>
        <w:t xml:space="preserve">The </w:t>
      </w:r>
      <w:r w:rsidRPr="00B74045">
        <w:rPr>
          <w:rFonts w:asciiTheme="minorHAnsi" w:hAnsiTheme="minorHAnsi" w:cstheme="minorHAnsi"/>
          <w:b w:val="0"/>
          <w:i/>
          <w:szCs w:val="22"/>
        </w:rPr>
        <w:t xml:space="preserve">Anxiety Sensitivity Index-3 </w:t>
      </w:r>
      <w:r w:rsidRPr="00B74045">
        <w:rPr>
          <w:rFonts w:asciiTheme="minorHAnsi" w:hAnsiTheme="minorHAnsi" w:cstheme="minorHAnsi"/>
          <w:b w:val="0"/>
          <w:szCs w:val="22"/>
        </w:rPr>
        <w:t>(ASI-3)</w:t>
      </w:r>
      <w:r w:rsidRPr="00B74045">
        <w:rPr>
          <w:rFonts w:asciiTheme="minorHAnsi" w:hAnsiTheme="minorHAnsi" w:cstheme="minorHAnsi"/>
          <w:szCs w:val="22"/>
        </w:rPr>
        <w:t xml:space="preserve"> </w:t>
      </w:r>
      <w:r w:rsidRPr="00B74045">
        <w:rPr>
          <w:rFonts w:asciiTheme="minorHAnsi" w:hAnsiTheme="minorHAnsi" w:cstheme="minorHAnsi"/>
          <w:b w:val="0"/>
          <w:szCs w:val="22"/>
        </w:rPr>
        <w:t xml:space="preserve">is an 18-item measure with three factors relating to </w:t>
      </w:r>
      <w:r>
        <w:rPr>
          <w:rFonts w:asciiTheme="minorHAnsi" w:hAnsiTheme="minorHAnsi" w:cstheme="minorHAnsi"/>
          <w:b w:val="0"/>
          <w:szCs w:val="22"/>
        </w:rPr>
        <w:t xml:space="preserve">concerns regarding </w:t>
      </w:r>
      <w:r w:rsidRPr="00B74045">
        <w:rPr>
          <w:rFonts w:asciiTheme="minorHAnsi" w:hAnsiTheme="minorHAnsi" w:cstheme="minorHAnsi"/>
          <w:b w:val="0"/>
          <w:szCs w:val="22"/>
        </w:rPr>
        <w:t>a</w:t>
      </w:r>
      <w:r>
        <w:rPr>
          <w:rFonts w:asciiTheme="minorHAnsi" w:hAnsiTheme="minorHAnsi" w:cstheme="minorHAnsi"/>
          <w:b w:val="0"/>
          <w:szCs w:val="22"/>
        </w:rPr>
        <w:t>nxiety</w:t>
      </w:r>
      <w:r w:rsidRPr="00B74045">
        <w:rPr>
          <w:rFonts w:asciiTheme="minorHAnsi" w:hAnsiTheme="minorHAnsi" w:cstheme="minorHAnsi"/>
          <w:b w:val="0"/>
          <w:szCs w:val="22"/>
        </w:rPr>
        <w:t xml:space="preserve">-related sensations </w:t>
      </w:r>
      <w:r>
        <w:rPr>
          <w:rFonts w:asciiTheme="minorHAnsi" w:hAnsiTheme="minorHAnsi" w:cstheme="minorHAnsi"/>
          <w:b w:val="0"/>
          <w:szCs w:val="22"/>
        </w:rPr>
        <w:t>(Taylor et al. 2007). The scale uses Likert responses to statements such as “it scares me when I feel shaky”. Answers are scored between 0 (very little) and 4 (very much) with outcomes ranging from 0 to 72 and higher scores representing higher AS. The ASI-3</w:t>
      </w:r>
      <w:r w:rsidRPr="00B74045">
        <w:rPr>
          <w:rFonts w:asciiTheme="minorHAnsi" w:hAnsiTheme="minorHAnsi" w:cstheme="minorHAnsi"/>
          <w:b w:val="0"/>
          <w:szCs w:val="22"/>
        </w:rPr>
        <w:t xml:space="preserve"> has been tested across a range of countries and in populations with </w:t>
      </w:r>
      <w:r w:rsidR="00CF510E">
        <w:rPr>
          <w:rFonts w:asciiTheme="minorHAnsi" w:hAnsiTheme="minorHAnsi" w:cstheme="minorHAnsi"/>
          <w:b w:val="0"/>
          <w:szCs w:val="22"/>
        </w:rPr>
        <w:t>a range</w:t>
      </w:r>
      <w:r w:rsidRPr="00B74045">
        <w:rPr>
          <w:rFonts w:asciiTheme="minorHAnsi" w:hAnsiTheme="minorHAnsi" w:cstheme="minorHAnsi"/>
          <w:b w:val="0"/>
          <w:szCs w:val="22"/>
        </w:rPr>
        <w:t xml:space="preserve"> psychological difficulties </w:t>
      </w:r>
      <w:r w:rsidR="00E62C26">
        <w:rPr>
          <w:rFonts w:asciiTheme="minorHAnsi" w:hAnsiTheme="minorHAnsi" w:cstheme="minorHAnsi"/>
          <w:b w:val="0"/>
          <w:szCs w:val="22"/>
        </w:rPr>
        <w:t>and has</w:t>
      </w:r>
      <w:r>
        <w:rPr>
          <w:rFonts w:asciiTheme="minorHAnsi" w:hAnsiTheme="minorHAnsi" w:cstheme="minorHAnsi"/>
          <w:b w:val="0"/>
          <w:szCs w:val="22"/>
        </w:rPr>
        <w:t xml:space="preserve"> </w:t>
      </w:r>
      <w:r w:rsidR="00E62C26">
        <w:rPr>
          <w:rFonts w:asciiTheme="minorHAnsi" w:hAnsiTheme="minorHAnsi" w:cstheme="minorHAnsi"/>
          <w:b w:val="0"/>
          <w:szCs w:val="22"/>
        </w:rPr>
        <w:t xml:space="preserve">been </w:t>
      </w:r>
      <w:r>
        <w:rPr>
          <w:rFonts w:asciiTheme="minorHAnsi" w:hAnsiTheme="minorHAnsi" w:cstheme="minorHAnsi"/>
          <w:b w:val="0"/>
          <w:szCs w:val="22"/>
        </w:rPr>
        <w:t xml:space="preserve">demonstrated to have </w:t>
      </w:r>
      <w:r w:rsidR="00E62C26">
        <w:rPr>
          <w:rFonts w:asciiTheme="minorHAnsi" w:hAnsiTheme="minorHAnsi" w:cstheme="minorHAnsi"/>
          <w:b w:val="0"/>
          <w:szCs w:val="22"/>
        </w:rPr>
        <w:t>excellent</w:t>
      </w:r>
      <w:r>
        <w:rPr>
          <w:rFonts w:asciiTheme="minorHAnsi" w:hAnsiTheme="minorHAnsi" w:cstheme="minorHAnsi"/>
          <w:b w:val="0"/>
          <w:szCs w:val="22"/>
        </w:rPr>
        <w:t xml:space="preserve"> internal consistency, for example amongst an American community sample (</w:t>
      </w:r>
      <w:r w:rsidRPr="00C35A05">
        <w:rPr>
          <w:rFonts w:asciiTheme="minorHAnsi" w:hAnsiTheme="minorHAnsi" w:cstheme="minorHAnsi"/>
          <w:b w:val="0"/>
          <w:szCs w:val="22"/>
        </w:rPr>
        <w:t>α</w:t>
      </w:r>
      <w:r>
        <w:rPr>
          <w:rFonts w:asciiTheme="minorHAnsi" w:hAnsiTheme="minorHAnsi" w:cstheme="minorHAnsi"/>
          <w:b w:val="0"/>
          <w:szCs w:val="22"/>
        </w:rPr>
        <w:t xml:space="preserve"> = .93), </w:t>
      </w:r>
      <w:r w:rsidRPr="00B74045">
        <w:rPr>
          <w:rFonts w:asciiTheme="minorHAnsi" w:hAnsiTheme="minorHAnsi" w:cstheme="minorHAnsi"/>
          <w:b w:val="0"/>
          <w:szCs w:val="22"/>
        </w:rPr>
        <w:t>(</w:t>
      </w:r>
      <w:r>
        <w:rPr>
          <w:rFonts w:asciiTheme="minorHAnsi" w:hAnsiTheme="minorHAnsi" w:cstheme="minorHAnsi"/>
          <w:b w:val="0"/>
          <w:szCs w:val="22"/>
        </w:rPr>
        <w:t>Jardin et al., 2018</w:t>
      </w:r>
      <w:r w:rsidRPr="00B74045">
        <w:rPr>
          <w:rFonts w:asciiTheme="minorHAnsi" w:hAnsiTheme="minorHAnsi" w:cstheme="minorHAnsi"/>
          <w:b w:val="0"/>
          <w:szCs w:val="22"/>
        </w:rPr>
        <w:t>).</w:t>
      </w:r>
      <w:r>
        <w:rPr>
          <w:rFonts w:asciiTheme="minorHAnsi" w:hAnsiTheme="minorHAnsi" w:cstheme="minorHAnsi"/>
          <w:b w:val="0"/>
          <w:szCs w:val="22"/>
        </w:rPr>
        <w:t xml:space="preserve"> In the current study </w:t>
      </w:r>
      <w:r w:rsidR="00EC2CEA">
        <w:rPr>
          <w:rFonts w:asciiTheme="minorHAnsi" w:hAnsiTheme="minorHAnsi" w:cstheme="minorHAnsi"/>
          <w:b w:val="0"/>
          <w:szCs w:val="22"/>
        </w:rPr>
        <w:t>the scale’s reliability was excellent</w:t>
      </w:r>
      <w:r>
        <w:rPr>
          <w:rFonts w:asciiTheme="minorHAnsi" w:hAnsiTheme="minorHAnsi" w:cstheme="minorHAnsi"/>
          <w:b w:val="0"/>
          <w:szCs w:val="22"/>
        </w:rPr>
        <w:t xml:space="preserve"> (</w:t>
      </w:r>
      <w:r w:rsidRPr="00C35A05">
        <w:rPr>
          <w:rFonts w:asciiTheme="minorHAnsi" w:hAnsiTheme="minorHAnsi" w:cstheme="minorHAnsi"/>
          <w:b w:val="0"/>
          <w:szCs w:val="22"/>
        </w:rPr>
        <w:t>α</w:t>
      </w:r>
      <w:r w:rsidRPr="00990141">
        <w:rPr>
          <w:rFonts w:ascii="Arial" w:hAnsi="Arial" w:cs="Arial"/>
          <w:b w:val="0"/>
          <w:bCs/>
          <w:color w:val="202124"/>
          <w:sz w:val="21"/>
          <w:szCs w:val="21"/>
          <w:shd w:val="clear" w:color="auto" w:fill="FFFFFF"/>
        </w:rPr>
        <w:t xml:space="preserve"> </w:t>
      </w:r>
      <w:r w:rsidRPr="00091423">
        <w:rPr>
          <w:rFonts w:asciiTheme="minorHAnsi" w:hAnsiTheme="minorHAnsi" w:cstheme="minorHAnsi"/>
          <w:b w:val="0"/>
          <w:bCs/>
          <w:color w:val="202124"/>
          <w:szCs w:val="22"/>
          <w:shd w:val="clear" w:color="auto" w:fill="FFFFFF"/>
        </w:rPr>
        <w:t>= .95).</w:t>
      </w:r>
    </w:p>
    <w:p w14:paraId="1D177635" w14:textId="77777777" w:rsidR="00023489" w:rsidRPr="00B74045" w:rsidRDefault="00023489" w:rsidP="00A53770">
      <w:pPr>
        <w:pStyle w:val="BodyText2"/>
        <w:spacing w:line="360" w:lineRule="auto"/>
        <w:ind w:firstLine="720"/>
        <w:jc w:val="both"/>
        <w:rPr>
          <w:rFonts w:asciiTheme="minorHAnsi" w:hAnsiTheme="minorHAnsi" w:cstheme="minorHAnsi"/>
          <w:b w:val="0"/>
          <w:szCs w:val="22"/>
        </w:rPr>
      </w:pPr>
    </w:p>
    <w:p w14:paraId="281E94C0" w14:textId="7409339D" w:rsidR="00023489" w:rsidRPr="00B74045" w:rsidRDefault="00023489" w:rsidP="00A53770">
      <w:pPr>
        <w:pStyle w:val="BodyText2"/>
        <w:spacing w:line="360" w:lineRule="auto"/>
        <w:ind w:firstLine="720"/>
        <w:jc w:val="both"/>
        <w:rPr>
          <w:rFonts w:asciiTheme="minorHAnsi" w:hAnsiTheme="minorHAnsi" w:cstheme="minorHAnsi"/>
          <w:b w:val="0"/>
          <w:szCs w:val="22"/>
        </w:rPr>
      </w:pPr>
      <w:r w:rsidRPr="00B74045">
        <w:rPr>
          <w:rFonts w:asciiTheme="minorHAnsi" w:hAnsiTheme="minorHAnsi" w:cstheme="minorHAnsi"/>
          <w:b w:val="0"/>
          <w:szCs w:val="22"/>
        </w:rPr>
        <w:t xml:space="preserve">The </w:t>
      </w:r>
      <w:r w:rsidRPr="00B74045">
        <w:rPr>
          <w:rFonts w:asciiTheme="minorHAnsi" w:hAnsiTheme="minorHAnsi" w:cstheme="minorHAnsi"/>
          <w:b w:val="0"/>
          <w:i/>
          <w:szCs w:val="22"/>
        </w:rPr>
        <w:t>Patient Health Quest</w:t>
      </w:r>
      <w:r w:rsidR="00E62C26">
        <w:rPr>
          <w:rFonts w:asciiTheme="minorHAnsi" w:hAnsiTheme="minorHAnsi" w:cstheme="minorHAnsi"/>
          <w:b w:val="0"/>
          <w:i/>
          <w:szCs w:val="22"/>
        </w:rPr>
        <w:t>i</w:t>
      </w:r>
      <w:r w:rsidRPr="00B74045">
        <w:rPr>
          <w:rFonts w:asciiTheme="minorHAnsi" w:hAnsiTheme="minorHAnsi" w:cstheme="minorHAnsi"/>
          <w:b w:val="0"/>
          <w:i/>
          <w:szCs w:val="22"/>
        </w:rPr>
        <w:t>onnaire-15</w:t>
      </w:r>
      <w:r w:rsidRPr="00B74045">
        <w:rPr>
          <w:rFonts w:asciiTheme="minorHAnsi" w:hAnsiTheme="minorHAnsi" w:cstheme="minorHAnsi"/>
          <w:b w:val="0"/>
          <w:szCs w:val="22"/>
        </w:rPr>
        <w:t xml:space="preserve"> (PHQ-15) has been recommende</w:t>
      </w:r>
      <w:r>
        <w:rPr>
          <w:rFonts w:asciiTheme="minorHAnsi" w:hAnsiTheme="minorHAnsi" w:cstheme="minorHAnsi"/>
          <w:b w:val="0"/>
          <w:szCs w:val="22"/>
        </w:rPr>
        <w:t>d for the measurement of somatis</w:t>
      </w:r>
      <w:r w:rsidRPr="00B74045">
        <w:rPr>
          <w:rFonts w:asciiTheme="minorHAnsi" w:hAnsiTheme="minorHAnsi" w:cstheme="minorHAnsi"/>
          <w:b w:val="0"/>
          <w:szCs w:val="22"/>
        </w:rPr>
        <w:t>ation (Kroenke et al.</w:t>
      </w:r>
      <w:r>
        <w:rPr>
          <w:rFonts w:asciiTheme="minorHAnsi" w:hAnsiTheme="minorHAnsi" w:cstheme="minorHAnsi"/>
          <w:b w:val="0"/>
          <w:szCs w:val="22"/>
        </w:rPr>
        <w:t>, 2002, Sitnikova et al., 2017)</w:t>
      </w:r>
      <w:r w:rsidRPr="00B74045">
        <w:rPr>
          <w:rFonts w:asciiTheme="minorHAnsi" w:hAnsiTheme="minorHAnsi" w:cstheme="minorHAnsi"/>
          <w:b w:val="0"/>
          <w:szCs w:val="22"/>
        </w:rPr>
        <w:t>.</w:t>
      </w:r>
      <w:r>
        <w:rPr>
          <w:rFonts w:asciiTheme="minorHAnsi" w:hAnsiTheme="minorHAnsi" w:cstheme="minorHAnsi"/>
          <w:b w:val="0"/>
          <w:szCs w:val="22"/>
        </w:rPr>
        <w:t xml:space="preserve"> Items ask about somatic difficulties such as “how often have you been bothered by stomach pain”. Questions are answered between 0 (not bothered at all) and 2 (bothered a lot), with scores ranging from 0 to 30 and higher scores representing higher levels of somatisation.</w:t>
      </w:r>
      <w:r w:rsidRPr="00B74045">
        <w:rPr>
          <w:rFonts w:asciiTheme="minorHAnsi" w:hAnsiTheme="minorHAnsi" w:cstheme="minorHAnsi"/>
          <w:b w:val="0"/>
          <w:szCs w:val="22"/>
        </w:rPr>
        <w:t xml:space="preserve"> Previous studies of </w:t>
      </w:r>
      <w:r>
        <w:rPr>
          <w:rFonts w:asciiTheme="minorHAnsi" w:hAnsiTheme="minorHAnsi" w:cstheme="minorHAnsi"/>
          <w:b w:val="0"/>
          <w:szCs w:val="22"/>
        </w:rPr>
        <w:t>PWDS and PWE have employed it</w:t>
      </w:r>
      <w:r w:rsidRPr="00B74045">
        <w:rPr>
          <w:rFonts w:asciiTheme="minorHAnsi" w:hAnsiTheme="minorHAnsi" w:cstheme="minorHAnsi"/>
          <w:b w:val="0"/>
          <w:szCs w:val="22"/>
        </w:rPr>
        <w:t xml:space="preserve"> (Almwled et al., </w:t>
      </w:r>
      <w:r w:rsidRPr="00B74045">
        <w:rPr>
          <w:rFonts w:asciiTheme="minorHAnsi" w:hAnsiTheme="minorHAnsi" w:cstheme="minorHAnsi"/>
          <w:b w:val="0"/>
          <w:szCs w:val="22"/>
        </w:rPr>
        <w:lastRenderedPageBreak/>
        <w:t xml:space="preserve">2022, Cullingham et al., 2020, Dimaro et al., 2014). It has been shown to have good internal consistency </w:t>
      </w:r>
      <w:r>
        <w:rPr>
          <w:rFonts w:asciiTheme="minorHAnsi" w:hAnsiTheme="minorHAnsi" w:cstheme="minorHAnsi"/>
          <w:b w:val="0"/>
          <w:szCs w:val="22"/>
        </w:rPr>
        <w:t>(</w:t>
      </w:r>
      <w:r w:rsidRPr="00C35A05">
        <w:rPr>
          <w:rFonts w:asciiTheme="minorHAnsi" w:hAnsiTheme="minorHAnsi" w:cstheme="minorHAnsi"/>
          <w:b w:val="0"/>
          <w:szCs w:val="22"/>
        </w:rPr>
        <w:t>α</w:t>
      </w:r>
      <w:r w:rsidRPr="007D2499">
        <w:rPr>
          <w:rFonts w:asciiTheme="minorHAnsi" w:hAnsiTheme="minorHAnsi" w:cstheme="minorHAnsi"/>
          <w:b w:val="0"/>
          <w:szCs w:val="22"/>
        </w:rPr>
        <w:t xml:space="preserve"> = 0.79</w:t>
      </w:r>
      <w:r>
        <w:rPr>
          <w:rFonts w:asciiTheme="minorHAnsi" w:hAnsiTheme="minorHAnsi" w:cstheme="minorHAnsi"/>
          <w:b w:val="0"/>
          <w:szCs w:val="22"/>
        </w:rPr>
        <w:t xml:space="preserve">), </w:t>
      </w:r>
      <w:r w:rsidRPr="00B74045">
        <w:rPr>
          <w:rFonts w:asciiTheme="minorHAnsi" w:hAnsiTheme="minorHAnsi" w:cstheme="minorHAnsi"/>
          <w:b w:val="0"/>
          <w:szCs w:val="22"/>
        </w:rPr>
        <w:t xml:space="preserve">(Kroenke et al., 2002). </w:t>
      </w:r>
      <w:r>
        <w:rPr>
          <w:rFonts w:asciiTheme="minorHAnsi" w:hAnsiTheme="minorHAnsi" w:cstheme="minorHAnsi"/>
          <w:b w:val="0"/>
          <w:szCs w:val="22"/>
        </w:rPr>
        <w:t>It</w:t>
      </w:r>
      <w:r w:rsidRPr="00B74045">
        <w:rPr>
          <w:rFonts w:asciiTheme="minorHAnsi" w:hAnsiTheme="minorHAnsi" w:cstheme="minorHAnsi"/>
          <w:b w:val="0"/>
          <w:szCs w:val="22"/>
        </w:rPr>
        <w:t xml:space="preserve"> includes one question specifically asking about menstruation which was removed </w:t>
      </w:r>
      <w:r>
        <w:rPr>
          <w:rFonts w:asciiTheme="minorHAnsi" w:hAnsiTheme="minorHAnsi" w:cstheme="minorHAnsi"/>
          <w:b w:val="0"/>
          <w:szCs w:val="22"/>
        </w:rPr>
        <w:t xml:space="preserve">from this study, as in similar research, </w:t>
      </w:r>
      <w:r w:rsidRPr="00B74045">
        <w:rPr>
          <w:rFonts w:asciiTheme="minorHAnsi" w:hAnsiTheme="minorHAnsi" w:cstheme="minorHAnsi"/>
          <w:b w:val="0"/>
          <w:szCs w:val="22"/>
        </w:rPr>
        <w:t>due to it not being relevant for all participants</w:t>
      </w:r>
      <w:r>
        <w:rPr>
          <w:rFonts w:asciiTheme="minorHAnsi" w:hAnsiTheme="minorHAnsi" w:cstheme="minorHAnsi"/>
          <w:b w:val="0"/>
          <w:szCs w:val="22"/>
        </w:rPr>
        <w:t xml:space="preserve">, </w:t>
      </w:r>
      <w:r w:rsidR="00CF510E">
        <w:rPr>
          <w:rFonts w:asciiTheme="minorHAnsi" w:hAnsiTheme="minorHAnsi" w:cstheme="minorHAnsi"/>
          <w:b w:val="0"/>
          <w:szCs w:val="22"/>
        </w:rPr>
        <w:t xml:space="preserve">potentially </w:t>
      </w:r>
      <w:r>
        <w:rPr>
          <w:rFonts w:asciiTheme="minorHAnsi" w:hAnsiTheme="minorHAnsi" w:cstheme="minorHAnsi"/>
          <w:b w:val="0"/>
          <w:szCs w:val="22"/>
        </w:rPr>
        <w:t>over-emphasizing the role of gender on somatisation (</w:t>
      </w:r>
      <w:r w:rsidRPr="00B74045">
        <w:rPr>
          <w:rFonts w:asciiTheme="minorHAnsi" w:hAnsiTheme="minorHAnsi" w:cstheme="minorHAnsi"/>
          <w:b w:val="0"/>
          <w:szCs w:val="22"/>
        </w:rPr>
        <w:t>Cullingham et al., 2020</w:t>
      </w:r>
      <w:r>
        <w:rPr>
          <w:rFonts w:asciiTheme="minorHAnsi" w:hAnsiTheme="minorHAnsi" w:cstheme="minorHAnsi"/>
          <w:b w:val="0"/>
          <w:szCs w:val="22"/>
        </w:rPr>
        <w:t>)</w:t>
      </w:r>
      <w:r w:rsidRPr="00B74045">
        <w:rPr>
          <w:rFonts w:asciiTheme="minorHAnsi" w:hAnsiTheme="minorHAnsi" w:cstheme="minorHAnsi"/>
          <w:b w:val="0"/>
          <w:szCs w:val="22"/>
        </w:rPr>
        <w:t xml:space="preserve">. </w:t>
      </w:r>
      <w:r>
        <w:rPr>
          <w:rFonts w:asciiTheme="minorHAnsi" w:hAnsiTheme="minorHAnsi" w:cstheme="minorHAnsi"/>
          <w:b w:val="0"/>
          <w:szCs w:val="22"/>
        </w:rPr>
        <w:t>In the current study the scale’s reliability was good (</w:t>
      </w:r>
      <w:r w:rsidRPr="00C35A05">
        <w:rPr>
          <w:rFonts w:asciiTheme="minorHAnsi" w:hAnsiTheme="minorHAnsi" w:cstheme="minorHAnsi"/>
          <w:b w:val="0"/>
          <w:szCs w:val="22"/>
        </w:rPr>
        <w:t>α</w:t>
      </w:r>
      <w:r>
        <w:rPr>
          <w:rFonts w:ascii="Arial" w:hAnsi="Arial" w:cs="Arial"/>
          <w:b w:val="0"/>
          <w:bCs/>
          <w:color w:val="202124"/>
          <w:sz w:val="21"/>
          <w:szCs w:val="21"/>
          <w:shd w:val="clear" w:color="auto" w:fill="FFFFFF"/>
        </w:rPr>
        <w:t xml:space="preserve"> </w:t>
      </w:r>
      <w:r w:rsidRPr="00091423">
        <w:rPr>
          <w:rFonts w:asciiTheme="minorHAnsi" w:hAnsiTheme="minorHAnsi" w:cstheme="minorHAnsi"/>
          <w:b w:val="0"/>
          <w:bCs/>
          <w:color w:val="202124"/>
          <w:szCs w:val="22"/>
          <w:shd w:val="clear" w:color="auto" w:fill="FFFFFF"/>
        </w:rPr>
        <w:t>= .88).</w:t>
      </w:r>
    </w:p>
    <w:p w14:paraId="383D6281" w14:textId="77777777" w:rsidR="00023489" w:rsidRPr="00B74045" w:rsidRDefault="00023489" w:rsidP="00A53770">
      <w:pPr>
        <w:pStyle w:val="BodyText2"/>
        <w:spacing w:line="360" w:lineRule="auto"/>
        <w:ind w:firstLine="720"/>
        <w:jc w:val="both"/>
        <w:rPr>
          <w:rFonts w:asciiTheme="minorHAnsi" w:hAnsiTheme="minorHAnsi" w:cstheme="minorHAnsi"/>
          <w:b w:val="0"/>
          <w:szCs w:val="22"/>
        </w:rPr>
      </w:pPr>
    </w:p>
    <w:p w14:paraId="25F8BB68" w14:textId="6456C6C3" w:rsidR="00023489" w:rsidRPr="00B74045" w:rsidRDefault="00023489" w:rsidP="00A53770">
      <w:pPr>
        <w:pStyle w:val="BodyText2"/>
        <w:spacing w:line="360" w:lineRule="auto"/>
        <w:ind w:firstLine="720"/>
        <w:jc w:val="both"/>
        <w:rPr>
          <w:rFonts w:asciiTheme="minorHAnsi" w:hAnsiTheme="minorHAnsi" w:cstheme="minorHAnsi"/>
          <w:b w:val="0"/>
          <w:szCs w:val="22"/>
        </w:rPr>
      </w:pPr>
      <w:r w:rsidRPr="00B74045">
        <w:rPr>
          <w:rFonts w:asciiTheme="minorHAnsi" w:hAnsiTheme="minorHAnsi" w:cstheme="minorHAnsi"/>
          <w:b w:val="0"/>
          <w:szCs w:val="22"/>
        </w:rPr>
        <w:t xml:space="preserve">The </w:t>
      </w:r>
      <w:r w:rsidRPr="00B74045">
        <w:rPr>
          <w:rFonts w:asciiTheme="minorHAnsi" w:hAnsiTheme="minorHAnsi" w:cstheme="minorHAnsi"/>
          <w:b w:val="0"/>
          <w:i/>
          <w:szCs w:val="22"/>
        </w:rPr>
        <w:t xml:space="preserve">Patient Health Questionnaire-9 </w:t>
      </w:r>
      <w:r w:rsidRPr="00B74045">
        <w:rPr>
          <w:rFonts w:asciiTheme="minorHAnsi" w:hAnsiTheme="minorHAnsi" w:cstheme="minorHAnsi"/>
          <w:b w:val="0"/>
          <w:szCs w:val="22"/>
        </w:rPr>
        <w:t>(PHQ-9) is a n</w:t>
      </w:r>
      <w:r w:rsidR="00EC2CEA">
        <w:rPr>
          <w:rFonts w:asciiTheme="minorHAnsi" w:hAnsiTheme="minorHAnsi" w:cstheme="minorHAnsi"/>
          <w:b w:val="0"/>
          <w:szCs w:val="22"/>
        </w:rPr>
        <w:t>ine-</w:t>
      </w:r>
      <w:r w:rsidRPr="00B74045">
        <w:rPr>
          <w:rFonts w:asciiTheme="minorHAnsi" w:hAnsiTheme="minorHAnsi" w:cstheme="minorHAnsi"/>
          <w:b w:val="0"/>
          <w:szCs w:val="22"/>
        </w:rPr>
        <w:t xml:space="preserve">item measure of symptoms associated with depression (Kroenke et al., 2001). </w:t>
      </w:r>
      <w:r>
        <w:rPr>
          <w:rFonts w:asciiTheme="minorHAnsi" w:hAnsiTheme="minorHAnsi" w:cstheme="minorHAnsi"/>
          <w:b w:val="0"/>
          <w:szCs w:val="22"/>
        </w:rPr>
        <w:t>Answers are scored between 0 (not at all) and 3 (nearly every day), with scores ranging from 0 to 27, and questions relating to signs of depression over the last two weeks such as “feeling, down, depressed, or hopeless”. Higher scores represent higher levels of depression.</w:t>
      </w:r>
      <w:r w:rsidRPr="00B74045">
        <w:rPr>
          <w:rFonts w:asciiTheme="minorHAnsi" w:hAnsiTheme="minorHAnsi" w:cstheme="minorHAnsi"/>
          <w:b w:val="0"/>
          <w:szCs w:val="22"/>
        </w:rPr>
        <w:t xml:space="preserve"> </w:t>
      </w:r>
      <w:r>
        <w:rPr>
          <w:rFonts w:asciiTheme="minorHAnsi" w:hAnsiTheme="minorHAnsi" w:cstheme="minorHAnsi"/>
          <w:b w:val="0"/>
          <w:szCs w:val="22"/>
        </w:rPr>
        <w:t xml:space="preserve">It </w:t>
      </w:r>
      <w:r w:rsidRPr="00B74045">
        <w:rPr>
          <w:rFonts w:asciiTheme="minorHAnsi" w:hAnsiTheme="minorHAnsi" w:cstheme="minorHAnsi"/>
          <w:b w:val="0"/>
          <w:szCs w:val="22"/>
        </w:rPr>
        <w:t xml:space="preserve">has been validated for use </w:t>
      </w:r>
      <w:r>
        <w:rPr>
          <w:rFonts w:asciiTheme="minorHAnsi" w:hAnsiTheme="minorHAnsi" w:cstheme="minorHAnsi"/>
          <w:b w:val="0"/>
          <w:szCs w:val="22"/>
        </w:rPr>
        <w:t>with PWDS, showing good internal consistency (</w:t>
      </w:r>
      <w:r>
        <w:rPr>
          <w:rFonts w:ascii="Arial" w:hAnsi="Arial" w:cs="Arial"/>
          <w:b w:val="0"/>
          <w:bCs/>
          <w:color w:val="202124"/>
          <w:sz w:val="21"/>
          <w:szCs w:val="21"/>
          <w:shd w:val="clear" w:color="auto" w:fill="FFFFFF"/>
        </w:rPr>
        <w:t>α</w:t>
      </w:r>
      <w:r>
        <w:rPr>
          <w:rFonts w:asciiTheme="minorHAnsi" w:hAnsiTheme="minorHAnsi" w:cstheme="minorHAnsi"/>
          <w:b w:val="0"/>
          <w:szCs w:val="22"/>
        </w:rPr>
        <w:t xml:space="preserve"> = 0.87; </w:t>
      </w:r>
      <w:r w:rsidRPr="00B74045">
        <w:rPr>
          <w:rFonts w:asciiTheme="minorHAnsi" w:hAnsiTheme="minorHAnsi" w:cstheme="minorHAnsi"/>
          <w:b w:val="0"/>
          <w:szCs w:val="22"/>
        </w:rPr>
        <w:t xml:space="preserve">Baldellou Lopez et al., 2021). </w:t>
      </w:r>
      <w:r>
        <w:rPr>
          <w:rFonts w:asciiTheme="minorHAnsi" w:hAnsiTheme="minorHAnsi" w:cstheme="minorHAnsi"/>
          <w:b w:val="0"/>
          <w:szCs w:val="22"/>
        </w:rPr>
        <w:t>It</w:t>
      </w:r>
      <w:r w:rsidRPr="00B74045">
        <w:rPr>
          <w:rFonts w:asciiTheme="minorHAnsi" w:hAnsiTheme="minorHAnsi" w:cstheme="minorHAnsi"/>
          <w:b w:val="0"/>
          <w:szCs w:val="22"/>
        </w:rPr>
        <w:t xml:space="preserve"> has also been validated for use with </w:t>
      </w:r>
      <w:r>
        <w:rPr>
          <w:rFonts w:asciiTheme="minorHAnsi" w:hAnsiTheme="minorHAnsi" w:cstheme="minorHAnsi"/>
          <w:b w:val="0"/>
          <w:szCs w:val="22"/>
        </w:rPr>
        <w:t>PWE</w:t>
      </w:r>
      <w:r w:rsidRPr="00B74045">
        <w:rPr>
          <w:rFonts w:asciiTheme="minorHAnsi" w:hAnsiTheme="minorHAnsi" w:cstheme="minorHAnsi"/>
          <w:b w:val="0"/>
          <w:szCs w:val="22"/>
        </w:rPr>
        <w:t xml:space="preserve"> (Fiest et al., 2014).</w:t>
      </w:r>
      <w:r>
        <w:rPr>
          <w:rFonts w:asciiTheme="minorHAnsi" w:hAnsiTheme="minorHAnsi" w:cstheme="minorHAnsi"/>
          <w:b w:val="0"/>
          <w:szCs w:val="22"/>
        </w:rPr>
        <w:t xml:space="preserve"> In the current stu</w:t>
      </w:r>
      <w:r w:rsidR="00EC2CEA">
        <w:rPr>
          <w:rFonts w:asciiTheme="minorHAnsi" w:hAnsiTheme="minorHAnsi" w:cstheme="minorHAnsi"/>
          <w:b w:val="0"/>
          <w:szCs w:val="22"/>
        </w:rPr>
        <w:t>dy the scale’s reliability was excellent</w:t>
      </w:r>
      <w:r>
        <w:rPr>
          <w:rFonts w:asciiTheme="minorHAnsi" w:hAnsiTheme="minorHAnsi" w:cstheme="minorHAnsi"/>
          <w:b w:val="0"/>
          <w:szCs w:val="22"/>
        </w:rPr>
        <w:t xml:space="preserve"> (</w:t>
      </w:r>
      <w:r w:rsidRPr="00C35A05">
        <w:rPr>
          <w:rFonts w:asciiTheme="minorHAnsi" w:hAnsiTheme="minorHAnsi" w:cstheme="minorHAnsi"/>
          <w:b w:val="0"/>
          <w:szCs w:val="22"/>
        </w:rPr>
        <w:t>α</w:t>
      </w:r>
      <w:r>
        <w:rPr>
          <w:rFonts w:ascii="Arial" w:hAnsi="Arial" w:cs="Arial"/>
          <w:b w:val="0"/>
          <w:bCs/>
          <w:color w:val="202124"/>
          <w:sz w:val="21"/>
          <w:szCs w:val="21"/>
          <w:shd w:val="clear" w:color="auto" w:fill="FFFFFF"/>
        </w:rPr>
        <w:t xml:space="preserve"> </w:t>
      </w:r>
      <w:r w:rsidRPr="0029496D">
        <w:rPr>
          <w:rFonts w:asciiTheme="minorHAnsi" w:hAnsiTheme="minorHAnsi" w:cstheme="minorHAnsi"/>
          <w:b w:val="0"/>
          <w:bCs/>
          <w:color w:val="202124"/>
          <w:szCs w:val="22"/>
          <w:shd w:val="clear" w:color="auto" w:fill="FFFFFF"/>
        </w:rPr>
        <w:t>= .90).</w:t>
      </w:r>
    </w:p>
    <w:p w14:paraId="523A39FB" w14:textId="77777777" w:rsidR="00023489" w:rsidRPr="00B74045" w:rsidRDefault="00023489" w:rsidP="00A53770">
      <w:pPr>
        <w:pStyle w:val="BodyText2"/>
        <w:spacing w:line="360" w:lineRule="auto"/>
        <w:ind w:firstLine="720"/>
        <w:jc w:val="both"/>
        <w:rPr>
          <w:rFonts w:asciiTheme="minorHAnsi" w:hAnsiTheme="minorHAnsi" w:cstheme="minorHAnsi"/>
          <w:b w:val="0"/>
          <w:szCs w:val="22"/>
        </w:rPr>
      </w:pPr>
    </w:p>
    <w:p w14:paraId="1ECF2AAD" w14:textId="2785E132" w:rsidR="00023489" w:rsidRDefault="00023489" w:rsidP="00A53770">
      <w:pPr>
        <w:pStyle w:val="BodyText2"/>
        <w:spacing w:line="360" w:lineRule="auto"/>
        <w:ind w:firstLine="720"/>
        <w:jc w:val="both"/>
        <w:rPr>
          <w:rFonts w:asciiTheme="minorHAnsi" w:hAnsiTheme="minorHAnsi" w:cstheme="minorHAnsi"/>
          <w:b w:val="0"/>
          <w:szCs w:val="22"/>
        </w:rPr>
      </w:pPr>
      <w:r w:rsidRPr="00B74045">
        <w:rPr>
          <w:rFonts w:asciiTheme="minorHAnsi" w:hAnsiTheme="minorHAnsi" w:cstheme="minorHAnsi"/>
          <w:b w:val="0"/>
          <w:szCs w:val="22"/>
        </w:rPr>
        <w:t>The General Anxiet</w:t>
      </w:r>
      <w:r>
        <w:rPr>
          <w:rFonts w:asciiTheme="minorHAnsi" w:hAnsiTheme="minorHAnsi" w:cstheme="minorHAnsi"/>
          <w:b w:val="0"/>
          <w:szCs w:val="22"/>
        </w:rPr>
        <w:t>y Disorder-7 (GAD-7) is a seven-</w:t>
      </w:r>
      <w:r w:rsidRPr="00B74045">
        <w:rPr>
          <w:rFonts w:asciiTheme="minorHAnsi" w:hAnsiTheme="minorHAnsi" w:cstheme="minorHAnsi"/>
          <w:b w:val="0"/>
          <w:szCs w:val="22"/>
        </w:rPr>
        <w:t>item measure of symptoms associated with anxiety (Spitzer et al., 2006).</w:t>
      </w:r>
      <w:r>
        <w:rPr>
          <w:rFonts w:asciiTheme="minorHAnsi" w:hAnsiTheme="minorHAnsi" w:cstheme="minorHAnsi"/>
          <w:b w:val="0"/>
          <w:szCs w:val="22"/>
        </w:rPr>
        <w:t xml:space="preserve"> Respondents state how frequently they experience</w:t>
      </w:r>
      <w:r w:rsidR="00EC2CEA">
        <w:rPr>
          <w:rFonts w:asciiTheme="minorHAnsi" w:hAnsiTheme="minorHAnsi" w:cstheme="minorHAnsi"/>
          <w:b w:val="0"/>
          <w:szCs w:val="22"/>
        </w:rPr>
        <w:t>d</w:t>
      </w:r>
      <w:r>
        <w:rPr>
          <w:rFonts w:asciiTheme="minorHAnsi" w:hAnsiTheme="minorHAnsi" w:cstheme="minorHAnsi"/>
          <w:b w:val="0"/>
          <w:szCs w:val="22"/>
        </w:rPr>
        <w:t xml:space="preserve"> anxiety over the last two weeks such as rating “trouble relaxing” between 0 (not a</w:t>
      </w:r>
      <w:r w:rsidR="00CF510E">
        <w:rPr>
          <w:rFonts w:asciiTheme="minorHAnsi" w:hAnsiTheme="minorHAnsi" w:cstheme="minorHAnsi"/>
          <w:b w:val="0"/>
          <w:szCs w:val="22"/>
        </w:rPr>
        <w:t>t all) and 3 (nearly every day). Scores range</w:t>
      </w:r>
      <w:r>
        <w:rPr>
          <w:rFonts w:asciiTheme="minorHAnsi" w:hAnsiTheme="minorHAnsi" w:cstheme="minorHAnsi"/>
          <w:b w:val="0"/>
          <w:szCs w:val="22"/>
        </w:rPr>
        <w:t xml:space="preserve"> from 0 to 21, increasing with higher levels of anxiety</w:t>
      </w:r>
      <w:r w:rsidR="00EC2CEA">
        <w:rPr>
          <w:rFonts w:asciiTheme="minorHAnsi" w:hAnsiTheme="minorHAnsi" w:cstheme="minorHAnsi"/>
          <w:b w:val="0"/>
          <w:szCs w:val="22"/>
        </w:rPr>
        <w:t xml:space="preserve">. Initial testing demonstrated excellent </w:t>
      </w:r>
      <w:r>
        <w:rPr>
          <w:rFonts w:asciiTheme="minorHAnsi" w:hAnsiTheme="minorHAnsi" w:cstheme="minorHAnsi"/>
          <w:b w:val="0"/>
          <w:szCs w:val="22"/>
        </w:rPr>
        <w:t>reliability (</w:t>
      </w:r>
      <w:r w:rsidRPr="00C35A05">
        <w:rPr>
          <w:rFonts w:asciiTheme="minorHAnsi" w:hAnsiTheme="minorHAnsi" w:cstheme="minorHAnsi"/>
          <w:b w:val="0"/>
          <w:szCs w:val="22"/>
        </w:rPr>
        <w:t>α = .92</w:t>
      </w:r>
      <w:r>
        <w:rPr>
          <w:rFonts w:asciiTheme="minorHAnsi" w:hAnsiTheme="minorHAnsi" w:cstheme="minorHAnsi"/>
          <w:b w:val="0"/>
          <w:szCs w:val="22"/>
        </w:rPr>
        <w:t>) and validity in a large US sample</w:t>
      </w:r>
      <w:r w:rsidRPr="00B74045">
        <w:rPr>
          <w:rFonts w:asciiTheme="minorHAnsi" w:hAnsiTheme="minorHAnsi" w:cstheme="minorHAnsi"/>
          <w:b w:val="0"/>
          <w:szCs w:val="22"/>
        </w:rPr>
        <w:t xml:space="preserve"> (Spitzer et al., 2006)</w:t>
      </w:r>
      <w:r>
        <w:rPr>
          <w:rFonts w:asciiTheme="minorHAnsi" w:hAnsiTheme="minorHAnsi" w:cstheme="minorHAnsi"/>
          <w:b w:val="0"/>
          <w:szCs w:val="22"/>
        </w:rPr>
        <w:t xml:space="preserve">. </w:t>
      </w:r>
      <w:r w:rsidRPr="00B74045">
        <w:rPr>
          <w:rFonts w:asciiTheme="minorHAnsi" w:hAnsiTheme="minorHAnsi" w:cstheme="minorHAnsi"/>
          <w:b w:val="0"/>
          <w:szCs w:val="22"/>
        </w:rPr>
        <w:t xml:space="preserve">It has been validated in studies for use with </w:t>
      </w:r>
      <w:r>
        <w:rPr>
          <w:rFonts w:asciiTheme="minorHAnsi" w:hAnsiTheme="minorHAnsi" w:cstheme="minorHAnsi"/>
          <w:b w:val="0"/>
          <w:szCs w:val="22"/>
        </w:rPr>
        <w:t>PWE</w:t>
      </w:r>
      <w:r w:rsidRPr="00B74045">
        <w:rPr>
          <w:rFonts w:asciiTheme="minorHAnsi" w:hAnsiTheme="minorHAnsi" w:cstheme="minorHAnsi"/>
          <w:b w:val="0"/>
          <w:szCs w:val="22"/>
        </w:rPr>
        <w:t xml:space="preserve"> </w:t>
      </w:r>
      <w:r>
        <w:rPr>
          <w:rFonts w:asciiTheme="minorHAnsi" w:hAnsiTheme="minorHAnsi" w:cstheme="minorHAnsi"/>
          <w:b w:val="0"/>
          <w:szCs w:val="22"/>
        </w:rPr>
        <w:t>and</w:t>
      </w:r>
      <w:r w:rsidRPr="00B74045">
        <w:rPr>
          <w:rFonts w:asciiTheme="minorHAnsi" w:hAnsiTheme="minorHAnsi" w:cstheme="minorHAnsi"/>
          <w:b w:val="0"/>
          <w:szCs w:val="22"/>
        </w:rPr>
        <w:t xml:space="preserve"> </w:t>
      </w:r>
      <w:r>
        <w:rPr>
          <w:rFonts w:asciiTheme="minorHAnsi" w:hAnsiTheme="minorHAnsi" w:cstheme="minorHAnsi"/>
          <w:b w:val="0"/>
          <w:szCs w:val="22"/>
        </w:rPr>
        <w:t>PWDS</w:t>
      </w:r>
      <w:r w:rsidRPr="00B74045">
        <w:rPr>
          <w:rFonts w:asciiTheme="minorHAnsi" w:hAnsiTheme="minorHAnsi" w:cstheme="minorHAnsi"/>
          <w:b w:val="0"/>
          <w:szCs w:val="22"/>
        </w:rPr>
        <w:t xml:space="preserve"> (Brown et al., 2013</w:t>
      </w:r>
      <w:r>
        <w:rPr>
          <w:rFonts w:asciiTheme="minorHAnsi" w:hAnsiTheme="minorHAnsi" w:cstheme="minorHAnsi"/>
          <w:b w:val="0"/>
          <w:szCs w:val="22"/>
        </w:rPr>
        <w:t xml:space="preserve">, </w:t>
      </w:r>
      <w:r w:rsidRPr="00B74045">
        <w:rPr>
          <w:rFonts w:asciiTheme="minorHAnsi" w:hAnsiTheme="minorHAnsi" w:cstheme="minorHAnsi"/>
          <w:b w:val="0"/>
          <w:szCs w:val="22"/>
        </w:rPr>
        <w:t>Seo et al., 2014, Tong et al</w:t>
      </w:r>
      <w:r>
        <w:rPr>
          <w:rFonts w:asciiTheme="minorHAnsi" w:hAnsiTheme="minorHAnsi" w:cstheme="minorHAnsi"/>
          <w:b w:val="0"/>
          <w:szCs w:val="22"/>
        </w:rPr>
        <w:t>., 2016).</w:t>
      </w:r>
      <w:r w:rsidRPr="00B74045">
        <w:rPr>
          <w:rFonts w:asciiTheme="minorHAnsi" w:hAnsiTheme="minorHAnsi" w:cstheme="minorHAnsi"/>
          <w:b w:val="0"/>
          <w:szCs w:val="22"/>
        </w:rPr>
        <w:t xml:space="preserve"> </w:t>
      </w:r>
      <w:r>
        <w:rPr>
          <w:rFonts w:asciiTheme="minorHAnsi" w:hAnsiTheme="minorHAnsi" w:cstheme="minorHAnsi"/>
          <w:b w:val="0"/>
          <w:szCs w:val="22"/>
        </w:rPr>
        <w:t xml:space="preserve">In the current study the scale’s reliability was </w:t>
      </w:r>
      <w:r w:rsidR="00EC2CEA">
        <w:rPr>
          <w:rFonts w:asciiTheme="minorHAnsi" w:hAnsiTheme="minorHAnsi" w:cstheme="minorHAnsi"/>
          <w:b w:val="0"/>
          <w:szCs w:val="22"/>
        </w:rPr>
        <w:t xml:space="preserve">excellent </w:t>
      </w:r>
      <w:r>
        <w:rPr>
          <w:rFonts w:asciiTheme="minorHAnsi" w:hAnsiTheme="minorHAnsi" w:cstheme="minorHAnsi"/>
          <w:b w:val="0"/>
          <w:szCs w:val="22"/>
        </w:rPr>
        <w:t>(</w:t>
      </w:r>
      <w:r>
        <w:rPr>
          <w:rFonts w:ascii="Arial" w:hAnsi="Arial" w:cs="Arial"/>
          <w:b w:val="0"/>
          <w:bCs/>
          <w:color w:val="202124"/>
          <w:sz w:val="21"/>
          <w:szCs w:val="21"/>
          <w:shd w:val="clear" w:color="auto" w:fill="FFFFFF"/>
        </w:rPr>
        <w:t xml:space="preserve">α </w:t>
      </w:r>
      <w:r w:rsidRPr="00091423">
        <w:rPr>
          <w:rFonts w:asciiTheme="minorHAnsi" w:hAnsiTheme="minorHAnsi" w:cstheme="minorHAnsi"/>
          <w:b w:val="0"/>
          <w:bCs/>
          <w:color w:val="202124"/>
          <w:szCs w:val="22"/>
          <w:shd w:val="clear" w:color="auto" w:fill="FFFFFF"/>
        </w:rPr>
        <w:t>= .93).</w:t>
      </w:r>
    </w:p>
    <w:p w14:paraId="0CA4F62F" w14:textId="77777777" w:rsidR="00023489" w:rsidRDefault="00023489" w:rsidP="00A53770">
      <w:pPr>
        <w:pStyle w:val="BodyText2"/>
        <w:spacing w:line="360" w:lineRule="auto"/>
        <w:jc w:val="both"/>
        <w:rPr>
          <w:rFonts w:asciiTheme="minorHAnsi" w:hAnsiTheme="minorHAnsi" w:cstheme="minorHAnsi"/>
          <w:b w:val="0"/>
          <w:szCs w:val="22"/>
        </w:rPr>
      </w:pPr>
    </w:p>
    <w:p w14:paraId="2F85198E" w14:textId="77777777" w:rsidR="00023489" w:rsidRDefault="00023489" w:rsidP="00A53770">
      <w:pPr>
        <w:pStyle w:val="BodyText2"/>
        <w:spacing w:line="360" w:lineRule="auto"/>
        <w:ind w:firstLine="720"/>
        <w:jc w:val="both"/>
        <w:rPr>
          <w:rFonts w:asciiTheme="minorHAnsi" w:hAnsiTheme="minorHAnsi" w:cstheme="minorHAnsi"/>
          <w:b w:val="0"/>
          <w:szCs w:val="22"/>
        </w:rPr>
      </w:pPr>
      <w:r>
        <w:rPr>
          <w:rFonts w:asciiTheme="minorHAnsi" w:hAnsiTheme="minorHAnsi" w:cstheme="minorHAnsi"/>
          <w:b w:val="0"/>
          <w:szCs w:val="22"/>
        </w:rPr>
        <w:t xml:space="preserve">Demographic information was collected through a questionnaire based on one used in a similar study (Whitfield et al., 2020), (Appendix G). Number of seizures occurring over the last four weeks (seizure frequency) was collected for regression analysis. Demographic information was collected to describe the sample, allow for comparison with other studies, and to check for differences in group composition and condition severity between participants with epilepsy and DS. </w:t>
      </w:r>
    </w:p>
    <w:p w14:paraId="20322412" w14:textId="77777777" w:rsidR="00023489" w:rsidRPr="00360BDF" w:rsidRDefault="00023489" w:rsidP="00A53770">
      <w:pPr>
        <w:pStyle w:val="BodyText2"/>
        <w:spacing w:line="360" w:lineRule="auto"/>
        <w:ind w:firstLine="720"/>
        <w:jc w:val="both"/>
        <w:rPr>
          <w:rFonts w:asciiTheme="minorHAnsi" w:hAnsiTheme="minorHAnsi" w:cstheme="minorHAnsi"/>
          <w:b w:val="0"/>
          <w:szCs w:val="22"/>
        </w:rPr>
      </w:pPr>
    </w:p>
    <w:p w14:paraId="3E9E84F4" w14:textId="77777777" w:rsidR="00023489" w:rsidRPr="00FC57E6" w:rsidRDefault="00023489" w:rsidP="00A53770">
      <w:pPr>
        <w:pStyle w:val="Heading2"/>
      </w:pPr>
      <w:bookmarkStart w:id="147" w:name="_Toc133487822"/>
      <w:r>
        <w:t>Data Analysis</w:t>
      </w:r>
      <w:bookmarkEnd w:id="147"/>
    </w:p>
    <w:p w14:paraId="625F6A3E" w14:textId="5B12DA9F" w:rsidR="00023489" w:rsidRDefault="00023489" w:rsidP="00A53770">
      <w:pPr>
        <w:spacing w:line="360" w:lineRule="auto"/>
        <w:ind w:firstLine="720"/>
        <w:jc w:val="both"/>
      </w:pPr>
      <w:r>
        <w:t>SPSS, version 28, was used to analyse all data once downloaded</w:t>
      </w:r>
      <w:r w:rsidR="00EC5718">
        <w:t xml:space="preserve"> from Qualtrics survey software.</w:t>
      </w:r>
    </w:p>
    <w:p w14:paraId="017BB20E" w14:textId="77777777" w:rsidR="00023489" w:rsidRPr="007E557F" w:rsidRDefault="00023489" w:rsidP="00A53770">
      <w:pPr>
        <w:pStyle w:val="Heading2"/>
      </w:pPr>
      <w:bookmarkStart w:id="148" w:name="_Toc133487823"/>
      <w:r w:rsidRPr="007E557F">
        <w:t>Statistical Assumptions</w:t>
      </w:r>
      <w:bookmarkEnd w:id="148"/>
    </w:p>
    <w:p w14:paraId="016A7B49" w14:textId="77777777" w:rsidR="00023489" w:rsidRDefault="00023489" w:rsidP="00A53770">
      <w:pPr>
        <w:spacing w:line="360" w:lineRule="auto"/>
        <w:ind w:firstLine="720"/>
        <w:jc w:val="both"/>
      </w:pPr>
      <w:r>
        <w:t xml:space="preserve">Prior to analyses, all variables were checked for parametric and regression assumptions. </w:t>
      </w:r>
    </w:p>
    <w:p w14:paraId="6D085BD6" w14:textId="17409099" w:rsidR="00023489" w:rsidRDefault="00023489" w:rsidP="00A53770">
      <w:pPr>
        <w:spacing w:line="360" w:lineRule="auto"/>
        <w:ind w:firstLine="720"/>
        <w:jc w:val="both"/>
      </w:pPr>
      <w:r>
        <w:lastRenderedPageBreak/>
        <w:t>Parametric between-groups tests require that assumptions of normality and homogeneity of variance are met. Kolmogorov-Smirnov tests and histogram inspection showed that the measure of IU was normally distributed (Appendix J). Non-significant Levene’s tests demonstrated equal variance for this variable (Append</w:t>
      </w:r>
      <w:r w:rsidR="004665F2">
        <w:t xml:space="preserve">ix K). IU between </w:t>
      </w:r>
      <w:r>
        <w:t>groups was therefore compared with parametric independent t-tests. Somatisation, AS, anxiety, and depression were not normally distributed, therefore these comparisons were conducted with non-parametric Mann-Whitney U tests. All between group tests were two-tailed. Corrections were considered due to concerns regarding type-1 error rate inflation from running multiple between-group compariso</w:t>
      </w:r>
      <w:r w:rsidR="00751574">
        <w:t xml:space="preserve">ns. Due to the non-significant difference in outcomes </w:t>
      </w:r>
      <w:r>
        <w:t>of all comparisons, corrections were not deemed necessary (Field, 2018).</w:t>
      </w:r>
    </w:p>
    <w:p w14:paraId="0E5EF98D" w14:textId="77777777" w:rsidR="00EC2CEA" w:rsidRDefault="00751574" w:rsidP="00A53770">
      <w:pPr>
        <w:spacing w:line="360" w:lineRule="auto"/>
        <w:ind w:firstLine="720"/>
        <w:jc w:val="both"/>
      </w:pPr>
      <w:r>
        <w:t xml:space="preserve">Demographic data was compared between PWE and PWDS to assess for differences between groups. Chi-square tests were used to compare categorical data and Mann-Whitney U tests were used to compare non-normally distributed ordinal data. </w:t>
      </w:r>
    </w:p>
    <w:p w14:paraId="74B80E8B" w14:textId="43076949" w:rsidR="00023489" w:rsidRDefault="00023489" w:rsidP="00A53770">
      <w:pPr>
        <w:spacing w:line="360" w:lineRule="auto"/>
        <w:ind w:firstLine="720"/>
        <w:jc w:val="both"/>
      </w:pPr>
      <w:r>
        <w:t xml:space="preserve">Due to non-normal data, correlations were assessed using non-parametric Spearman’s Rho correlations. </w:t>
      </w:r>
    </w:p>
    <w:p w14:paraId="5412EE72" w14:textId="47345CB7" w:rsidR="00023489" w:rsidRDefault="004665F2" w:rsidP="004665F2">
      <w:pPr>
        <w:pStyle w:val="NoSpacing"/>
        <w:spacing w:line="360" w:lineRule="auto"/>
        <w:ind w:firstLine="720"/>
      </w:pPr>
      <w:r>
        <w:t xml:space="preserve">Regression </w:t>
      </w:r>
      <w:r w:rsidR="00023489">
        <w:t xml:space="preserve">assumptions of normally distributed errors, non-multicollinearity, homoscedasticity, linearity, independent errors, and influence of outliers were assessed for each dependent variable (somatisation and seizure frequency). High levels of correlation were found between IU and AS, AS and anxiety, and anxiety and depression, however all Variance Inflation Factor (VIF) results were under 10 and tolerance statistics were greater than 0.1 and therefore did not indicate problematic multi-collinearity </w:t>
      </w:r>
      <w:r w:rsidR="00023489" w:rsidRPr="00BE6DE7">
        <w:t>(Tabachnick &amp; Fidell, 2013</w:t>
      </w:r>
      <w:r w:rsidR="00EC5718">
        <w:t>, Appendix L</w:t>
      </w:r>
      <w:r w:rsidR="00023489" w:rsidRPr="00BE6DE7">
        <w:t>)</w:t>
      </w:r>
      <w:r w:rsidR="00023489">
        <w:t>. For the model predicting somatisation, all assumptions were met, however histogram inspection suggested an outlier with a problematic standardised residual outcome (-3.23, Appendix L</w:t>
      </w:r>
      <w:r w:rsidR="008B3232">
        <w:t xml:space="preserve"> and N</w:t>
      </w:r>
      <w:r w:rsidR="00023489">
        <w:t xml:space="preserve">). </w:t>
      </w:r>
      <w:r w:rsidR="002C06B3">
        <w:t>B</w:t>
      </w:r>
      <w:r w:rsidR="00023489">
        <w:t>ootstrapping was used to control for its potential influence on normality</w:t>
      </w:r>
      <w:r w:rsidR="000F0C18">
        <w:t xml:space="preserve"> and the lack of difference between bootstrapped and non-bootstrapped confidence intervals suggested that the outlier did not influence the model (Field, 2018)</w:t>
      </w:r>
      <w:r w:rsidR="00023489">
        <w:t>. Bootstrapping is robust to violations of assumptions of normality and homoscedasticity through estimating the sample distribution from the study data, rather than assuming normal distribution (Field, 2018).</w:t>
      </w:r>
    </w:p>
    <w:p w14:paraId="7552604E" w14:textId="11A34929" w:rsidR="00023489" w:rsidRDefault="00023489" w:rsidP="00A53770">
      <w:pPr>
        <w:spacing w:line="360" w:lineRule="auto"/>
        <w:ind w:firstLine="720"/>
        <w:jc w:val="both"/>
      </w:pPr>
      <w:r>
        <w:t>Checks of regression assumptions for the model with seizure frequency as the dependent variable highlighted a number of potential violations of regression assumptions. Inspection of histograms and Kolmogorov-Smirnov tests showed that seizure frequency was highly no</w:t>
      </w:r>
      <w:r w:rsidR="00272767">
        <w:t>n-normal with</w:t>
      </w:r>
      <w:r>
        <w:t xml:space="preserve"> two distinct outliers</w:t>
      </w:r>
      <w:r w:rsidR="00272767">
        <w:t xml:space="preserve"> with problematic standardized residuals</w:t>
      </w:r>
      <w:r>
        <w:t xml:space="preserve"> (Appendix J</w:t>
      </w:r>
      <w:r w:rsidR="00424F88">
        <w:t xml:space="preserve"> and N</w:t>
      </w:r>
      <w:r>
        <w:t xml:space="preserve">). These outliers were not deemed to be unrepresentative of the sample population and therefore attempts were made to preserve them. Logarithmic transformation was attempted to manage non-normality, particularly </w:t>
      </w:r>
      <w:r>
        <w:lastRenderedPageBreak/>
        <w:t>extreme positive skew and kurtosis (Field, 2018). Following log transformation, both with and without removal of outliers, non-normality of residuals continued to be problematic when consulting histograms and normal probability plots, and removal of outliers did not lead to any predictors changing significance level when the log-transformed model was run (Appendix M). Therefore, the final regression analysis was run with untransformed data, without removing outliers, whilst using bootstrapping to be more robust against violations to normality and homoscedasticity (Field, 2018, Appendix N).</w:t>
      </w:r>
    </w:p>
    <w:p w14:paraId="744588D1" w14:textId="77777777" w:rsidR="00023489" w:rsidRPr="00FC57E6" w:rsidRDefault="00023489" w:rsidP="00A53770">
      <w:pPr>
        <w:pStyle w:val="Heading2"/>
      </w:pPr>
      <w:bookmarkStart w:id="149" w:name="_Toc133487824"/>
      <w:r w:rsidRPr="00FC57E6">
        <w:t xml:space="preserve">Power </w:t>
      </w:r>
      <w:r>
        <w:t>A</w:t>
      </w:r>
      <w:r w:rsidRPr="00FC57E6">
        <w:t>nalysis</w:t>
      </w:r>
      <w:bookmarkEnd w:id="149"/>
    </w:p>
    <w:p w14:paraId="2A9EBD20" w14:textId="5A411012" w:rsidR="00023489" w:rsidRDefault="00023489" w:rsidP="00A53770">
      <w:pPr>
        <w:spacing w:line="360" w:lineRule="auto"/>
        <w:ind w:firstLine="720"/>
        <w:jc w:val="both"/>
      </w:pPr>
      <w:r w:rsidRPr="00FC57E6">
        <w:t>The power calculati</w:t>
      </w:r>
      <w:r>
        <w:t xml:space="preserve">on is based on a similar study </w:t>
      </w:r>
      <w:r w:rsidRPr="00FC57E6">
        <w:t>that reported a large effect size</w:t>
      </w:r>
      <w:r>
        <w:t xml:space="preserve"> (</w:t>
      </w:r>
      <w:r w:rsidRPr="00FC57E6">
        <w:t>Whitfield, et al., 2020). Based on the G*Power calculation for a multiple regression with five predictors</w:t>
      </w:r>
      <w:r>
        <w:t xml:space="preserve"> (IU, AS, anxiety, depression, and diagnosis</w:t>
      </w:r>
      <w:r w:rsidR="00EC2CEA">
        <w:t xml:space="preserve"> of epilepsy or DS</w:t>
      </w:r>
      <w:r>
        <w:t xml:space="preserve">) </w:t>
      </w:r>
      <w:r w:rsidRPr="00FC57E6">
        <w:t xml:space="preserve">for a large effect size (0.35), power set at 0.8 and alpha at 0.5, a minimum of 43 participants </w:t>
      </w:r>
      <w:r>
        <w:t xml:space="preserve">were needed </w:t>
      </w:r>
      <w:r w:rsidRPr="00FC57E6">
        <w:t>(Faul, et al., 2009).</w:t>
      </w:r>
    </w:p>
    <w:p w14:paraId="26CA5090" w14:textId="77777777" w:rsidR="00023489" w:rsidRDefault="00023489" w:rsidP="00A53770">
      <w:pPr>
        <w:pStyle w:val="Heading2"/>
      </w:pPr>
      <w:bookmarkStart w:id="150" w:name="_Toc133487825"/>
      <w:r>
        <w:t>Data Screening</w:t>
      </w:r>
      <w:bookmarkEnd w:id="150"/>
    </w:p>
    <w:p w14:paraId="3A817948" w14:textId="77777777" w:rsidR="00023489" w:rsidRPr="00F76EB6" w:rsidRDefault="00023489" w:rsidP="00A53770">
      <w:pPr>
        <w:spacing w:line="360" w:lineRule="auto"/>
        <w:ind w:firstLine="720"/>
        <w:jc w:val="both"/>
      </w:pPr>
      <w:r>
        <w:t>Of the total</w:t>
      </w:r>
      <w:r w:rsidRPr="0053280F">
        <w:t xml:space="preserve"> 118</w:t>
      </w:r>
      <w:r>
        <w:t xml:space="preserve"> people who began the survey, 26 withdrew from the study before finishing and their data was not included, in line with guidance about withdrawal in the participant information sheet and consent form (Appendices E and F). Two participants did not meet inclusion criteria and so their data was deleted. This left 90</w:t>
      </w:r>
      <w:r w:rsidRPr="0053280F">
        <w:t xml:space="preserve"> participants for </w:t>
      </w:r>
      <w:r>
        <w:t xml:space="preserve">overall </w:t>
      </w:r>
      <w:r w:rsidRPr="0053280F">
        <w:t>analysis</w:t>
      </w:r>
      <w:r>
        <w:t xml:space="preserve">. Seizure number data was the only variable to include missing data because four participants provided unrelated answers. This was 4.44% of seizure number data and 0.635% of all values. A non-significant Little’s test showed that data was Missing Completely at Random (MCAR), (Chi-Square = 11.249, DF = 6, p = .081). With missing values being MCAR, only in one variable, and with sufficient numbers for regression analysis, missing cases were deleted pairwise </w:t>
      </w:r>
      <w:r w:rsidRPr="0027440E">
        <w:t>(Tabachnick &amp; Fidell, 2013)</w:t>
      </w:r>
      <w:r>
        <w:t xml:space="preserve">. This meant that for correlation and regression analysis of seizure number, only 86 (41 epilepsy, 45 DS) participants’ data were included. </w:t>
      </w:r>
    </w:p>
    <w:p w14:paraId="349DA7FF" w14:textId="4EBF86D4" w:rsidR="00EC5718" w:rsidRDefault="00023489" w:rsidP="00EC5718">
      <w:pPr>
        <w:spacing w:line="360" w:lineRule="auto"/>
        <w:ind w:firstLine="720"/>
        <w:jc w:val="both"/>
      </w:pPr>
      <w:r>
        <w:t xml:space="preserve">The means, standard deviations, and ranges for IU, AS, anxiety, depression, somatisation, seizure frequency, and diagnosis are provided in Table </w:t>
      </w:r>
      <w:r w:rsidR="00EC2CEA">
        <w:t>2</w:t>
      </w:r>
      <w:r>
        <w:t xml:space="preserve">. </w:t>
      </w:r>
    </w:p>
    <w:p w14:paraId="1F46458E" w14:textId="77777777" w:rsidR="00EC5718" w:rsidRDefault="00EC5718">
      <w:pPr>
        <w:rPr>
          <w:rFonts w:asciiTheme="majorHAnsi" w:eastAsiaTheme="majorEastAsia" w:hAnsiTheme="majorHAnsi" w:cstheme="majorBidi"/>
          <w:b/>
          <w:szCs w:val="26"/>
        </w:rPr>
      </w:pPr>
      <w:r>
        <w:br w:type="page"/>
      </w:r>
    </w:p>
    <w:p w14:paraId="6002A79A" w14:textId="3CF85E4B" w:rsidR="00023489" w:rsidRDefault="00023489" w:rsidP="00A53770">
      <w:pPr>
        <w:pStyle w:val="Heading2"/>
      </w:pPr>
      <w:bookmarkStart w:id="151" w:name="_Toc133487826"/>
      <w:r w:rsidRPr="00854467">
        <w:lastRenderedPageBreak/>
        <w:t>Table</w:t>
      </w:r>
      <w:r w:rsidR="00A53770">
        <w:t xml:space="preserve"> 2</w:t>
      </w:r>
      <w:bookmarkEnd w:id="151"/>
    </w:p>
    <w:p w14:paraId="60E4AA2A" w14:textId="77777777" w:rsidR="00023489" w:rsidRPr="004E63DF" w:rsidRDefault="00023489" w:rsidP="00A53770">
      <w:pPr>
        <w:spacing w:line="360" w:lineRule="auto"/>
        <w:rPr>
          <w:i/>
        </w:rPr>
      </w:pPr>
      <w:r>
        <w:rPr>
          <w:i/>
        </w:rPr>
        <w:t>Combined outcomes for analysis measures showing means, standard deviations, and ranges</w:t>
      </w:r>
      <w:r w:rsidRPr="004E63DF">
        <w:rPr>
          <w:i/>
        </w:rPr>
        <w:t xml:space="preserve"> (n = 90)</w:t>
      </w:r>
    </w:p>
    <w:tbl>
      <w:tblPr>
        <w:tblW w:w="5000" w:type="pct"/>
        <w:tblLook w:val="04A0" w:firstRow="1" w:lastRow="0" w:firstColumn="1" w:lastColumn="0" w:noHBand="0" w:noVBand="1"/>
      </w:tblPr>
      <w:tblGrid>
        <w:gridCol w:w="3831"/>
        <w:gridCol w:w="1731"/>
        <w:gridCol w:w="1731"/>
        <w:gridCol w:w="1733"/>
      </w:tblGrid>
      <w:tr w:rsidR="00023489" w:rsidRPr="00EE1660" w14:paraId="6F7BA561" w14:textId="77777777" w:rsidTr="00023489">
        <w:trPr>
          <w:trHeight w:val="506"/>
        </w:trPr>
        <w:tc>
          <w:tcPr>
            <w:tcW w:w="2122" w:type="pct"/>
            <w:tcBorders>
              <w:top w:val="single" w:sz="4" w:space="0" w:color="auto"/>
              <w:bottom w:val="single" w:sz="4" w:space="0" w:color="auto"/>
            </w:tcBorders>
            <w:vAlign w:val="center"/>
          </w:tcPr>
          <w:p w14:paraId="3F610AB0" w14:textId="77777777" w:rsidR="00023489" w:rsidRPr="00EE1660" w:rsidRDefault="00023489" w:rsidP="00023489">
            <w:pPr>
              <w:tabs>
                <w:tab w:val="left" w:pos="1134"/>
              </w:tabs>
              <w:jc w:val="center"/>
              <w:rPr>
                <w:rFonts w:cs="Arial"/>
                <w:szCs w:val="24"/>
              </w:rPr>
            </w:pPr>
          </w:p>
        </w:tc>
        <w:tc>
          <w:tcPr>
            <w:tcW w:w="959" w:type="pct"/>
            <w:tcBorders>
              <w:top w:val="single" w:sz="4" w:space="0" w:color="auto"/>
              <w:bottom w:val="single" w:sz="4" w:space="0" w:color="auto"/>
            </w:tcBorders>
            <w:vAlign w:val="center"/>
          </w:tcPr>
          <w:p w14:paraId="08E3DE54" w14:textId="77777777" w:rsidR="00023489" w:rsidRPr="00EE1660" w:rsidRDefault="00023489" w:rsidP="00023489">
            <w:pPr>
              <w:tabs>
                <w:tab w:val="left" w:pos="1134"/>
              </w:tabs>
              <w:jc w:val="center"/>
              <w:rPr>
                <w:rFonts w:cs="Arial"/>
                <w:b/>
                <w:bCs/>
                <w:szCs w:val="24"/>
              </w:rPr>
            </w:pPr>
            <w:r w:rsidRPr="00EE1660">
              <w:rPr>
                <w:rFonts w:cs="Arial"/>
                <w:b/>
                <w:bCs/>
                <w:szCs w:val="24"/>
              </w:rPr>
              <w:t>M</w:t>
            </w:r>
          </w:p>
        </w:tc>
        <w:tc>
          <w:tcPr>
            <w:tcW w:w="959" w:type="pct"/>
            <w:tcBorders>
              <w:top w:val="single" w:sz="4" w:space="0" w:color="auto"/>
              <w:bottom w:val="single" w:sz="4" w:space="0" w:color="auto"/>
            </w:tcBorders>
            <w:vAlign w:val="center"/>
          </w:tcPr>
          <w:p w14:paraId="28D4EE92" w14:textId="77777777" w:rsidR="00023489" w:rsidRPr="00EE1660" w:rsidRDefault="00023489" w:rsidP="00023489">
            <w:pPr>
              <w:tabs>
                <w:tab w:val="left" w:pos="1134"/>
              </w:tabs>
              <w:jc w:val="center"/>
              <w:rPr>
                <w:rFonts w:cs="Arial"/>
                <w:b/>
                <w:bCs/>
                <w:szCs w:val="24"/>
              </w:rPr>
            </w:pPr>
            <w:r w:rsidRPr="00EE1660">
              <w:rPr>
                <w:rFonts w:cs="Arial"/>
                <w:b/>
                <w:bCs/>
                <w:szCs w:val="24"/>
              </w:rPr>
              <w:t>SD</w:t>
            </w:r>
          </w:p>
        </w:tc>
        <w:tc>
          <w:tcPr>
            <w:tcW w:w="960" w:type="pct"/>
            <w:tcBorders>
              <w:top w:val="single" w:sz="4" w:space="0" w:color="auto"/>
              <w:bottom w:val="single" w:sz="4" w:space="0" w:color="auto"/>
            </w:tcBorders>
            <w:vAlign w:val="center"/>
          </w:tcPr>
          <w:p w14:paraId="0BD11768" w14:textId="77777777" w:rsidR="00023489" w:rsidRPr="00EE1660" w:rsidRDefault="00023489" w:rsidP="00023489">
            <w:pPr>
              <w:tabs>
                <w:tab w:val="left" w:pos="1134"/>
              </w:tabs>
              <w:jc w:val="center"/>
              <w:rPr>
                <w:rFonts w:cs="Arial"/>
                <w:b/>
                <w:bCs/>
                <w:szCs w:val="24"/>
              </w:rPr>
            </w:pPr>
            <w:r w:rsidRPr="00EE1660">
              <w:rPr>
                <w:rFonts w:cs="Arial"/>
                <w:b/>
                <w:bCs/>
                <w:szCs w:val="24"/>
              </w:rPr>
              <w:t>Range</w:t>
            </w:r>
          </w:p>
        </w:tc>
      </w:tr>
      <w:tr w:rsidR="00023489" w:rsidRPr="00EE1660" w14:paraId="75E303AA" w14:textId="77777777" w:rsidTr="00023489">
        <w:trPr>
          <w:trHeight w:val="506"/>
        </w:trPr>
        <w:tc>
          <w:tcPr>
            <w:tcW w:w="2122" w:type="pct"/>
            <w:tcBorders>
              <w:top w:val="single" w:sz="4" w:space="0" w:color="auto"/>
            </w:tcBorders>
            <w:vAlign w:val="center"/>
          </w:tcPr>
          <w:p w14:paraId="758467B5" w14:textId="77777777" w:rsidR="00023489" w:rsidRPr="00EE1660" w:rsidRDefault="00023489" w:rsidP="00023489">
            <w:pPr>
              <w:tabs>
                <w:tab w:val="left" w:pos="1134"/>
              </w:tabs>
              <w:rPr>
                <w:rFonts w:cs="Arial"/>
                <w:b/>
                <w:bCs/>
                <w:szCs w:val="24"/>
              </w:rPr>
            </w:pPr>
            <w:r>
              <w:rPr>
                <w:rFonts w:cs="Arial"/>
                <w:b/>
                <w:bCs/>
                <w:szCs w:val="24"/>
              </w:rPr>
              <w:t>Intolerance of Uncertainty (IUS-12)</w:t>
            </w:r>
          </w:p>
        </w:tc>
        <w:tc>
          <w:tcPr>
            <w:tcW w:w="959" w:type="pct"/>
            <w:tcBorders>
              <w:top w:val="single" w:sz="4" w:space="0" w:color="auto"/>
            </w:tcBorders>
            <w:vAlign w:val="center"/>
          </w:tcPr>
          <w:p w14:paraId="738B7320" w14:textId="77777777" w:rsidR="00023489" w:rsidRPr="00EE1660" w:rsidRDefault="00023489" w:rsidP="00023489">
            <w:pPr>
              <w:tabs>
                <w:tab w:val="left" w:pos="1134"/>
              </w:tabs>
              <w:jc w:val="center"/>
              <w:rPr>
                <w:rFonts w:cs="Arial"/>
                <w:szCs w:val="24"/>
              </w:rPr>
            </w:pPr>
            <w:r>
              <w:rPr>
                <w:rFonts w:cs="Arial"/>
                <w:szCs w:val="24"/>
              </w:rPr>
              <w:t>38.23</w:t>
            </w:r>
          </w:p>
        </w:tc>
        <w:tc>
          <w:tcPr>
            <w:tcW w:w="959" w:type="pct"/>
            <w:tcBorders>
              <w:top w:val="single" w:sz="4" w:space="0" w:color="auto"/>
            </w:tcBorders>
            <w:vAlign w:val="center"/>
          </w:tcPr>
          <w:p w14:paraId="47CC93E0" w14:textId="77777777" w:rsidR="00023489" w:rsidRPr="00EE1660" w:rsidRDefault="00023489" w:rsidP="00023489">
            <w:pPr>
              <w:tabs>
                <w:tab w:val="left" w:pos="1134"/>
              </w:tabs>
              <w:jc w:val="center"/>
              <w:rPr>
                <w:rFonts w:cs="Arial"/>
                <w:szCs w:val="24"/>
              </w:rPr>
            </w:pPr>
            <w:r>
              <w:rPr>
                <w:rFonts w:cs="Arial"/>
                <w:szCs w:val="24"/>
              </w:rPr>
              <w:t>12.42</w:t>
            </w:r>
          </w:p>
        </w:tc>
        <w:tc>
          <w:tcPr>
            <w:tcW w:w="960" w:type="pct"/>
            <w:tcBorders>
              <w:top w:val="single" w:sz="4" w:space="0" w:color="auto"/>
            </w:tcBorders>
            <w:vAlign w:val="center"/>
          </w:tcPr>
          <w:p w14:paraId="0E51DEF5" w14:textId="77777777" w:rsidR="00023489" w:rsidRPr="00EE1660" w:rsidRDefault="00023489" w:rsidP="00023489">
            <w:pPr>
              <w:tabs>
                <w:tab w:val="left" w:pos="1134"/>
              </w:tabs>
              <w:jc w:val="center"/>
              <w:rPr>
                <w:rFonts w:cs="Arial"/>
                <w:szCs w:val="24"/>
              </w:rPr>
            </w:pPr>
            <w:r>
              <w:rPr>
                <w:rFonts w:cs="Arial"/>
                <w:szCs w:val="24"/>
              </w:rPr>
              <w:t>12-60</w:t>
            </w:r>
          </w:p>
        </w:tc>
      </w:tr>
      <w:tr w:rsidR="00023489" w:rsidRPr="00EE1660" w14:paraId="56442A13" w14:textId="77777777" w:rsidTr="00023489">
        <w:trPr>
          <w:trHeight w:val="506"/>
        </w:trPr>
        <w:tc>
          <w:tcPr>
            <w:tcW w:w="2122" w:type="pct"/>
            <w:vAlign w:val="center"/>
          </w:tcPr>
          <w:p w14:paraId="21108679" w14:textId="77777777" w:rsidR="00023489" w:rsidRPr="00EE1660" w:rsidRDefault="00023489" w:rsidP="00023489">
            <w:pPr>
              <w:tabs>
                <w:tab w:val="left" w:pos="1134"/>
              </w:tabs>
              <w:rPr>
                <w:rFonts w:cs="Arial"/>
                <w:b/>
                <w:bCs/>
                <w:szCs w:val="24"/>
              </w:rPr>
            </w:pPr>
            <w:r>
              <w:rPr>
                <w:rFonts w:cs="Arial"/>
                <w:b/>
                <w:bCs/>
                <w:szCs w:val="24"/>
              </w:rPr>
              <w:t>Anxiety Sensitivity (ASI-3)</w:t>
            </w:r>
          </w:p>
        </w:tc>
        <w:tc>
          <w:tcPr>
            <w:tcW w:w="959" w:type="pct"/>
            <w:vAlign w:val="center"/>
          </w:tcPr>
          <w:p w14:paraId="12039139" w14:textId="77777777" w:rsidR="00023489" w:rsidRPr="00EE1660" w:rsidRDefault="00023489" w:rsidP="00023489">
            <w:pPr>
              <w:tabs>
                <w:tab w:val="left" w:pos="1134"/>
              </w:tabs>
              <w:jc w:val="center"/>
              <w:rPr>
                <w:rFonts w:cs="Arial"/>
                <w:szCs w:val="24"/>
              </w:rPr>
            </w:pPr>
            <w:r>
              <w:rPr>
                <w:rFonts w:cs="Arial"/>
                <w:szCs w:val="24"/>
              </w:rPr>
              <w:t>29.44</w:t>
            </w:r>
          </w:p>
        </w:tc>
        <w:tc>
          <w:tcPr>
            <w:tcW w:w="959" w:type="pct"/>
            <w:vAlign w:val="center"/>
          </w:tcPr>
          <w:p w14:paraId="2DE6F334" w14:textId="77777777" w:rsidR="00023489" w:rsidRPr="00EE1660" w:rsidRDefault="00023489" w:rsidP="00023489">
            <w:pPr>
              <w:tabs>
                <w:tab w:val="left" w:pos="1134"/>
              </w:tabs>
              <w:jc w:val="center"/>
              <w:rPr>
                <w:rFonts w:cs="Arial"/>
                <w:szCs w:val="24"/>
              </w:rPr>
            </w:pPr>
            <w:r>
              <w:rPr>
                <w:rFonts w:cs="Arial"/>
                <w:szCs w:val="24"/>
              </w:rPr>
              <w:t>18.82</w:t>
            </w:r>
          </w:p>
        </w:tc>
        <w:tc>
          <w:tcPr>
            <w:tcW w:w="960" w:type="pct"/>
            <w:vAlign w:val="center"/>
          </w:tcPr>
          <w:p w14:paraId="100CCDE9" w14:textId="77777777" w:rsidR="00023489" w:rsidRPr="00EE1660" w:rsidRDefault="00023489" w:rsidP="00023489">
            <w:pPr>
              <w:tabs>
                <w:tab w:val="left" w:pos="1134"/>
              </w:tabs>
              <w:jc w:val="center"/>
              <w:rPr>
                <w:rFonts w:cs="Arial"/>
                <w:szCs w:val="24"/>
              </w:rPr>
            </w:pPr>
            <w:r>
              <w:rPr>
                <w:rFonts w:cs="Arial"/>
                <w:szCs w:val="24"/>
              </w:rPr>
              <w:t>0-71</w:t>
            </w:r>
          </w:p>
        </w:tc>
      </w:tr>
      <w:tr w:rsidR="00023489" w:rsidRPr="00EE1660" w14:paraId="5E824008" w14:textId="77777777" w:rsidTr="00023489">
        <w:trPr>
          <w:trHeight w:val="506"/>
        </w:trPr>
        <w:tc>
          <w:tcPr>
            <w:tcW w:w="2122" w:type="pct"/>
            <w:vAlign w:val="center"/>
          </w:tcPr>
          <w:p w14:paraId="100F1138" w14:textId="77777777" w:rsidR="00023489" w:rsidRPr="00EE1660" w:rsidRDefault="00023489" w:rsidP="00023489">
            <w:pPr>
              <w:tabs>
                <w:tab w:val="left" w:pos="1134"/>
              </w:tabs>
              <w:rPr>
                <w:rFonts w:cs="Arial"/>
                <w:b/>
                <w:bCs/>
                <w:szCs w:val="24"/>
              </w:rPr>
            </w:pPr>
            <w:r>
              <w:rPr>
                <w:rFonts w:cs="Arial"/>
                <w:b/>
                <w:bCs/>
                <w:szCs w:val="24"/>
              </w:rPr>
              <w:t>Anxiety (GAD-7)</w:t>
            </w:r>
          </w:p>
        </w:tc>
        <w:tc>
          <w:tcPr>
            <w:tcW w:w="959" w:type="pct"/>
            <w:vAlign w:val="center"/>
          </w:tcPr>
          <w:p w14:paraId="2D143D8E" w14:textId="77777777" w:rsidR="00023489" w:rsidRPr="00EE1660" w:rsidRDefault="00023489" w:rsidP="00023489">
            <w:pPr>
              <w:tabs>
                <w:tab w:val="left" w:pos="1134"/>
              </w:tabs>
              <w:jc w:val="center"/>
              <w:rPr>
                <w:rFonts w:cs="Arial"/>
                <w:szCs w:val="24"/>
              </w:rPr>
            </w:pPr>
            <w:r>
              <w:rPr>
                <w:rFonts w:cs="Arial"/>
                <w:szCs w:val="24"/>
              </w:rPr>
              <w:t>11.21</w:t>
            </w:r>
          </w:p>
        </w:tc>
        <w:tc>
          <w:tcPr>
            <w:tcW w:w="959" w:type="pct"/>
            <w:vAlign w:val="center"/>
          </w:tcPr>
          <w:p w14:paraId="7C8A2A81" w14:textId="77777777" w:rsidR="00023489" w:rsidRPr="00EE1660" w:rsidRDefault="00023489" w:rsidP="00023489">
            <w:pPr>
              <w:tabs>
                <w:tab w:val="left" w:pos="1134"/>
              </w:tabs>
              <w:jc w:val="center"/>
              <w:rPr>
                <w:rFonts w:cs="Arial"/>
                <w:szCs w:val="24"/>
              </w:rPr>
            </w:pPr>
            <w:r>
              <w:rPr>
                <w:rFonts w:cs="Arial"/>
                <w:szCs w:val="24"/>
              </w:rPr>
              <w:t>6.74</w:t>
            </w:r>
          </w:p>
        </w:tc>
        <w:tc>
          <w:tcPr>
            <w:tcW w:w="960" w:type="pct"/>
            <w:vAlign w:val="center"/>
          </w:tcPr>
          <w:p w14:paraId="5B8D805C" w14:textId="77777777" w:rsidR="00023489" w:rsidRPr="00EE1660" w:rsidRDefault="00023489" w:rsidP="00023489">
            <w:pPr>
              <w:tabs>
                <w:tab w:val="left" w:pos="1134"/>
              </w:tabs>
              <w:jc w:val="center"/>
              <w:rPr>
                <w:rFonts w:cs="Arial"/>
                <w:szCs w:val="24"/>
              </w:rPr>
            </w:pPr>
            <w:r>
              <w:rPr>
                <w:rFonts w:cs="Arial"/>
                <w:szCs w:val="24"/>
              </w:rPr>
              <w:t>0-21</w:t>
            </w:r>
          </w:p>
        </w:tc>
      </w:tr>
      <w:tr w:rsidR="00023489" w:rsidRPr="00EE1660" w14:paraId="01AA2A1C" w14:textId="77777777" w:rsidTr="00023489">
        <w:trPr>
          <w:trHeight w:val="506"/>
        </w:trPr>
        <w:tc>
          <w:tcPr>
            <w:tcW w:w="2122" w:type="pct"/>
            <w:vAlign w:val="center"/>
          </w:tcPr>
          <w:p w14:paraId="45DF615A" w14:textId="77777777" w:rsidR="00023489" w:rsidRPr="00EE1660" w:rsidRDefault="00023489" w:rsidP="00023489">
            <w:pPr>
              <w:tabs>
                <w:tab w:val="left" w:pos="1134"/>
              </w:tabs>
              <w:rPr>
                <w:rFonts w:cs="Arial"/>
                <w:b/>
                <w:bCs/>
                <w:szCs w:val="24"/>
              </w:rPr>
            </w:pPr>
            <w:r>
              <w:rPr>
                <w:rFonts w:cs="Arial"/>
                <w:b/>
                <w:bCs/>
                <w:szCs w:val="24"/>
              </w:rPr>
              <w:t>Depression (PHQ-9)</w:t>
            </w:r>
          </w:p>
        </w:tc>
        <w:tc>
          <w:tcPr>
            <w:tcW w:w="959" w:type="pct"/>
            <w:vAlign w:val="center"/>
          </w:tcPr>
          <w:p w14:paraId="25A6897F" w14:textId="77777777" w:rsidR="00023489" w:rsidRPr="00EE1660" w:rsidRDefault="00023489" w:rsidP="00023489">
            <w:pPr>
              <w:tabs>
                <w:tab w:val="left" w:pos="1134"/>
              </w:tabs>
              <w:jc w:val="center"/>
              <w:rPr>
                <w:rFonts w:cs="Arial"/>
                <w:szCs w:val="24"/>
              </w:rPr>
            </w:pPr>
            <w:r>
              <w:rPr>
                <w:rFonts w:cs="Arial"/>
                <w:szCs w:val="24"/>
              </w:rPr>
              <w:t>14.49</w:t>
            </w:r>
          </w:p>
        </w:tc>
        <w:tc>
          <w:tcPr>
            <w:tcW w:w="959" w:type="pct"/>
            <w:vAlign w:val="center"/>
          </w:tcPr>
          <w:p w14:paraId="00F591C6" w14:textId="77777777" w:rsidR="00023489" w:rsidRPr="00EE1660" w:rsidRDefault="00023489" w:rsidP="00023489">
            <w:pPr>
              <w:tabs>
                <w:tab w:val="left" w:pos="1134"/>
              </w:tabs>
              <w:jc w:val="center"/>
              <w:rPr>
                <w:rFonts w:cs="Arial"/>
                <w:szCs w:val="24"/>
              </w:rPr>
            </w:pPr>
            <w:r>
              <w:rPr>
                <w:rFonts w:cs="Arial"/>
                <w:szCs w:val="24"/>
              </w:rPr>
              <w:t>7.65</w:t>
            </w:r>
          </w:p>
        </w:tc>
        <w:tc>
          <w:tcPr>
            <w:tcW w:w="960" w:type="pct"/>
            <w:vAlign w:val="center"/>
          </w:tcPr>
          <w:p w14:paraId="67E61B17" w14:textId="77777777" w:rsidR="00023489" w:rsidRPr="00EE1660" w:rsidRDefault="00023489" w:rsidP="00023489">
            <w:pPr>
              <w:tabs>
                <w:tab w:val="left" w:pos="1134"/>
              </w:tabs>
              <w:jc w:val="center"/>
              <w:rPr>
                <w:rFonts w:cs="Arial"/>
                <w:szCs w:val="24"/>
              </w:rPr>
            </w:pPr>
            <w:r>
              <w:rPr>
                <w:rFonts w:cs="Arial"/>
                <w:szCs w:val="24"/>
              </w:rPr>
              <w:t>0-</w:t>
            </w:r>
            <w:r w:rsidRPr="00EE1660">
              <w:rPr>
                <w:rFonts w:cs="Arial"/>
                <w:szCs w:val="24"/>
              </w:rPr>
              <w:t>2</w:t>
            </w:r>
            <w:r>
              <w:rPr>
                <w:rFonts w:cs="Arial"/>
                <w:szCs w:val="24"/>
              </w:rPr>
              <w:t>7</w:t>
            </w:r>
          </w:p>
        </w:tc>
      </w:tr>
      <w:tr w:rsidR="00023489" w:rsidRPr="00EE1660" w14:paraId="040CB157" w14:textId="77777777" w:rsidTr="00023489">
        <w:trPr>
          <w:trHeight w:val="506"/>
        </w:trPr>
        <w:tc>
          <w:tcPr>
            <w:tcW w:w="2122" w:type="pct"/>
            <w:tcBorders>
              <w:bottom w:val="single" w:sz="4" w:space="0" w:color="auto"/>
            </w:tcBorders>
            <w:vAlign w:val="center"/>
          </w:tcPr>
          <w:p w14:paraId="781E3090" w14:textId="77777777" w:rsidR="00023489" w:rsidRDefault="00023489" w:rsidP="00023489">
            <w:pPr>
              <w:tabs>
                <w:tab w:val="left" w:pos="1134"/>
              </w:tabs>
              <w:rPr>
                <w:rFonts w:cs="Arial"/>
                <w:b/>
                <w:bCs/>
                <w:szCs w:val="24"/>
              </w:rPr>
            </w:pPr>
            <w:r>
              <w:rPr>
                <w:rFonts w:cs="Arial"/>
                <w:b/>
                <w:bCs/>
                <w:szCs w:val="24"/>
              </w:rPr>
              <w:t>Somatisation (PHQ-15)</w:t>
            </w:r>
          </w:p>
        </w:tc>
        <w:tc>
          <w:tcPr>
            <w:tcW w:w="959" w:type="pct"/>
            <w:tcBorders>
              <w:bottom w:val="single" w:sz="4" w:space="0" w:color="auto"/>
            </w:tcBorders>
            <w:vAlign w:val="center"/>
          </w:tcPr>
          <w:p w14:paraId="3939ED97" w14:textId="77777777" w:rsidR="00023489" w:rsidRPr="00EE1660" w:rsidRDefault="00023489" w:rsidP="00023489">
            <w:pPr>
              <w:tabs>
                <w:tab w:val="left" w:pos="1134"/>
              </w:tabs>
              <w:jc w:val="center"/>
              <w:rPr>
                <w:rFonts w:cs="Arial"/>
                <w:szCs w:val="24"/>
              </w:rPr>
            </w:pPr>
            <w:r>
              <w:rPr>
                <w:rFonts w:cs="Arial"/>
                <w:szCs w:val="24"/>
              </w:rPr>
              <w:t>11.67</w:t>
            </w:r>
          </w:p>
        </w:tc>
        <w:tc>
          <w:tcPr>
            <w:tcW w:w="959" w:type="pct"/>
            <w:tcBorders>
              <w:bottom w:val="single" w:sz="4" w:space="0" w:color="auto"/>
            </w:tcBorders>
            <w:vAlign w:val="center"/>
          </w:tcPr>
          <w:p w14:paraId="7E5C80CF" w14:textId="77777777" w:rsidR="00023489" w:rsidRPr="00EE1660" w:rsidRDefault="00023489" w:rsidP="00023489">
            <w:pPr>
              <w:tabs>
                <w:tab w:val="left" w:pos="1134"/>
              </w:tabs>
              <w:jc w:val="center"/>
              <w:rPr>
                <w:rFonts w:cs="Arial"/>
                <w:szCs w:val="24"/>
              </w:rPr>
            </w:pPr>
            <w:r>
              <w:rPr>
                <w:rFonts w:cs="Arial"/>
                <w:szCs w:val="24"/>
              </w:rPr>
              <w:t>6.51</w:t>
            </w:r>
          </w:p>
        </w:tc>
        <w:tc>
          <w:tcPr>
            <w:tcW w:w="960" w:type="pct"/>
            <w:tcBorders>
              <w:bottom w:val="single" w:sz="4" w:space="0" w:color="auto"/>
            </w:tcBorders>
            <w:vAlign w:val="center"/>
          </w:tcPr>
          <w:p w14:paraId="3DC685ED" w14:textId="77777777" w:rsidR="00023489" w:rsidRPr="00EE1660" w:rsidRDefault="00023489" w:rsidP="00023489">
            <w:pPr>
              <w:tabs>
                <w:tab w:val="left" w:pos="1134"/>
              </w:tabs>
              <w:jc w:val="center"/>
              <w:rPr>
                <w:rFonts w:cs="Arial"/>
                <w:szCs w:val="24"/>
              </w:rPr>
            </w:pPr>
            <w:r>
              <w:rPr>
                <w:rFonts w:cs="Arial"/>
                <w:szCs w:val="24"/>
              </w:rPr>
              <w:t>1-27</w:t>
            </w:r>
          </w:p>
        </w:tc>
      </w:tr>
    </w:tbl>
    <w:p w14:paraId="0FFB83A6" w14:textId="545AB059" w:rsidR="00A53770" w:rsidRDefault="00A53770">
      <w:pPr>
        <w:rPr>
          <w:rFonts w:eastAsiaTheme="majorEastAsia" w:cstheme="minorHAnsi"/>
          <w:b/>
        </w:rPr>
      </w:pPr>
    </w:p>
    <w:p w14:paraId="75FBFAB8" w14:textId="574F470C" w:rsidR="00023489" w:rsidRPr="00A379D0" w:rsidRDefault="00023489" w:rsidP="00027769">
      <w:pPr>
        <w:pStyle w:val="Heading1"/>
      </w:pPr>
      <w:bookmarkStart w:id="152" w:name="_Toc133487827"/>
      <w:r w:rsidRPr="00D9035D">
        <w:t>Results</w:t>
      </w:r>
      <w:bookmarkEnd w:id="152"/>
    </w:p>
    <w:p w14:paraId="5ECE53D0" w14:textId="77777777" w:rsidR="00023489" w:rsidRDefault="00023489" w:rsidP="00A53770">
      <w:pPr>
        <w:pStyle w:val="Heading2"/>
      </w:pPr>
      <w:bookmarkStart w:id="153" w:name="_Toc133487828"/>
      <w:r>
        <w:t>Descriptive Statistics to Assess Comparability of PWE and PWDS</w:t>
      </w:r>
      <w:bookmarkEnd w:id="153"/>
    </w:p>
    <w:p w14:paraId="593A44EA" w14:textId="33D36802" w:rsidR="00A53770" w:rsidRDefault="00023489" w:rsidP="00EC2CEA">
      <w:pPr>
        <w:spacing w:line="360" w:lineRule="auto"/>
        <w:ind w:firstLine="720"/>
        <w:jc w:val="both"/>
      </w:pPr>
      <w:r>
        <w:t>PWE and PWDS were compared to assess similarity across demographic categories and overall comparability of groups (Table 2). PWE had significantly longer times since diagnosis of seizure condition, more medication usage, and lower seizure frequency, which are trends found in previous research (Green et al., 2017, Tojek et al., 2000, Whitfield et al., 2020). Therefore, samples were deemed to be representative of wider populations, similar enough to allow for comparison, and no potential c</w:t>
      </w:r>
      <w:r w:rsidR="00B37FB5">
        <w:t>onfounding variables</w:t>
      </w:r>
      <w:r>
        <w:t xml:space="preserve"> were identified for regression analyses.</w:t>
      </w:r>
    </w:p>
    <w:p w14:paraId="24A63C02" w14:textId="72D2344A" w:rsidR="00E22C44" w:rsidRDefault="00E22C44" w:rsidP="00EC2CEA">
      <w:pPr>
        <w:spacing w:line="360" w:lineRule="auto"/>
        <w:ind w:firstLine="720"/>
        <w:jc w:val="both"/>
      </w:pPr>
    </w:p>
    <w:p w14:paraId="052CF88B" w14:textId="3C1C58FB" w:rsidR="00E22C44" w:rsidRDefault="00E22C44" w:rsidP="00EC2CEA">
      <w:pPr>
        <w:spacing w:line="360" w:lineRule="auto"/>
        <w:ind w:firstLine="720"/>
        <w:jc w:val="both"/>
      </w:pPr>
    </w:p>
    <w:p w14:paraId="268E650F" w14:textId="6352E616" w:rsidR="00E22C44" w:rsidRDefault="00E22C44" w:rsidP="00EC2CEA">
      <w:pPr>
        <w:spacing w:line="360" w:lineRule="auto"/>
        <w:ind w:firstLine="720"/>
        <w:jc w:val="both"/>
      </w:pPr>
    </w:p>
    <w:p w14:paraId="7E51D58C" w14:textId="24A19CB6" w:rsidR="00E22C44" w:rsidRDefault="00E22C44" w:rsidP="00EC2CEA">
      <w:pPr>
        <w:spacing w:line="360" w:lineRule="auto"/>
        <w:ind w:firstLine="720"/>
        <w:jc w:val="both"/>
      </w:pPr>
    </w:p>
    <w:p w14:paraId="6705B4BA" w14:textId="5EC10782" w:rsidR="00E22C44" w:rsidRDefault="00E22C44" w:rsidP="00EC2CEA">
      <w:pPr>
        <w:spacing w:line="360" w:lineRule="auto"/>
        <w:ind w:firstLine="720"/>
        <w:jc w:val="both"/>
      </w:pPr>
    </w:p>
    <w:p w14:paraId="2E49E52A" w14:textId="23CEBC93" w:rsidR="00E22C44" w:rsidRDefault="00E22C44" w:rsidP="00EC2CEA">
      <w:pPr>
        <w:spacing w:line="360" w:lineRule="auto"/>
        <w:ind w:firstLine="720"/>
        <w:jc w:val="both"/>
      </w:pPr>
    </w:p>
    <w:p w14:paraId="4D25115E" w14:textId="72C7667F" w:rsidR="00E22C44" w:rsidRDefault="00E22C44" w:rsidP="00EC2CEA">
      <w:pPr>
        <w:spacing w:line="360" w:lineRule="auto"/>
        <w:ind w:firstLine="720"/>
        <w:jc w:val="both"/>
      </w:pPr>
    </w:p>
    <w:p w14:paraId="66B40F25" w14:textId="6DBD49C7" w:rsidR="00E22C44" w:rsidRDefault="00E22C44" w:rsidP="00EC2CEA">
      <w:pPr>
        <w:spacing w:line="360" w:lineRule="auto"/>
        <w:ind w:firstLine="720"/>
        <w:jc w:val="both"/>
      </w:pPr>
    </w:p>
    <w:p w14:paraId="11C45733" w14:textId="658139C1" w:rsidR="00E22C44" w:rsidRDefault="00E22C44" w:rsidP="00EC2CEA">
      <w:pPr>
        <w:spacing w:line="360" w:lineRule="auto"/>
        <w:ind w:firstLine="720"/>
        <w:jc w:val="both"/>
      </w:pPr>
    </w:p>
    <w:p w14:paraId="29919122" w14:textId="7FF64079" w:rsidR="00E22C44" w:rsidRDefault="00E22C44" w:rsidP="00EC2CEA">
      <w:pPr>
        <w:spacing w:line="360" w:lineRule="auto"/>
        <w:ind w:firstLine="720"/>
        <w:jc w:val="both"/>
      </w:pPr>
    </w:p>
    <w:p w14:paraId="4B1EB73B" w14:textId="1A95F602" w:rsidR="00E22C44" w:rsidRDefault="00E22C44" w:rsidP="00EC5718">
      <w:pPr>
        <w:spacing w:line="360" w:lineRule="auto"/>
        <w:jc w:val="both"/>
        <w:rPr>
          <w:rFonts w:asciiTheme="majorHAnsi" w:eastAsiaTheme="majorEastAsia" w:hAnsiTheme="majorHAnsi" w:cstheme="majorBidi"/>
          <w:b/>
          <w:szCs w:val="26"/>
        </w:rPr>
      </w:pPr>
    </w:p>
    <w:p w14:paraId="594FDB24" w14:textId="1CF40A42" w:rsidR="00023489" w:rsidRDefault="00A53770" w:rsidP="00A53770">
      <w:pPr>
        <w:pStyle w:val="Heading2"/>
      </w:pPr>
      <w:bookmarkStart w:id="154" w:name="_Toc133487829"/>
      <w:r>
        <w:lastRenderedPageBreak/>
        <w:t>Table 3</w:t>
      </w:r>
      <w:bookmarkEnd w:id="154"/>
    </w:p>
    <w:p w14:paraId="6796D1A9" w14:textId="2F0F7C5C" w:rsidR="00023489" w:rsidRPr="00A33216" w:rsidRDefault="00023489" w:rsidP="00A53770">
      <w:pPr>
        <w:spacing w:line="360" w:lineRule="auto"/>
        <w:rPr>
          <w:b/>
        </w:rPr>
      </w:pPr>
      <w:r w:rsidRPr="008270FA">
        <w:rPr>
          <w:i/>
        </w:rPr>
        <w:t xml:space="preserve">Demographic characteristics </w:t>
      </w:r>
      <w:r>
        <w:rPr>
          <w:i/>
        </w:rPr>
        <w:t xml:space="preserve">for considering comparability between </w:t>
      </w:r>
      <w:r w:rsidR="00B37FB5">
        <w:rPr>
          <w:i/>
        </w:rPr>
        <w:t>PWE and PWDS</w:t>
      </w:r>
      <w:r>
        <w:rPr>
          <w:i/>
        </w:rPr>
        <w:t xml:space="preserve"> (n = 90)</w:t>
      </w:r>
    </w:p>
    <w:tbl>
      <w:tblPr>
        <w:tblW w:w="5465" w:type="pct"/>
        <w:jc w:val="center"/>
        <w:tblLook w:val="04A0" w:firstRow="1" w:lastRow="0" w:firstColumn="1" w:lastColumn="0" w:noHBand="0" w:noVBand="1"/>
      </w:tblPr>
      <w:tblGrid>
        <w:gridCol w:w="2220"/>
        <w:gridCol w:w="1071"/>
        <w:gridCol w:w="1886"/>
        <w:gridCol w:w="2796"/>
        <w:gridCol w:w="1892"/>
      </w:tblGrid>
      <w:tr w:rsidR="00023489" w:rsidRPr="00EE1660" w14:paraId="47E43CE3" w14:textId="77777777" w:rsidTr="00B37FB5">
        <w:trPr>
          <w:trHeight w:val="750"/>
          <w:jc w:val="center"/>
        </w:trPr>
        <w:tc>
          <w:tcPr>
            <w:tcW w:w="1668" w:type="pct"/>
            <w:gridSpan w:val="2"/>
            <w:tcBorders>
              <w:top w:val="single" w:sz="4" w:space="0" w:color="auto"/>
              <w:bottom w:val="single" w:sz="4" w:space="0" w:color="auto"/>
            </w:tcBorders>
            <w:vAlign w:val="center"/>
          </w:tcPr>
          <w:p w14:paraId="1FF63B94" w14:textId="77777777" w:rsidR="00023489" w:rsidRPr="00EE1660" w:rsidRDefault="00023489" w:rsidP="00BC1C17">
            <w:pPr>
              <w:tabs>
                <w:tab w:val="left" w:pos="1134"/>
              </w:tabs>
              <w:spacing w:after="0" w:line="240" w:lineRule="auto"/>
              <w:jc w:val="center"/>
              <w:rPr>
                <w:rFonts w:cs="Arial"/>
                <w:szCs w:val="24"/>
              </w:rPr>
            </w:pPr>
          </w:p>
        </w:tc>
        <w:tc>
          <w:tcPr>
            <w:tcW w:w="956" w:type="pct"/>
            <w:tcBorders>
              <w:top w:val="single" w:sz="4" w:space="0" w:color="auto"/>
              <w:bottom w:val="single" w:sz="4" w:space="0" w:color="auto"/>
            </w:tcBorders>
            <w:vAlign w:val="center"/>
          </w:tcPr>
          <w:p w14:paraId="445867EB" w14:textId="77777777" w:rsidR="00023489" w:rsidRPr="00EE1660" w:rsidRDefault="00023489" w:rsidP="00BC1C17">
            <w:pPr>
              <w:tabs>
                <w:tab w:val="left" w:pos="1134"/>
              </w:tabs>
              <w:spacing w:after="0" w:line="240" w:lineRule="auto"/>
              <w:jc w:val="center"/>
              <w:rPr>
                <w:rFonts w:cs="Arial"/>
                <w:b/>
                <w:bCs/>
                <w:szCs w:val="24"/>
              </w:rPr>
            </w:pPr>
            <w:r>
              <w:rPr>
                <w:rFonts w:cs="Arial"/>
                <w:b/>
                <w:bCs/>
                <w:szCs w:val="24"/>
              </w:rPr>
              <w:t>People with epilepsy (N = 44)</w:t>
            </w:r>
          </w:p>
        </w:tc>
        <w:tc>
          <w:tcPr>
            <w:tcW w:w="1417" w:type="pct"/>
            <w:tcBorders>
              <w:top w:val="single" w:sz="4" w:space="0" w:color="auto"/>
              <w:bottom w:val="single" w:sz="4" w:space="0" w:color="auto"/>
            </w:tcBorders>
            <w:vAlign w:val="center"/>
          </w:tcPr>
          <w:p w14:paraId="0E978355" w14:textId="77777777" w:rsidR="00023489" w:rsidRPr="00EE1660" w:rsidRDefault="00023489" w:rsidP="00BC1C17">
            <w:pPr>
              <w:tabs>
                <w:tab w:val="left" w:pos="1134"/>
              </w:tabs>
              <w:spacing w:after="0" w:line="240" w:lineRule="auto"/>
              <w:jc w:val="center"/>
              <w:rPr>
                <w:rFonts w:cs="Arial"/>
                <w:b/>
                <w:bCs/>
                <w:szCs w:val="24"/>
              </w:rPr>
            </w:pPr>
            <w:r>
              <w:rPr>
                <w:rFonts w:cs="Arial"/>
                <w:b/>
                <w:bCs/>
                <w:szCs w:val="24"/>
              </w:rPr>
              <w:t>People with DS (N = 46)</w:t>
            </w:r>
          </w:p>
        </w:tc>
        <w:tc>
          <w:tcPr>
            <w:tcW w:w="959" w:type="pct"/>
            <w:tcBorders>
              <w:top w:val="single" w:sz="4" w:space="0" w:color="auto"/>
              <w:bottom w:val="single" w:sz="4" w:space="0" w:color="auto"/>
            </w:tcBorders>
          </w:tcPr>
          <w:p w14:paraId="65960900" w14:textId="77777777" w:rsidR="00023489" w:rsidRDefault="00023489" w:rsidP="00BC1C17">
            <w:pPr>
              <w:tabs>
                <w:tab w:val="left" w:pos="1134"/>
              </w:tabs>
              <w:spacing w:after="0" w:line="240" w:lineRule="auto"/>
              <w:jc w:val="center"/>
              <w:rPr>
                <w:rFonts w:cs="Arial"/>
                <w:b/>
                <w:bCs/>
                <w:szCs w:val="24"/>
              </w:rPr>
            </w:pPr>
            <w:r>
              <w:rPr>
                <w:rFonts w:cs="Arial"/>
                <w:b/>
                <w:bCs/>
                <w:szCs w:val="24"/>
              </w:rPr>
              <w:t>Between group differences</w:t>
            </w:r>
          </w:p>
        </w:tc>
      </w:tr>
      <w:tr w:rsidR="00023489" w:rsidRPr="00EE1660" w14:paraId="67833387" w14:textId="77777777" w:rsidTr="00B37FB5">
        <w:trPr>
          <w:trHeight w:val="394"/>
          <w:jc w:val="center"/>
        </w:trPr>
        <w:tc>
          <w:tcPr>
            <w:tcW w:w="1125" w:type="pct"/>
            <w:tcBorders>
              <w:top w:val="single" w:sz="4" w:space="0" w:color="auto"/>
              <w:bottom w:val="single" w:sz="4" w:space="0" w:color="auto"/>
            </w:tcBorders>
          </w:tcPr>
          <w:p w14:paraId="1A009BEC" w14:textId="77777777" w:rsidR="00023489" w:rsidRPr="008270FA" w:rsidRDefault="00023489" w:rsidP="00BC1C17">
            <w:pPr>
              <w:tabs>
                <w:tab w:val="left" w:pos="1134"/>
              </w:tabs>
              <w:spacing w:after="0" w:line="240" w:lineRule="auto"/>
              <w:rPr>
                <w:b/>
              </w:rPr>
            </w:pPr>
            <w:r w:rsidRPr="008270FA">
              <w:rPr>
                <w:b/>
              </w:rPr>
              <w:t>Age</w:t>
            </w:r>
          </w:p>
        </w:tc>
        <w:tc>
          <w:tcPr>
            <w:tcW w:w="1499" w:type="pct"/>
            <w:gridSpan w:val="2"/>
            <w:tcBorders>
              <w:top w:val="single" w:sz="4" w:space="0" w:color="auto"/>
              <w:bottom w:val="single" w:sz="4" w:space="0" w:color="auto"/>
            </w:tcBorders>
            <w:vAlign w:val="center"/>
          </w:tcPr>
          <w:p w14:paraId="246A5CD7" w14:textId="77777777" w:rsidR="00023489" w:rsidRPr="0043378C" w:rsidRDefault="00023489" w:rsidP="00BC1C17">
            <w:pPr>
              <w:tabs>
                <w:tab w:val="left" w:pos="1134"/>
              </w:tabs>
              <w:spacing w:after="0" w:line="240" w:lineRule="auto"/>
              <w:jc w:val="center"/>
            </w:pPr>
            <w:r>
              <w:t>Mean = 39.41 SD = 15.17</w:t>
            </w:r>
          </w:p>
        </w:tc>
        <w:tc>
          <w:tcPr>
            <w:tcW w:w="1417" w:type="pct"/>
            <w:tcBorders>
              <w:top w:val="single" w:sz="4" w:space="0" w:color="auto"/>
              <w:bottom w:val="single" w:sz="4" w:space="0" w:color="auto"/>
            </w:tcBorders>
            <w:vAlign w:val="center"/>
          </w:tcPr>
          <w:p w14:paraId="1F786F1C" w14:textId="77777777" w:rsidR="00023489" w:rsidRPr="0043378C" w:rsidRDefault="00023489" w:rsidP="00BC1C17">
            <w:pPr>
              <w:tabs>
                <w:tab w:val="left" w:pos="1134"/>
              </w:tabs>
              <w:spacing w:after="0" w:line="240" w:lineRule="auto"/>
              <w:jc w:val="center"/>
            </w:pPr>
            <w:r>
              <w:t>Mean = 38.26 SD = 18.46</w:t>
            </w:r>
          </w:p>
        </w:tc>
        <w:tc>
          <w:tcPr>
            <w:tcW w:w="959" w:type="pct"/>
            <w:tcBorders>
              <w:top w:val="single" w:sz="4" w:space="0" w:color="auto"/>
              <w:bottom w:val="single" w:sz="4" w:space="0" w:color="auto"/>
            </w:tcBorders>
            <w:vAlign w:val="center"/>
          </w:tcPr>
          <w:p w14:paraId="6A4B5831" w14:textId="77777777" w:rsidR="00023489" w:rsidRDefault="00023489" w:rsidP="00BC1C17">
            <w:pPr>
              <w:tabs>
                <w:tab w:val="left" w:pos="1134"/>
              </w:tabs>
              <w:spacing w:after="0" w:line="240" w:lineRule="auto"/>
              <w:jc w:val="center"/>
            </w:pPr>
            <w:r w:rsidRPr="00890C55">
              <w:rPr>
                <w:i/>
              </w:rPr>
              <w:t>U</w:t>
            </w:r>
            <w:r>
              <w:t xml:space="preserve"> = 916, </w:t>
            </w:r>
            <w:r w:rsidRPr="00515652">
              <w:rPr>
                <w:i/>
              </w:rPr>
              <w:t>p</w:t>
            </w:r>
            <w:r>
              <w:t xml:space="preserve"> = .44</w:t>
            </w:r>
          </w:p>
        </w:tc>
      </w:tr>
      <w:tr w:rsidR="00023489" w:rsidRPr="00EE1660" w14:paraId="7DCFEFE9" w14:textId="77777777" w:rsidTr="00B37FB5">
        <w:trPr>
          <w:trHeight w:val="750"/>
          <w:jc w:val="center"/>
        </w:trPr>
        <w:tc>
          <w:tcPr>
            <w:tcW w:w="1125" w:type="pct"/>
            <w:tcBorders>
              <w:top w:val="single" w:sz="4" w:space="0" w:color="auto"/>
              <w:bottom w:val="single" w:sz="4" w:space="0" w:color="auto"/>
            </w:tcBorders>
          </w:tcPr>
          <w:p w14:paraId="2F5CB92E" w14:textId="77777777" w:rsidR="00023489" w:rsidRPr="008270FA" w:rsidRDefault="00023489" w:rsidP="00BC1C17">
            <w:pPr>
              <w:tabs>
                <w:tab w:val="left" w:pos="1134"/>
              </w:tabs>
              <w:spacing w:after="0" w:line="240" w:lineRule="auto"/>
              <w:rPr>
                <w:rFonts w:cs="Arial"/>
                <w:b/>
                <w:bCs/>
                <w:szCs w:val="24"/>
              </w:rPr>
            </w:pPr>
            <w:r>
              <w:rPr>
                <w:b/>
              </w:rPr>
              <w:t>G</w:t>
            </w:r>
            <w:r w:rsidRPr="008270FA">
              <w:rPr>
                <w:b/>
              </w:rPr>
              <w:t>ender</w:t>
            </w:r>
          </w:p>
        </w:tc>
        <w:tc>
          <w:tcPr>
            <w:tcW w:w="1499" w:type="pct"/>
            <w:gridSpan w:val="2"/>
            <w:tcBorders>
              <w:top w:val="single" w:sz="4" w:space="0" w:color="auto"/>
              <w:bottom w:val="single" w:sz="4" w:space="0" w:color="auto"/>
            </w:tcBorders>
            <w:vAlign w:val="center"/>
          </w:tcPr>
          <w:p w14:paraId="1338EC36" w14:textId="77777777" w:rsidR="00023489" w:rsidRDefault="00023489" w:rsidP="00BC1C17">
            <w:pPr>
              <w:spacing w:after="0" w:line="240" w:lineRule="auto"/>
              <w:jc w:val="center"/>
            </w:pPr>
            <w:r>
              <w:t>38 = female</w:t>
            </w:r>
          </w:p>
          <w:p w14:paraId="09CA8692" w14:textId="77777777" w:rsidR="00023489" w:rsidRDefault="00023489" w:rsidP="00BC1C17">
            <w:pPr>
              <w:spacing w:after="0" w:line="240" w:lineRule="auto"/>
              <w:jc w:val="center"/>
            </w:pPr>
            <w:r>
              <w:t>6 = male</w:t>
            </w:r>
          </w:p>
          <w:p w14:paraId="3999564C" w14:textId="77777777" w:rsidR="00023489" w:rsidRPr="00EE1660" w:rsidRDefault="00023489" w:rsidP="00BC1C17">
            <w:pPr>
              <w:tabs>
                <w:tab w:val="left" w:pos="1134"/>
              </w:tabs>
              <w:spacing w:after="0" w:line="240" w:lineRule="auto"/>
              <w:jc w:val="center"/>
              <w:rPr>
                <w:rFonts w:cs="Arial"/>
                <w:szCs w:val="24"/>
              </w:rPr>
            </w:pPr>
          </w:p>
        </w:tc>
        <w:tc>
          <w:tcPr>
            <w:tcW w:w="1417" w:type="pct"/>
            <w:tcBorders>
              <w:top w:val="single" w:sz="4" w:space="0" w:color="auto"/>
              <w:bottom w:val="single" w:sz="4" w:space="0" w:color="auto"/>
            </w:tcBorders>
            <w:vAlign w:val="center"/>
          </w:tcPr>
          <w:p w14:paraId="4A90717C" w14:textId="77777777" w:rsidR="00023489" w:rsidRDefault="00023489" w:rsidP="00BC1C17">
            <w:pPr>
              <w:spacing w:after="0" w:line="240" w:lineRule="auto"/>
              <w:jc w:val="center"/>
            </w:pPr>
            <w:r>
              <w:t>Female = 37</w:t>
            </w:r>
          </w:p>
          <w:p w14:paraId="225E6DA7" w14:textId="77777777" w:rsidR="00023489" w:rsidRDefault="00023489" w:rsidP="00BC1C17">
            <w:pPr>
              <w:spacing w:after="0" w:line="240" w:lineRule="auto"/>
              <w:jc w:val="center"/>
            </w:pPr>
            <w:r>
              <w:t>Male = 7</w:t>
            </w:r>
          </w:p>
          <w:p w14:paraId="1894D1E2" w14:textId="01BF8936" w:rsidR="00023489" w:rsidRPr="00C81D38" w:rsidRDefault="00EC2CEA" w:rsidP="00BC1C17">
            <w:pPr>
              <w:spacing w:after="0" w:line="240" w:lineRule="auto"/>
              <w:jc w:val="center"/>
            </w:pPr>
            <w:r>
              <w:t>Other = 2</w:t>
            </w:r>
          </w:p>
        </w:tc>
        <w:tc>
          <w:tcPr>
            <w:tcW w:w="959" w:type="pct"/>
            <w:tcBorders>
              <w:top w:val="single" w:sz="4" w:space="0" w:color="auto"/>
              <w:bottom w:val="single" w:sz="4" w:space="0" w:color="auto"/>
            </w:tcBorders>
            <w:vAlign w:val="center"/>
          </w:tcPr>
          <w:p w14:paraId="20447883" w14:textId="77777777" w:rsidR="00023489" w:rsidRDefault="00023489" w:rsidP="00BC1C17">
            <w:pPr>
              <w:spacing w:after="0" w:line="240" w:lineRule="auto"/>
              <w:jc w:val="center"/>
            </w:pPr>
            <w:r w:rsidRPr="00515652">
              <w:rPr>
                <w:i/>
              </w:rPr>
              <w:t>X</w:t>
            </w:r>
            <w:r w:rsidRPr="00515652">
              <w:rPr>
                <w:i/>
                <w:vertAlign w:val="superscript"/>
              </w:rPr>
              <w:t>2</w:t>
            </w:r>
            <w:r>
              <w:t xml:space="preserve"> = 8.28,</w:t>
            </w:r>
            <w:r w:rsidRPr="00515652">
              <w:rPr>
                <w:i/>
              </w:rPr>
              <w:t xml:space="preserve"> p</w:t>
            </w:r>
            <w:r>
              <w:t xml:space="preserve"> = .69</w:t>
            </w:r>
          </w:p>
        </w:tc>
      </w:tr>
      <w:tr w:rsidR="00023489" w:rsidRPr="00EE1660" w14:paraId="3AAED843" w14:textId="77777777" w:rsidTr="00B37FB5">
        <w:trPr>
          <w:trHeight w:val="522"/>
          <w:jc w:val="center"/>
        </w:trPr>
        <w:tc>
          <w:tcPr>
            <w:tcW w:w="1125" w:type="pct"/>
            <w:tcBorders>
              <w:top w:val="single" w:sz="4" w:space="0" w:color="auto"/>
              <w:bottom w:val="single" w:sz="4" w:space="0" w:color="auto"/>
            </w:tcBorders>
          </w:tcPr>
          <w:p w14:paraId="2D33B1EF" w14:textId="77777777" w:rsidR="00023489" w:rsidRPr="009B747F" w:rsidRDefault="00023489" w:rsidP="00BC1C17">
            <w:pPr>
              <w:tabs>
                <w:tab w:val="left" w:pos="1134"/>
              </w:tabs>
              <w:spacing w:after="0" w:line="240" w:lineRule="auto"/>
              <w:rPr>
                <w:b/>
              </w:rPr>
            </w:pPr>
            <w:r>
              <w:rPr>
                <w:b/>
              </w:rPr>
              <w:t xml:space="preserve">Video EEG </w:t>
            </w:r>
          </w:p>
        </w:tc>
        <w:tc>
          <w:tcPr>
            <w:tcW w:w="1499" w:type="pct"/>
            <w:gridSpan w:val="2"/>
            <w:tcBorders>
              <w:top w:val="single" w:sz="4" w:space="0" w:color="auto"/>
              <w:bottom w:val="single" w:sz="4" w:space="0" w:color="auto"/>
            </w:tcBorders>
            <w:vAlign w:val="center"/>
          </w:tcPr>
          <w:p w14:paraId="333DF411" w14:textId="77777777" w:rsidR="00023489" w:rsidRDefault="00023489" w:rsidP="00BC1C17">
            <w:pPr>
              <w:spacing w:after="0" w:line="240" w:lineRule="auto"/>
              <w:jc w:val="center"/>
            </w:pPr>
            <w:r>
              <w:t>Yes = 23, No = 15, Unsure = 6</w:t>
            </w:r>
          </w:p>
        </w:tc>
        <w:tc>
          <w:tcPr>
            <w:tcW w:w="1417" w:type="pct"/>
            <w:tcBorders>
              <w:top w:val="single" w:sz="4" w:space="0" w:color="auto"/>
              <w:bottom w:val="single" w:sz="4" w:space="0" w:color="auto"/>
            </w:tcBorders>
            <w:vAlign w:val="center"/>
          </w:tcPr>
          <w:p w14:paraId="6AC90CA3" w14:textId="77777777" w:rsidR="00023489" w:rsidRDefault="00023489" w:rsidP="00BC1C17">
            <w:pPr>
              <w:spacing w:after="0" w:line="240" w:lineRule="auto"/>
              <w:jc w:val="center"/>
            </w:pPr>
            <w:r>
              <w:t>Yes = 27, No = 15, Unsure = 5</w:t>
            </w:r>
          </w:p>
        </w:tc>
        <w:tc>
          <w:tcPr>
            <w:tcW w:w="959" w:type="pct"/>
            <w:tcBorders>
              <w:top w:val="single" w:sz="4" w:space="0" w:color="auto"/>
              <w:bottom w:val="single" w:sz="4" w:space="0" w:color="auto"/>
            </w:tcBorders>
            <w:vAlign w:val="center"/>
          </w:tcPr>
          <w:p w14:paraId="3DF6A899" w14:textId="77777777" w:rsidR="00023489" w:rsidRDefault="00023489" w:rsidP="00BC1C17">
            <w:pPr>
              <w:spacing w:after="0" w:line="240" w:lineRule="auto"/>
              <w:jc w:val="center"/>
            </w:pPr>
            <w:r w:rsidRPr="00515652">
              <w:rPr>
                <w:i/>
              </w:rPr>
              <w:t>X</w:t>
            </w:r>
            <w:r w:rsidRPr="00515652">
              <w:rPr>
                <w:i/>
                <w:vertAlign w:val="superscript"/>
              </w:rPr>
              <w:t>2</w:t>
            </w:r>
            <w:r>
              <w:t xml:space="preserve"> = .23, </w:t>
            </w:r>
            <w:r w:rsidRPr="00515652">
              <w:rPr>
                <w:i/>
              </w:rPr>
              <w:t>p</w:t>
            </w:r>
            <w:r>
              <w:t xml:space="preserve"> = .89</w:t>
            </w:r>
          </w:p>
        </w:tc>
      </w:tr>
      <w:tr w:rsidR="00023489" w:rsidRPr="00EE1660" w14:paraId="2E9BBC40" w14:textId="77777777" w:rsidTr="00B37FB5">
        <w:trPr>
          <w:trHeight w:val="750"/>
          <w:jc w:val="center"/>
        </w:trPr>
        <w:tc>
          <w:tcPr>
            <w:tcW w:w="1125" w:type="pct"/>
            <w:tcBorders>
              <w:top w:val="single" w:sz="4" w:space="0" w:color="auto"/>
              <w:bottom w:val="single" w:sz="4" w:space="0" w:color="auto"/>
            </w:tcBorders>
          </w:tcPr>
          <w:p w14:paraId="60AB64A5" w14:textId="77777777" w:rsidR="00023489" w:rsidRPr="00CA3B62" w:rsidRDefault="00023489" w:rsidP="00BC1C17">
            <w:pPr>
              <w:tabs>
                <w:tab w:val="left" w:pos="1134"/>
              </w:tabs>
              <w:spacing w:after="0" w:line="240" w:lineRule="auto"/>
              <w:rPr>
                <w:rFonts w:cs="Arial"/>
                <w:b/>
                <w:bCs/>
                <w:szCs w:val="24"/>
              </w:rPr>
            </w:pPr>
            <w:r w:rsidRPr="00CA3B62">
              <w:rPr>
                <w:b/>
              </w:rPr>
              <w:t>Other neurological condition</w:t>
            </w:r>
          </w:p>
        </w:tc>
        <w:tc>
          <w:tcPr>
            <w:tcW w:w="1499" w:type="pct"/>
            <w:gridSpan w:val="2"/>
            <w:tcBorders>
              <w:top w:val="single" w:sz="4" w:space="0" w:color="auto"/>
              <w:bottom w:val="single" w:sz="4" w:space="0" w:color="auto"/>
            </w:tcBorders>
            <w:vAlign w:val="center"/>
          </w:tcPr>
          <w:p w14:paraId="2A40F3C5" w14:textId="77777777" w:rsidR="00023489" w:rsidRDefault="00023489" w:rsidP="00BC1C17">
            <w:pPr>
              <w:spacing w:after="0" w:line="240" w:lineRule="auto"/>
              <w:jc w:val="center"/>
            </w:pPr>
            <w:r>
              <w:t xml:space="preserve">1 = </w:t>
            </w:r>
            <w:r w:rsidRPr="001E0F2F">
              <w:t>Multiple sclerosis</w:t>
            </w:r>
          </w:p>
          <w:p w14:paraId="18D4A0A3" w14:textId="77777777" w:rsidR="00023489" w:rsidRDefault="00023489" w:rsidP="00BC1C17">
            <w:pPr>
              <w:spacing w:after="0" w:line="240" w:lineRule="auto"/>
              <w:jc w:val="center"/>
            </w:pPr>
            <w:r>
              <w:t>1 = Brain tumour</w:t>
            </w:r>
          </w:p>
          <w:p w14:paraId="30235F6A" w14:textId="77777777" w:rsidR="00023489" w:rsidRDefault="00023489" w:rsidP="00BC1C17">
            <w:pPr>
              <w:spacing w:after="0" w:line="240" w:lineRule="auto"/>
              <w:jc w:val="center"/>
            </w:pPr>
            <w:r>
              <w:t>1 = Traumatic brain injury</w:t>
            </w:r>
          </w:p>
          <w:p w14:paraId="581022F3" w14:textId="77777777" w:rsidR="00023489" w:rsidRDefault="00023489" w:rsidP="00BC1C17">
            <w:pPr>
              <w:spacing w:after="0" w:line="240" w:lineRule="auto"/>
              <w:jc w:val="center"/>
            </w:pPr>
            <w:r>
              <w:t>1 = Chronic migraines</w:t>
            </w:r>
          </w:p>
          <w:p w14:paraId="7E199C04" w14:textId="77777777" w:rsidR="00023489" w:rsidRPr="00EE1660" w:rsidRDefault="00023489" w:rsidP="00BC1C17">
            <w:pPr>
              <w:tabs>
                <w:tab w:val="left" w:pos="1134"/>
              </w:tabs>
              <w:spacing w:after="0" w:line="240" w:lineRule="auto"/>
              <w:jc w:val="center"/>
              <w:rPr>
                <w:rFonts w:cs="Arial"/>
                <w:szCs w:val="24"/>
              </w:rPr>
            </w:pPr>
            <w:r>
              <w:t>1= Hydrocephalus</w:t>
            </w:r>
          </w:p>
        </w:tc>
        <w:tc>
          <w:tcPr>
            <w:tcW w:w="1417" w:type="pct"/>
            <w:tcBorders>
              <w:top w:val="single" w:sz="4" w:space="0" w:color="auto"/>
              <w:bottom w:val="single" w:sz="4" w:space="0" w:color="auto"/>
            </w:tcBorders>
            <w:vAlign w:val="center"/>
          </w:tcPr>
          <w:p w14:paraId="37833A31" w14:textId="77777777" w:rsidR="00023489" w:rsidRPr="00EE1660" w:rsidRDefault="00023489" w:rsidP="00BC1C17">
            <w:pPr>
              <w:tabs>
                <w:tab w:val="left" w:pos="1134"/>
              </w:tabs>
              <w:spacing w:after="0" w:line="240" w:lineRule="auto"/>
              <w:jc w:val="center"/>
              <w:rPr>
                <w:rFonts w:cs="Arial"/>
                <w:szCs w:val="24"/>
              </w:rPr>
            </w:pPr>
            <w:r>
              <w:t>5 = Functional neurological disorder</w:t>
            </w:r>
          </w:p>
        </w:tc>
        <w:tc>
          <w:tcPr>
            <w:tcW w:w="959" w:type="pct"/>
            <w:tcBorders>
              <w:top w:val="single" w:sz="4" w:space="0" w:color="auto"/>
              <w:bottom w:val="single" w:sz="4" w:space="0" w:color="auto"/>
            </w:tcBorders>
            <w:vAlign w:val="center"/>
          </w:tcPr>
          <w:p w14:paraId="405C43A4" w14:textId="77777777" w:rsidR="00023489" w:rsidRDefault="00023489" w:rsidP="00BC1C17">
            <w:pPr>
              <w:tabs>
                <w:tab w:val="left" w:pos="1134"/>
              </w:tabs>
              <w:spacing w:after="0" w:line="240" w:lineRule="auto"/>
              <w:jc w:val="center"/>
            </w:pPr>
            <w:r w:rsidRPr="00515652">
              <w:rPr>
                <w:i/>
              </w:rPr>
              <w:t>X</w:t>
            </w:r>
            <w:r w:rsidRPr="00515652">
              <w:rPr>
                <w:i/>
                <w:vertAlign w:val="superscript"/>
              </w:rPr>
              <w:t>2</w:t>
            </w:r>
            <w:r>
              <w:t xml:space="preserve"> = 15.09, </w:t>
            </w:r>
            <w:r w:rsidRPr="00515652">
              <w:rPr>
                <w:i/>
              </w:rPr>
              <w:t>p</w:t>
            </w:r>
            <w:r>
              <w:t xml:space="preserve"> = .37</w:t>
            </w:r>
          </w:p>
        </w:tc>
      </w:tr>
      <w:tr w:rsidR="00023489" w:rsidRPr="00EE1660" w14:paraId="79AE5E9D" w14:textId="77777777" w:rsidTr="00B37FB5">
        <w:trPr>
          <w:trHeight w:val="1142"/>
          <w:jc w:val="center"/>
        </w:trPr>
        <w:tc>
          <w:tcPr>
            <w:tcW w:w="1125" w:type="pct"/>
            <w:tcBorders>
              <w:top w:val="single" w:sz="4" w:space="0" w:color="auto"/>
              <w:bottom w:val="single" w:sz="4" w:space="0" w:color="auto"/>
            </w:tcBorders>
          </w:tcPr>
          <w:p w14:paraId="2791BCA4" w14:textId="77777777" w:rsidR="00023489" w:rsidRPr="00CA3B62" w:rsidRDefault="00023489" w:rsidP="00BC1C17">
            <w:pPr>
              <w:tabs>
                <w:tab w:val="left" w:pos="1134"/>
              </w:tabs>
              <w:spacing w:after="0" w:line="240" w:lineRule="auto"/>
              <w:rPr>
                <w:rFonts w:cs="Arial"/>
                <w:b/>
                <w:bCs/>
                <w:szCs w:val="24"/>
              </w:rPr>
            </w:pPr>
            <w:r w:rsidRPr="00CA3B62">
              <w:rPr>
                <w:b/>
              </w:rPr>
              <w:t>Ethnicity</w:t>
            </w:r>
          </w:p>
        </w:tc>
        <w:tc>
          <w:tcPr>
            <w:tcW w:w="1499" w:type="pct"/>
            <w:gridSpan w:val="2"/>
            <w:tcBorders>
              <w:top w:val="single" w:sz="4" w:space="0" w:color="auto"/>
              <w:bottom w:val="single" w:sz="4" w:space="0" w:color="auto"/>
            </w:tcBorders>
            <w:vAlign w:val="center"/>
          </w:tcPr>
          <w:p w14:paraId="1CFEADCE" w14:textId="77777777" w:rsidR="00023489" w:rsidRDefault="00023489" w:rsidP="00BC1C17">
            <w:pPr>
              <w:spacing w:after="0" w:line="240" w:lineRule="auto"/>
              <w:jc w:val="center"/>
            </w:pPr>
            <w:r>
              <w:t>White British = 19</w:t>
            </w:r>
          </w:p>
          <w:p w14:paraId="715E8396" w14:textId="77777777" w:rsidR="00023489" w:rsidRDefault="00023489" w:rsidP="00BC1C17">
            <w:pPr>
              <w:spacing w:after="0" w:line="240" w:lineRule="auto"/>
              <w:jc w:val="center"/>
            </w:pPr>
            <w:r>
              <w:t>Other White = 23</w:t>
            </w:r>
          </w:p>
          <w:p w14:paraId="51EB03D5" w14:textId="77777777" w:rsidR="00023489" w:rsidRDefault="00023489" w:rsidP="00BC1C17">
            <w:pPr>
              <w:spacing w:after="0" w:line="240" w:lineRule="auto"/>
              <w:jc w:val="center"/>
            </w:pPr>
            <w:r>
              <w:t>Mixed ethnicity = 1</w:t>
            </w:r>
          </w:p>
          <w:p w14:paraId="3FFEE369" w14:textId="77777777" w:rsidR="00023489" w:rsidRPr="00C81D38" w:rsidRDefault="00023489" w:rsidP="00BC1C17">
            <w:pPr>
              <w:spacing w:after="0" w:line="240" w:lineRule="auto"/>
              <w:jc w:val="center"/>
            </w:pPr>
            <w:r>
              <w:t>Pakistani = 1</w:t>
            </w:r>
          </w:p>
        </w:tc>
        <w:tc>
          <w:tcPr>
            <w:tcW w:w="1417" w:type="pct"/>
            <w:tcBorders>
              <w:top w:val="single" w:sz="4" w:space="0" w:color="auto"/>
              <w:bottom w:val="single" w:sz="4" w:space="0" w:color="auto"/>
            </w:tcBorders>
            <w:vAlign w:val="center"/>
          </w:tcPr>
          <w:p w14:paraId="3067159A" w14:textId="77777777" w:rsidR="00023489" w:rsidRDefault="00023489" w:rsidP="00BC1C17">
            <w:pPr>
              <w:spacing w:after="0" w:line="240" w:lineRule="auto"/>
              <w:jc w:val="center"/>
            </w:pPr>
            <w:r>
              <w:t>White British = 26</w:t>
            </w:r>
          </w:p>
          <w:p w14:paraId="7DB48258" w14:textId="77777777" w:rsidR="00023489" w:rsidRDefault="00023489" w:rsidP="00BC1C17">
            <w:pPr>
              <w:spacing w:after="0" w:line="240" w:lineRule="auto"/>
              <w:jc w:val="center"/>
            </w:pPr>
            <w:r>
              <w:t>Other White = 16</w:t>
            </w:r>
          </w:p>
          <w:p w14:paraId="10F95C2A" w14:textId="77777777" w:rsidR="00023489" w:rsidRDefault="00023489" w:rsidP="00BC1C17">
            <w:pPr>
              <w:spacing w:after="0" w:line="240" w:lineRule="auto"/>
              <w:jc w:val="center"/>
            </w:pPr>
            <w:r>
              <w:t>Mixed ethnicity = 2</w:t>
            </w:r>
          </w:p>
          <w:p w14:paraId="495163D7" w14:textId="77777777" w:rsidR="00023489" w:rsidRDefault="00023489" w:rsidP="00BC1C17">
            <w:pPr>
              <w:spacing w:after="0" w:line="240" w:lineRule="auto"/>
              <w:jc w:val="center"/>
            </w:pPr>
            <w:r>
              <w:t>Aboriginal = 1</w:t>
            </w:r>
          </w:p>
          <w:p w14:paraId="52700BDE" w14:textId="77777777" w:rsidR="00023489" w:rsidRPr="00EE1660" w:rsidRDefault="00023489" w:rsidP="00BC1C17">
            <w:pPr>
              <w:tabs>
                <w:tab w:val="left" w:pos="1134"/>
              </w:tabs>
              <w:spacing w:after="0" w:line="240" w:lineRule="auto"/>
              <w:jc w:val="center"/>
              <w:rPr>
                <w:rFonts w:cs="Arial"/>
                <w:szCs w:val="24"/>
              </w:rPr>
            </w:pPr>
            <w:r>
              <w:t>Pakistani = 1</w:t>
            </w:r>
          </w:p>
        </w:tc>
        <w:tc>
          <w:tcPr>
            <w:tcW w:w="959" w:type="pct"/>
            <w:tcBorders>
              <w:top w:val="single" w:sz="4" w:space="0" w:color="auto"/>
              <w:bottom w:val="single" w:sz="4" w:space="0" w:color="auto"/>
            </w:tcBorders>
            <w:vAlign w:val="center"/>
          </w:tcPr>
          <w:p w14:paraId="2F84188B" w14:textId="77777777" w:rsidR="00023489" w:rsidRDefault="00023489" w:rsidP="00BC1C17">
            <w:pPr>
              <w:spacing w:after="0" w:line="240" w:lineRule="auto"/>
              <w:jc w:val="center"/>
            </w:pPr>
            <w:r w:rsidRPr="00515652">
              <w:rPr>
                <w:i/>
              </w:rPr>
              <w:t>X</w:t>
            </w:r>
            <w:r w:rsidRPr="00515652">
              <w:rPr>
                <w:i/>
                <w:vertAlign w:val="superscript"/>
              </w:rPr>
              <w:t>2</w:t>
            </w:r>
            <w:r>
              <w:t xml:space="preserve"> = 35.43,</w:t>
            </w:r>
            <w:r w:rsidRPr="00515652">
              <w:rPr>
                <w:i/>
              </w:rPr>
              <w:t xml:space="preserve"> p</w:t>
            </w:r>
            <w:r>
              <w:t xml:space="preserve"> = .50</w:t>
            </w:r>
          </w:p>
        </w:tc>
      </w:tr>
      <w:tr w:rsidR="00023489" w:rsidRPr="00EE1660" w14:paraId="5D933F76" w14:textId="77777777" w:rsidTr="00B37FB5">
        <w:trPr>
          <w:trHeight w:val="444"/>
          <w:jc w:val="center"/>
        </w:trPr>
        <w:tc>
          <w:tcPr>
            <w:tcW w:w="1125" w:type="pct"/>
            <w:tcBorders>
              <w:top w:val="single" w:sz="4" w:space="0" w:color="auto"/>
              <w:bottom w:val="single" w:sz="4" w:space="0" w:color="auto"/>
            </w:tcBorders>
          </w:tcPr>
          <w:p w14:paraId="3170B03C" w14:textId="77777777" w:rsidR="00023489" w:rsidRPr="00CA3B62" w:rsidRDefault="00023489" w:rsidP="00BC1C17">
            <w:pPr>
              <w:tabs>
                <w:tab w:val="left" w:pos="1134"/>
              </w:tabs>
              <w:spacing w:after="0" w:line="240" w:lineRule="auto"/>
              <w:rPr>
                <w:rFonts w:cs="Arial"/>
                <w:b/>
                <w:bCs/>
                <w:szCs w:val="24"/>
              </w:rPr>
            </w:pPr>
            <w:r w:rsidRPr="00CA3B62">
              <w:rPr>
                <w:b/>
              </w:rPr>
              <w:t>Years since diagnosis</w:t>
            </w:r>
          </w:p>
        </w:tc>
        <w:tc>
          <w:tcPr>
            <w:tcW w:w="1499" w:type="pct"/>
            <w:gridSpan w:val="2"/>
            <w:tcBorders>
              <w:top w:val="single" w:sz="4" w:space="0" w:color="auto"/>
              <w:bottom w:val="single" w:sz="4" w:space="0" w:color="auto"/>
            </w:tcBorders>
            <w:vAlign w:val="center"/>
          </w:tcPr>
          <w:p w14:paraId="4B25C9BC" w14:textId="77777777" w:rsidR="00023489" w:rsidRPr="00EE1660" w:rsidRDefault="00023489" w:rsidP="00BC1C17">
            <w:pPr>
              <w:tabs>
                <w:tab w:val="left" w:pos="1134"/>
              </w:tabs>
              <w:spacing w:after="0" w:line="240" w:lineRule="auto"/>
              <w:jc w:val="center"/>
              <w:rPr>
                <w:rFonts w:cs="Arial"/>
                <w:szCs w:val="24"/>
              </w:rPr>
            </w:pPr>
            <w:r>
              <w:t>Mean = 18.70 SD = 14.31</w:t>
            </w:r>
          </w:p>
        </w:tc>
        <w:tc>
          <w:tcPr>
            <w:tcW w:w="1417" w:type="pct"/>
            <w:tcBorders>
              <w:top w:val="single" w:sz="4" w:space="0" w:color="auto"/>
              <w:bottom w:val="single" w:sz="4" w:space="0" w:color="auto"/>
            </w:tcBorders>
            <w:vAlign w:val="center"/>
          </w:tcPr>
          <w:p w14:paraId="03B90645" w14:textId="77777777" w:rsidR="00023489" w:rsidRPr="00EE1660" w:rsidRDefault="00023489" w:rsidP="00BC1C17">
            <w:pPr>
              <w:tabs>
                <w:tab w:val="left" w:pos="1134"/>
              </w:tabs>
              <w:spacing w:after="0" w:line="240" w:lineRule="auto"/>
              <w:jc w:val="center"/>
              <w:rPr>
                <w:rFonts w:cs="Arial"/>
                <w:szCs w:val="24"/>
              </w:rPr>
            </w:pPr>
            <w:r>
              <w:t>Mean = 7.70 SD = 9.58</w:t>
            </w:r>
          </w:p>
        </w:tc>
        <w:tc>
          <w:tcPr>
            <w:tcW w:w="959" w:type="pct"/>
            <w:tcBorders>
              <w:top w:val="single" w:sz="4" w:space="0" w:color="auto"/>
              <w:bottom w:val="single" w:sz="4" w:space="0" w:color="auto"/>
            </w:tcBorders>
            <w:vAlign w:val="center"/>
          </w:tcPr>
          <w:p w14:paraId="6C3237CA" w14:textId="77777777" w:rsidR="00023489" w:rsidRDefault="00023489" w:rsidP="00BC1C17">
            <w:pPr>
              <w:tabs>
                <w:tab w:val="left" w:pos="1134"/>
              </w:tabs>
              <w:spacing w:after="0" w:line="240" w:lineRule="auto"/>
              <w:jc w:val="center"/>
            </w:pPr>
            <w:r w:rsidRPr="00515652">
              <w:rPr>
                <w:i/>
              </w:rPr>
              <w:t>U</w:t>
            </w:r>
            <w:r>
              <w:t xml:space="preserve"> = 503,</w:t>
            </w:r>
            <w:r w:rsidRPr="00515652">
              <w:rPr>
                <w:i/>
              </w:rPr>
              <w:t xml:space="preserve"> p</w:t>
            </w:r>
            <w:r>
              <w:t xml:space="preserve"> = &lt;.001</w:t>
            </w:r>
          </w:p>
        </w:tc>
      </w:tr>
      <w:tr w:rsidR="00023489" w:rsidRPr="00EE1660" w14:paraId="3C9FD00F" w14:textId="77777777" w:rsidTr="00B37FB5">
        <w:trPr>
          <w:trHeight w:val="326"/>
          <w:jc w:val="center"/>
        </w:trPr>
        <w:tc>
          <w:tcPr>
            <w:tcW w:w="1125" w:type="pct"/>
            <w:tcBorders>
              <w:top w:val="single" w:sz="4" w:space="0" w:color="auto"/>
              <w:bottom w:val="single" w:sz="4" w:space="0" w:color="auto"/>
            </w:tcBorders>
          </w:tcPr>
          <w:p w14:paraId="74F66E1A" w14:textId="77777777" w:rsidR="00023489" w:rsidRPr="00CA3B62" w:rsidRDefault="00023489" w:rsidP="00BC1C17">
            <w:pPr>
              <w:tabs>
                <w:tab w:val="left" w:pos="1134"/>
              </w:tabs>
              <w:spacing w:after="0" w:line="240" w:lineRule="auto"/>
              <w:rPr>
                <w:rFonts w:cs="Arial"/>
                <w:b/>
                <w:bCs/>
                <w:szCs w:val="24"/>
              </w:rPr>
            </w:pPr>
            <w:r w:rsidRPr="00CA3B62">
              <w:rPr>
                <w:b/>
              </w:rPr>
              <w:t>Current or past therapy?</w:t>
            </w:r>
          </w:p>
        </w:tc>
        <w:tc>
          <w:tcPr>
            <w:tcW w:w="1499" w:type="pct"/>
            <w:gridSpan w:val="2"/>
            <w:tcBorders>
              <w:top w:val="single" w:sz="4" w:space="0" w:color="auto"/>
              <w:bottom w:val="single" w:sz="4" w:space="0" w:color="auto"/>
            </w:tcBorders>
            <w:vAlign w:val="center"/>
          </w:tcPr>
          <w:p w14:paraId="2CEACC4A" w14:textId="77777777" w:rsidR="00023489" w:rsidRPr="00EE1660" w:rsidRDefault="00023489" w:rsidP="00BC1C17">
            <w:pPr>
              <w:tabs>
                <w:tab w:val="left" w:pos="1134"/>
              </w:tabs>
              <w:spacing w:after="0" w:line="240" w:lineRule="auto"/>
              <w:jc w:val="center"/>
              <w:rPr>
                <w:rFonts w:cs="Arial"/>
                <w:szCs w:val="24"/>
              </w:rPr>
            </w:pPr>
            <w:r>
              <w:t>Yes = 25 No = 19</w:t>
            </w:r>
          </w:p>
        </w:tc>
        <w:tc>
          <w:tcPr>
            <w:tcW w:w="1417" w:type="pct"/>
            <w:tcBorders>
              <w:top w:val="single" w:sz="4" w:space="0" w:color="auto"/>
              <w:bottom w:val="single" w:sz="4" w:space="0" w:color="auto"/>
            </w:tcBorders>
            <w:vAlign w:val="center"/>
          </w:tcPr>
          <w:p w14:paraId="46ABFBA3" w14:textId="77777777" w:rsidR="00023489" w:rsidRPr="00EE1660" w:rsidRDefault="00023489" w:rsidP="00BC1C17">
            <w:pPr>
              <w:tabs>
                <w:tab w:val="left" w:pos="1134"/>
              </w:tabs>
              <w:spacing w:after="0" w:line="240" w:lineRule="auto"/>
              <w:jc w:val="center"/>
              <w:rPr>
                <w:rFonts w:cs="Arial"/>
                <w:szCs w:val="24"/>
              </w:rPr>
            </w:pPr>
            <w:r>
              <w:t>Yes = 27 No = 19</w:t>
            </w:r>
          </w:p>
        </w:tc>
        <w:tc>
          <w:tcPr>
            <w:tcW w:w="959" w:type="pct"/>
            <w:tcBorders>
              <w:top w:val="single" w:sz="4" w:space="0" w:color="auto"/>
              <w:bottom w:val="single" w:sz="4" w:space="0" w:color="auto"/>
            </w:tcBorders>
            <w:vAlign w:val="center"/>
          </w:tcPr>
          <w:p w14:paraId="4EE1845D" w14:textId="77777777" w:rsidR="00023489" w:rsidRDefault="00023489" w:rsidP="00BC1C17">
            <w:pPr>
              <w:tabs>
                <w:tab w:val="left" w:pos="1134"/>
              </w:tabs>
              <w:spacing w:after="0" w:line="240" w:lineRule="auto"/>
              <w:jc w:val="center"/>
            </w:pPr>
            <w:r w:rsidRPr="00515652">
              <w:rPr>
                <w:i/>
              </w:rPr>
              <w:t>X</w:t>
            </w:r>
            <w:r w:rsidRPr="00515652">
              <w:rPr>
                <w:i/>
                <w:vertAlign w:val="superscript"/>
              </w:rPr>
              <w:t>2</w:t>
            </w:r>
            <w:r>
              <w:t xml:space="preserve"> = .03,</w:t>
            </w:r>
            <w:r w:rsidRPr="00515652">
              <w:rPr>
                <w:i/>
              </w:rPr>
              <w:t xml:space="preserve"> p</w:t>
            </w:r>
            <w:r>
              <w:t xml:space="preserve"> = .86</w:t>
            </w:r>
          </w:p>
        </w:tc>
      </w:tr>
      <w:tr w:rsidR="00023489" w:rsidRPr="00EE1660" w14:paraId="618A0CDB" w14:textId="77777777" w:rsidTr="00B37FB5">
        <w:trPr>
          <w:trHeight w:val="326"/>
          <w:jc w:val="center"/>
        </w:trPr>
        <w:tc>
          <w:tcPr>
            <w:tcW w:w="1125" w:type="pct"/>
            <w:tcBorders>
              <w:top w:val="single" w:sz="4" w:space="0" w:color="auto"/>
              <w:bottom w:val="single" w:sz="4" w:space="0" w:color="auto"/>
            </w:tcBorders>
          </w:tcPr>
          <w:p w14:paraId="59FD94FB" w14:textId="77777777" w:rsidR="00023489" w:rsidRPr="00A33216" w:rsidRDefault="00023489" w:rsidP="00BC1C17">
            <w:pPr>
              <w:tabs>
                <w:tab w:val="left" w:pos="1134"/>
              </w:tabs>
              <w:spacing w:after="0" w:line="240" w:lineRule="auto"/>
              <w:rPr>
                <w:b/>
              </w:rPr>
            </w:pPr>
            <w:r w:rsidRPr="00A33216">
              <w:rPr>
                <w:b/>
              </w:rPr>
              <w:t>Medication for seizures/mental health?</w:t>
            </w:r>
          </w:p>
        </w:tc>
        <w:tc>
          <w:tcPr>
            <w:tcW w:w="1499" w:type="pct"/>
            <w:gridSpan w:val="2"/>
            <w:tcBorders>
              <w:top w:val="single" w:sz="4" w:space="0" w:color="auto"/>
              <w:bottom w:val="single" w:sz="4" w:space="0" w:color="auto"/>
            </w:tcBorders>
            <w:vAlign w:val="center"/>
          </w:tcPr>
          <w:p w14:paraId="70495099" w14:textId="77777777" w:rsidR="00023489" w:rsidRDefault="00023489" w:rsidP="00BC1C17">
            <w:pPr>
              <w:tabs>
                <w:tab w:val="left" w:pos="1134"/>
              </w:tabs>
              <w:spacing w:after="0" w:line="240" w:lineRule="auto"/>
              <w:jc w:val="center"/>
            </w:pPr>
            <w:r>
              <w:t>Yes = 38 No =6</w:t>
            </w:r>
          </w:p>
        </w:tc>
        <w:tc>
          <w:tcPr>
            <w:tcW w:w="1417" w:type="pct"/>
            <w:tcBorders>
              <w:top w:val="single" w:sz="4" w:space="0" w:color="auto"/>
              <w:bottom w:val="single" w:sz="4" w:space="0" w:color="auto"/>
            </w:tcBorders>
            <w:vAlign w:val="center"/>
          </w:tcPr>
          <w:p w14:paraId="47A6019B" w14:textId="77777777" w:rsidR="00023489" w:rsidRDefault="00023489" w:rsidP="00BC1C17">
            <w:pPr>
              <w:tabs>
                <w:tab w:val="left" w:pos="1134"/>
              </w:tabs>
              <w:spacing w:after="0" w:line="240" w:lineRule="auto"/>
              <w:jc w:val="center"/>
            </w:pPr>
            <w:r>
              <w:t>Yes = 26 No = 21</w:t>
            </w:r>
          </w:p>
        </w:tc>
        <w:tc>
          <w:tcPr>
            <w:tcW w:w="959" w:type="pct"/>
            <w:tcBorders>
              <w:top w:val="single" w:sz="4" w:space="0" w:color="auto"/>
              <w:bottom w:val="single" w:sz="4" w:space="0" w:color="auto"/>
            </w:tcBorders>
            <w:vAlign w:val="center"/>
          </w:tcPr>
          <w:p w14:paraId="4698733F" w14:textId="77777777" w:rsidR="00023489" w:rsidRPr="00A33216" w:rsidRDefault="00023489" w:rsidP="00BC1C17">
            <w:pPr>
              <w:tabs>
                <w:tab w:val="left" w:pos="1134"/>
              </w:tabs>
              <w:spacing w:after="0" w:line="240" w:lineRule="auto"/>
              <w:jc w:val="center"/>
            </w:pPr>
            <w:r w:rsidRPr="00515652">
              <w:rPr>
                <w:i/>
              </w:rPr>
              <w:t>X</w:t>
            </w:r>
            <w:r w:rsidRPr="00515652">
              <w:rPr>
                <w:i/>
                <w:vertAlign w:val="superscript"/>
              </w:rPr>
              <w:t>2</w:t>
            </w:r>
            <w:r>
              <w:rPr>
                <w:i/>
                <w:vertAlign w:val="superscript"/>
              </w:rPr>
              <w:t xml:space="preserve"> </w:t>
            </w:r>
            <w:r w:rsidRPr="00A33216">
              <w:t>= 9.75</w:t>
            </w:r>
            <w:r>
              <w:rPr>
                <w:i/>
              </w:rPr>
              <w:t xml:space="preserve">, p </w:t>
            </w:r>
            <w:r>
              <w:t>= .002</w:t>
            </w:r>
          </w:p>
        </w:tc>
      </w:tr>
      <w:tr w:rsidR="00023489" w:rsidRPr="00EE1660" w14:paraId="73A7F947" w14:textId="77777777" w:rsidTr="00B37FB5">
        <w:trPr>
          <w:trHeight w:val="671"/>
          <w:jc w:val="center"/>
        </w:trPr>
        <w:tc>
          <w:tcPr>
            <w:tcW w:w="1125" w:type="pct"/>
            <w:tcBorders>
              <w:top w:val="single" w:sz="4" w:space="0" w:color="auto"/>
              <w:bottom w:val="single" w:sz="4" w:space="0" w:color="auto"/>
            </w:tcBorders>
          </w:tcPr>
          <w:p w14:paraId="081C06A7" w14:textId="77777777" w:rsidR="00023489" w:rsidRPr="00CA3B62" w:rsidRDefault="00023489" w:rsidP="00BC1C17">
            <w:pPr>
              <w:tabs>
                <w:tab w:val="left" w:pos="1134"/>
              </w:tabs>
              <w:spacing w:after="0" w:line="240" w:lineRule="auto"/>
              <w:rPr>
                <w:rFonts w:cs="Arial"/>
                <w:b/>
                <w:bCs/>
                <w:szCs w:val="24"/>
              </w:rPr>
            </w:pPr>
            <w:r w:rsidRPr="00CA3B62">
              <w:rPr>
                <w:b/>
              </w:rPr>
              <w:t>Number of seizures over last four weeks [seizure frequency]</w:t>
            </w:r>
            <w:r>
              <w:rPr>
                <w:b/>
              </w:rPr>
              <w:t xml:space="preserve"> (n</w:t>
            </w:r>
            <w:r w:rsidRPr="00CA3B62">
              <w:rPr>
                <w:b/>
              </w:rPr>
              <w:t xml:space="preserve"> = 86, epilepsy 41, DS 45)</w:t>
            </w:r>
          </w:p>
        </w:tc>
        <w:tc>
          <w:tcPr>
            <w:tcW w:w="1499" w:type="pct"/>
            <w:gridSpan w:val="2"/>
            <w:tcBorders>
              <w:top w:val="single" w:sz="4" w:space="0" w:color="auto"/>
              <w:bottom w:val="single" w:sz="4" w:space="0" w:color="auto"/>
            </w:tcBorders>
            <w:vAlign w:val="center"/>
          </w:tcPr>
          <w:p w14:paraId="3637E705" w14:textId="77777777" w:rsidR="00023489" w:rsidRPr="00EE1660" w:rsidRDefault="00023489" w:rsidP="00BC1C17">
            <w:pPr>
              <w:tabs>
                <w:tab w:val="left" w:pos="1134"/>
              </w:tabs>
              <w:spacing w:after="0" w:line="240" w:lineRule="auto"/>
              <w:jc w:val="center"/>
              <w:rPr>
                <w:rFonts w:cs="Arial"/>
                <w:szCs w:val="24"/>
              </w:rPr>
            </w:pPr>
            <w:r>
              <w:t>Mean = 11.29 SD = 18.30</w:t>
            </w:r>
          </w:p>
        </w:tc>
        <w:tc>
          <w:tcPr>
            <w:tcW w:w="1417" w:type="pct"/>
            <w:tcBorders>
              <w:top w:val="single" w:sz="4" w:space="0" w:color="auto"/>
              <w:bottom w:val="single" w:sz="4" w:space="0" w:color="auto"/>
            </w:tcBorders>
            <w:vAlign w:val="center"/>
          </w:tcPr>
          <w:p w14:paraId="19A6870E" w14:textId="77777777" w:rsidR="00023489" w:rsidRPr="00EE1660" w:rsidRDefault="00023489" w:rsidP="00BC1C17">
            <w:pPr>
              <w:tabs>
                <w:tab w:val="left" w:pos="1134"/>
              </w:tabs>
              <w:spacing w:after="0" w:line="240" w:lineRule="auto"/>
              <w:jc w:val="center"/>
              <w:rPr>
                <w:rFonts w:cs="Arial"/>
                <w:szCs w:val="24"/>
              </w:rPr>
            </w:pPr>
            <w:r>
              <w:t>Mean = 55.33 SD = 190.64</w:t>
            </w:r>
          </w:p>
        </w:tc>
        <w:tc>
          <w:tcPr>
            <w:tcW w:w="959" w:type="pct"/>
            <w:tcBorders>
              <w:top w:val="single" w:sz="4" w:space="0" w:color="auto"/>
              <w:bottom w:val="single" w:sz="4" w:space="0" w:color="auto"/>
            </w:tcBorders>
            <w:vAlign w:val="center"/>
          </w:tcPr>
          <w:p w14:paraId="2497EE91" w14:textId="77777777" w:rsidR="00023489" w:rsidRDefault="00023489" w:rsidP="00BC1C17">
            <w:pPr>
              <w:tabs>
                <w:tab w:val="left" w:pos="1134"/>
              </w:tabs>
              <w:spacing w:after="0" w:line="240" w:lineRule="auto"/>
              <w:jc w:val="center"/>
            </w:pPr>
            <w:r w:rsidRPr="00515652">
              <w:rPr>
                <w:i/>
              </w:rPr>
              <w:t>U</w:t>
            </w:r>
            <w:r>
              <w:t xml:space="preserve"> = 1187, </w:t>
            </w:r>
            <w:r w:rsidRPr="00515652">
              <w:rPr>
                <w:i/>
              </w:rPr>
              <w:t>p</w:t>
            </w:r>
            <w:r>
              <w:t xml:space="preserve"> = .022</w:t>
            </w:r>
          </w:p>
        </w:tc>
      </w:tr>
      <w:tr w:rsidR="00023489" w:rsidRPr="00EE1660" w14:paraId="6A4C1355" w14:textId="77777777" w:rsidTr="00B37FB5">
        <w:trPr>
          <w:trHeight w:val="750"/>
          <w:jc w:val="center"/>
        </w:trPr>
        <w:tc>
          <w:tcPr>
            <w:tcW w:w="1125" w:type="pct"/>
            <w:tcBorders>
              <w:top w:val="single" w:sz="4" w:space="0" w:color="auto"/>
              <w:bottom w:val="single" w:sz="4" w:space="0" w:color="auto"/>
            </w:tcBorders>
          </w:tcPr>
          <w:p w14:paraId="0E131960" w14:textId="77777777" w:rsidR="00023489" w:rsidRPr="00CA3B62" w:rsidRDefault="00023489" w:rsidP="00BC1C17">
            <w:pPr>
              <w:tabs>
                <w:tab w:val="left" w:pos="1134"/>
              </w:tabs>
              <w:spacing w:after="0" w:line="240" w:lineRule="auto"/>
              <w:rPr>
                <w:rFonts w:cs="Arial"/>
                <w:b/>
                <w:bCs/>
                <w:szCs w:val="24"/>
              </w:rPr>
            </w:pPr>
            <w:r w:rsidRPr="00CA3B62">
              <w:rPr>
                <w:b/>
              </w:rPr>
              <w:t>Most recent seizure</w:t>
            </w:r>
          </w:p>
        </w:tc>
        <w:tc>
          <w:tcPr>
            <w:tcW w:w="1499" w:type="pct"/>
            <w:gridSpan w:val="2"/>
            <w:tcBorders>
              <w:top w:val="single" w:sz="4" w:space="0" w:color="auto"/>
              <w:bottom w:val="single" w:sz="4" w:space="0" w:color="auto"/>
            </w:tcBorders>
            <w:vAlign w:val="center"/>
          </w:tcPr>
          <w:p w14:paraId="0DC11FAA" w14:textId="77777777" w:rsidR="00023489" w:rsidRDefault="00023489" w:rsidP="00BC1C17">
            <w:pPr>
              <w:spacing w:after="0" w:line="240" w:lineRule="auto"/>
              <w:jc w:val="center"/>
            </w:pPr>
            <w:r w:rsidRPr="00692FB2">
              <w:t>In the last week</w:t>
            </w:r>
            <w:r>
              <w:t xml:space="preserve"> = 22</w:t>
            </w:r>
          </w:p>
          <w:p w14:paraId="44E8818B" w14:textId="77777777" w:rsidR="00023489" w:rsidRDefault="00023489" w:rsidP="00BC1C17">
            <w:pPr>
              <w:spacing w:after="0" w:line="240" w:lineRule="auto"/>
              <w:jc w:val="center"/>
            </w:pPr>
            <w:r>
              <w:t>In the last month = 9</w:t>
            </w:r>
          </w:p>
          <w:p w14:paraId="26BE8199" w14:textId="77777777" w:rsidR="00023489" w:rsidRDefault="00023489" w:rsidP="00BC1C17">
            <w:pPr>
              <w:spacing w:after="0" w:line="240" w:lineRule="auto"/>
              <w:jc w:val="center"/>
            </w:pPr>
            <w:r>
              <w:t>In the last three months = 1</w:t>
            </w:r>
          </w:p>
          <w:p w14:paraId="757E84B9" w14:textId="77777777" w:rsidR="00023489" w:rsidRDefault="00023489" w:rsidP="00BC1C17">
            <w:pPr>
              <w:spacing w:after="0" w:line="240" w:lineRule="auto"/>
              <w:jc w:val="center"/>
            </w:pPr>
            <w:r>
              <w:t>Last six months = 4</w:t>
            </w:r>
          </w:p>
          <w:p w14:paraId="11B6AB9D" w14:textId="77777777" w:rsidR="00023489" w:rsidRDefault="00023489" w:rsidP="00BC1C17">
            <w:pPr>
              <w:spacing w:after="0" w:line="240" w:lineRule="auto"/>
              <w:jc w:val="center"/>
            </w:pPr>
            <w:r>
              <w:t>In the last year = 0</w:t>
            </w:r>
          </w:p>
          <w:p w14:paraId="27E269FF" w14:textId="77777777" w:rsidR="00023489" w:rsidRDefault="00023489" w:rsidP="00BC1C17">
            <w:pPr>
              <w:tabs>
                <w:tab w:val="left" w:pos="1134"/>
              </w:tabs>
              <w:spacing w:after="0" w:line="240" w:lineRule="auto"/>
              <w:jc w:val="center"/>
              <w:rPr>
                <w:rFonts w:cs="Arial"/>
                <w:szCs w:val="24"/>
              </w:rPr>
            </w:pPr>
            <w:r>
              <w:t>Over a year ago = 8</w:t>
            </w:r>
          </w:p>
        </w:tc>
        <w:tc>
          <w:tcPr>
            <w:tcW w:w="1417" w:type="pct"/>
            <w:tcBorders>
              <w:top w:val="single" w:sz="4" w:space="0" w:color="auto"/>
              <w:bottom w:val="single" w:sz="4" w:space="0" w:color="auto"/>
            </w:tcBorders>
            <w:vAlign w:val="center"/>
          </w:tcPr>
          <w:p w14:paraId="34092BD0" w14:textId="77777777" w:rsidR="00023489" w:rsidRDefault="00023489" w:rsidP="00BC1C17">
            <w:pPr>
              <w:spacing w:after="0" w:line="240" w:lineRule="auto"/>
              <w:jc w:val="center"/>
            </w:pPr>
            <w:r w:rsidRPr="00692FB2">
              <w:t>In the last week</w:t>
            </w:r>
            <w:r>
              <w:t xml:space="preserve"> = 30</w:t>
            </w:r>
          </w:p>
          <w:p w14:paraId="5EE28BAC" w14:textId="77777777" w:rsidR="00023489" w:rsidRDefault="00023489" w:rsidP="00BC1C17">
            <w:pPr>
              <w:spacing w:after="0" w:line="240" w:lineRule="auto"/>
              <w:jc w:val="center"/>
            </w:pPr>
            <w:r>
              <w:t>In the last month = 14</w:t>
            </w:r>
          </w:p>
          <w:p w14:paraId="34153FC5" w14:textId="77777777" w:rsidR="00023489" w:rsidRDefault="00023489" w:rsidP="00BC1C17">
            <w:pPr>
              <w:spacing w:after="0" w:line="240" w:lineRule="auto"/>
              <w:jc w:val="center"/>
            </w:pPr>
            <w:r>
              <w:t>In the last three months = 0</w:t>
            </w:r>
          </w:p>
          <w:p w14:paraId="2E3C2CD4" w14:textId="77777777" w:rsidR="00023489" w:rsidRDefault="00023489" w:rsidP="00BC1C17">
            <w:pPr>
              <w:spacing w:after="0" w:line="240" w:lineRule="auto"/>
              <w:jc w:val="center"/>
            </w:pPr>
            <w:r>
              <w:t>Last six months = 0</w:t>
            </w:r>
          </w:p>
          <w:p w14:paraId="559086B3" w14:textId="77777777" w:rsidR="00023489" w:rsidRDefault="00023489" w:rsidP="00BC1C17">
            <w:pPr>
              <w:spacing w:after="0" w:line="240" w:lineRule="auto"/>
              <w:jc w:val="center"/>
            </w:pPr>
            <w:r>
              <w:t>In the last year = 1</w:t>
            </w:r>
          </w:p>
          <w:p w14:paraId="248C5805" w14:textId="77777777" w:rsidR="00023489" w:rsidRDefault="00023489" w:rsidP="00BC1C17">
            <w:pPr>
              <w:tabs>
                <w:tab w:val="left" w:pos="1134"/>
              </w:tabs>
              <w:spacing w:after="0" w:line="240" w:lineRule="auto"/>
              <w:jc w:val="center"/>
              <w:rPr>
                <w:rFonts w:cs="Arial"/>
                <w:szCs w:val="24"/>
              </w:rPr>
            </w:pPr>
            <w:r>
              <w:t>Over a year ago = 1</w:t>
            </w:r>
          </w:p>
        </w:tc>
        <w:tc>
          <w:tcPr>
            <w:tcW w:w="959" w:type="pct"/>
            <w:tcBorders>
              <w:top w:val="single" w:sz="4" w:space="0" w:color="auto"/>
              <w:bottom w:val="single" w:sz="4" w:space="0" w:color="auto"/>
            </w:tcBorders>
            <w:vAlign w:val="center"/>
          </w:tcPr>
          <w:p w14:paraId="37198D3C" w14:textId="77777777" w:rsidR="00023489" w:rsidRPr="00692FB2" w:rsidRDefault="00023489" w:rsidP="00BC1C17">
            <w:pPr>
              <w:spacing w:after="0" w:line="240" w:lineRule="auto"/>
              <w:jc w:val="center"/>
            </w:pPr>
            <w:r w:rsidRPr="00515652">
              <w:rPr>
                <w:i/>
              </w:rPr>
              <w:t>X</w:t>
            </w:r>
            <w:r w:rsidRPr="00515652">
              <w:rPr>
                <w:i/>
                <w:vertAlign w:val="superscript"/>
              </w:rPr>
              <w:t>2</w:t>
            </w:r>
            <w:r>
              <w:t xml:space="preserve"> = 13.73, </w:t>
            </w:r>
            <w:r w:rsidRPr="00515652">
              <w:rPr>
                <w:i/>
              </w:rPr>
              <w:t>p</w:t>
            </w:r>
            <w:r>
              <w:t xml:space="preserve"> = 0.17</w:t>
            </w:r>
          </w:p>
        </w:tc>
      </w:tr>
    </w:tbl>
    <w:p w14:paraId="038E8A3C" w14:textId="77777777" w:rsidR="00023489" w:rsidRDefault="00023489" w:rsidP="00023489">
      <w:pPr>
        <w:spacing w:line="480" w:lineRule="auto"/>
        <w:rPr>
          <w:b/>
        </w:rPr>
      </w:pPr>
    </w:p>
    <w:p w14:paraId="502A37ED" w14:textId="77777777" w:rsidR="00A53770" w:rsidRDefault="00A53770">
      <w:pPr>
        <w:rPr>
          <w:b/>
        </w:rPr>
      </w:pPr>
      <w:r>
        <w:rPr>
          <w:b/>
        </w:rPr>
        <w:br w:type="page"/>
      </w:r>
    </w:p>
    <w:p w14:paraId="0E59D7EC" w14:textId="48B7D9C5" w:rsidR="00023489" w:rsidRPr="00EC1B42" w:rsidRDefault="00023489" w:rsidP="00A53770">
      <w:pPr>
        <w:pStyle w:val="Heading2"/>
        <w:jc w:val="both"/>
      </w:pPr>
      <w:bookmarkStart w:id="155" w:name="_Toc133487830"/>
      <w:r>
        <w:lastRenderedPageBreak/>
        <w:t>Between groups differences in IU, AS, anxiety, depression, and somatisation</w:t>
      </w:r>
      <w:bookmarkEnd w:id="155"/>
    </w:p>
    <w:p w14:paraId="27BD2E16" w14:textId="77777777" w:rsidR="00023489" w:rsidRDefault="00023489" w:rsidP="00A53770">
      <w:pPr>
        <w:spacing w:line="360" w:lineRule="auto"/>
        <w:ind w:firstLine="720"/>
        <w:jc w:val="both"/>
      </w:pPr>
      <w:r>
        <w:t xml:space="preserve">Mean scores across all measures were higher for PWDS than PWE (Table 4). An Independent t-test was carried out for comparisons of IU between groups because this variable met parametric assumptions. </w:t>
      </w:r>
    </w:p>
    <w:p w14:paraId="1F9DC20F" w14:textId="77777777" w:rsidR="00023489" w:rsidRDefault="00023489" w:rsidP="00A53770">
      <w:pPr>
        <w:spacing w:line="360" w:lineRule="auto"/>
        <w:ind w:firstLine="720"/>
        <w:jc w:val="both"/>
      </w:pPr>
      <w:r>
        <w:t xml:space="preserve">IU scores from the 44 PWDS (M = 39.43, SD = 12.60) were not significantly higher than the 46 PWE (M = 36.98, SD = 12.24)  , </w:t>
      </w:r>
      <w:r>
        <w:rPr>
          <w:i/>
        </w:rPr>
        <w:t>t</w:t>
      </w:r>
      <w:r>
        <w:t>(88)=-.938, p = .351.</w:t>
      </w:r>
    </w:p>
    <w:p w14:paraId="022A788B" w14:textId="1D61A2E9" w:rsidR="00023489" w:rsidRDefault="00023489" w:rsidP="00A53770">
      <w:pPr>
        <w:spacing w:line="360" w:lineRule="auto"/>
        <w:ind w:firstLine="720"/>
        <w:jc w:val="both"/>
      </w:pPr>
      <w:r>
        <w:t>Mann-Whitney U tests were carried out for comparisons of somatisation, AS, depression, and anxiety because these variables did not meet parametric as</w:t>
      </w:r>
      <w:r w:rsidR="00B37FB5">
        <w:t xml:space="preserve">sumptions of normality. Medians </w:t>
      </w:r>
      <w:r>
        <w:t>are reported (Field, 2018).</w:t>
      </w:r>
    </w:p>
    <w:p w14:paraId="325F1DBA" w14:textId="77777777" w:rsidR="00023489" w:rsidRDefault="00023489" w:rsidP="00A53770">
      <w:pPr>
        <w:spacing w:line="360" w:lineRule="auto"/>
        <w:ind w:firstLine="720"/>
        <w:jc w:val="both"/>
      </w:pPr>
      <w:r>
        <w:t>Somatisation scores for PWDS (Md = 11, n = 46) were not significantly higher than for PWE (Md = 10, n = 44), U = 808.00, p = .099.</w:t>
      </w:r>
    </w:p>
    <w:p w14:paraId="06042904" w14:textId="77777777" w:rsidR="00023489" w:rsidRDefault="00023489" w:rsidP="00A53770">
      <w:pPr>
        <w:spacing w:line="360" w:lineRule="auto"/>
        <w:ind w:firstLine="720"/>
        <w:jc w:val="both"/>
      </w:pPr>
      <w:r>
        <w:t>AS scores for PWDS (Md = 27)</w:t>
      </w:r>
      <w:r w:rsidRPr="003E3190">
        <w:t xml:space="preserve"> </w:t>
      </w:r>
      <w:r>
        <w:t xml:space="preserve">were not significantly higher than for PWE (Md = 22), </w:t>
      </w:r>
      <w:r w:rsidRPr="00F7542C">
        <w:t>U</w:t>
      </w:r>
      <w:r>
        <w:t xml:space="preserve"> = 817.500, </w:t>
      </w:r>
      <w:r w:rsidRPr="00F7542C">
        <w:t>p</w:t>
      </w:r>
      <w:r>
        <w:t xml:space="preserve"> = .116).</w:t>
      </w:r>
    </w:p>
    <w:p w14:paraId="68A62AA9" w14:textId="77777777" w:rsidR="00023489" w:rsidRDefault="00023489" w:rsidP="00A53770">
      <w:pPr>
        <w:spacing w:line="360" w:lineRule="auto"/>
        <w:ind w:firstLine="720"/>
        <w:jc w:val="both"/>
      </w:pPr>
      <w:r>
        <w:t>Anxiety scores for PWDS (Md = 13) were not significantly higher than for PWE (Md = 11), U = 827.00, p = .135.</w:t>
      </w:r>
    </w:p>
    <w:p w14:paraId="49BF75AD" w14:textId="77777777" w:rsidR="00A379D0" w:rsidRDefault="00023489" w:rsidP="00A53770">
      <w:pPr>
        <w:spacing w:line="360" w:lineRule="auto"/>
        <w:ind w:firstLine="720"/>
        <w:jc w:val="both"/>
      </w:pPr>
      <w:r>
        <w:t>Depression scores for PWDS (Md = 17) were not significantly higher than for PWE (</w:t>
      </w:r>
      <w:r w:rsidR="00747028">
        <w:t>Md = 14.50), U = 805, p = .094.</w:t>
      </w:r>
    </w:p>
    <w:p w14:paraId="5466E787" w14:textId="0410C75B" w:rsidR="00A53770" w:rsidRDefault="00A53770">
      <w:pPr>
        <w:rPr>
          <w:rFonts w:asciiTheme="majorHAnsi" w:eastAsiaTheme="majorEastAsia" w:hAnsiTheme="majorHAnsi" w:cstheme="majorBidi"/>
          <w:b/>
          <w:szCs w:val="26"/>
        </w:rPr>
      </w:pPr>
    </w:p>
    <w:p w14:paraId="12BCAD4D" w14:textId="6EED5B43" w:rsidR="00716423" w:rsidRDefault="00716423">
      <w:pPr>
        <w:rPr>
          <w:rFonts w:asciiTheme="majorHAnsi" w:eastAsiaTheme="majorEastAsia" w:hAnsiTheme="majorHAnsi" w:cstheme="majorBidi"/>
          <w:b/>
          <w:szCs w:val="26"/>
        </w:rPr>
      </w:pPr>
    </w:p>
    <w:p w14:paraId="22D304A4" w14:textId="650B16FE" w:rsidR="00716423" w:rsidRDefault="00716423">
      <w:pPr>
        <w:rPr>
          <w:rFonts w:asciiTheme="majorHAnsi" w:eastAsiaTheme="majorEastAsia" w:hAnsiTheme="majorHAnsi" w:cstheme="majorBidi"/>
          <w:b/>
          <w:szCs w:val="26"/>
        </w:rPr>
      </w:pPr>
    </w:p>
    <w:p w14:paraId="757DF645" w14:textId="11D345C5" w:rsidR="00716423" w:rsidRDefault="00716423">
      <w:pPr>
        <w:rPr>
          <w:rFonts w:asciiTheme="majorHAnsi" w:eastAsiaTheme="majorEastAsia" w:hAnsiTheme="majorHAnsi" w:cstheme="majorBidi"/>
          <w:b/>
          <w:szCs w:val="26"/>
        </w:rPr>
      </w:pPr>
    </w:p>
    <w:p w14:paraId="71284E9D" w14:textId="1EF80DB4" w:rsidR="00716423" w:rsidRDefault="00716423">
      <w:pPr>
        <w:rPr>
          <w:rFonts w:asciiTheme="majorHAnsi" w:eastAsiaTheme="majorEastAsia" w:hAnsiTheme="majorHAnsi" w:cstheme="majorBidi"/>
          <w:b/>
          <w:szCs w:val="26"/>
        </w:rPr>
      </w:pPr>
    </w:p>
    <w:p w14:paraId="2D3281BE" w14:textId="7CA502EC" w:rsidR="00716423" w:rsidRDefault="00716423">
      <w:pPr>
        <w:rPr>
          <w:rFonts w:asciiTheme="majorHAnsi" w:eastAsiaTheme="majorEastAsia" w:hAnsiTheme="majorHAnsi" w:cstheme="majorBidi"/>
          <w:b/>
          <w:szCs w:val="26"/>
        </w:rPr>
      </w:pPr>
    </w:p>
    <w:p w14:paraId="616E232D" w14:textId="258D39FA" w:rsidR="00716423" w:rsidRDefault="00716423">
      <w:pPr>
        <w:rPr>
          <w:rFonts w:asciiTheme="majorHAnsi" w:eastAsiaTheme="majorEastAsia" w:hAnsiTheme="majorHAnsi" w:cstheme="majorBidi"/>
          <w:b/>
          <w:szCs w:val="26"/>
        </w:rPr>
      </w:pPr>
    </w:p>
    <w:p w14:paraId="35F5DFAC" w14:textId="0BB56CFA" w:rsidR="00716423" w:rsidRDefault="00716423">
      <w:pPr>
        <w:rPr>
          <w:rFonts w:asciiTheme="majorHAnsi" w:eastAsiaTheme="majorEastAsia" w:hAnsiTheme="majorHAnsi" w:cstheme="majorBidi"/>
          <w:b/>
          <w:szCs w:val="26"/>
        </w:rPr>
      </w:pPr>
    </w:p>
    <w:p w14:paraId="4A226AF1" w14:textId="3AB0F85A" w:rsidR="00716423" w:rsidRDefault="00716423">
      <w:pPr>
        <w:rPr>
          <w:rFonts w:asciiTheme="majorHAnsi" w:eastAsiaTheme="majorEastAsia" w:hAnsiTheme="majorHAnsi" w:cstheme="majorBidi"/>
          <w:b/>
          <w:szCs w:val="26"/>
        </w:rPr>
      </w:pPr>
    </w:p>
    <w:p w14:paraId="3234647F" w14:textId="78E7FACD" w:rsidR="00716423" w:rsidRDefault="00716423">
      <w:pPr>
        <w:rPr>
          <w:rFonts w:asciiTheme="majorHAnsi" w:eastAsiaTheme="majorEastAsia" w:hAnsiTheme="majorHAnsi" w:cstheme="majorBidi"/>
          <w:b/>
          <w:szCs w:val="26"/>
        </w:rPr>
      </w:pPr>
    </w:p>
    <w:p w14:paraId="768D71A5" w14:textId="77777777" w:rsidR="00716423" w:rsidRDefault="00716423">
      <w:pPr>
        <w:rPr>
          <w:rFonts w:asciiTheme="majorHAnsi" w:eastAsiaTheme="majorEastAsia" w:hAnsiTheme="majorHAnsi" w:cstheme="majorBidi"/>
          <w:b/>
          <w:szCs w:val="26"/>
        </w:rPr>
      </w:pPr>
    </w:p>
    <w:p w14:paraId="51125759" w14:textId="480DCC64" w:rsidR="00023489" w:rsidRDefault="00023489" w:rsidP="00A53770">
      <w:pPr>
        <w:pStyle w:val="Heading2"/>
      </w:pPr>
      <w:bookmarkStart w:id="156" w:name="_Toc133487831"/>
      <w:r>
        <w:lastRenderedPageBreak/>
        <w:t>Table 4</w:t>
      </w:r>
      <w:bookmarkEnd w:id="156"/>
    </w:p>
    <w:p w14:paraId="47ADC195" w14:textId="352BB397" w:rsidR="00023489" w:rsidRPr="00907EB8" w:rsidRDefault="00E22C44" w:rsidP="00A53770">
      <w:pPr>
        <w:spacing w:line="360" w:lineRule="auto"/>
        <w:rPr>
          <w:i/>
        </w:rPr>
      </w:pPr>
      <w:r>
        <w:rPr>
          <w:i/>
        </w:rPr>
        <w:t>Comparison of group (PWE</w:t>
      </w:r>
      <w:r w:rsidRPr="00907EB8">
        <w:rPr>
          <w:i/>
        </w:rPr>
        <w:t xml:space="preserve"> and </w:t>
      </w:r>
      <w:r>
        <w:rPr>
          <w:i/>
        </w:rPr>
        <w:t xml:space="preserve">PWDS) means </w:t>
      </w:r>
      <w:r w:rsidR="00023489" w:rsidRPr="00907EB8">
        <w:rPr>
          <w:i/>
        </w:rPr>
        <w:t>(SD)</w:t>
      </w:r>
      <w:r>
        <w:rPr>
          <w:i/>
        </w:rPr>
        <w:t xml:space="preserve"> for IU, AS, anxiety, depressio</w:t>
      </w:r>
      <w:r w:rsidR="00716423">
        <w:rPr>
          <w:i/>
        </w:rPr>
        <w:t>n, somatisation, seizure frequency, and diagnosis</w:t>
      </w:r>
      <w:r w:rsidR="00023489" w:rsidRPr="00907EB8">
        <w:rPr>
          <w:i/>
        </w:rPr>
        <w:t xml:space="preserve"> (n = 90)</w:t>
      </w:r>
    </w:p>
    <w:tbl>
      <w:tblPr>
        <w:tblW w:w="4040" w:type="pct"/>
        <w:tblLook w:val="04A0" w:firstRow="1" w:lastRow="0" w:firstColumn="1" w:lastColumn="0" w:noHBand="0" w:noVBand="1"/>
      </w:tblPr>
      <w:tblGrid>
        <w:gridCol w:w="3831"/>
        <w:gridCol w:w="1731"/>
        <w:gridCol w:w="1731"/>
      </w:tblGrid>
      <w:tr w:rsidR="00023489" w:rsidRPr="00EE1660" w14:paraId="77A7DBF9" w14:textId="77777777" w:rsidTr="00023489">
        <w:trPr>
          <w:trHeight w:val="506"/>
        </w:trPr>
        <w:tc>
          <w:tcPr>
            <w:tcW w:w="2626" w:type="pct"/>
            <w:tcBorders>
              <w:top w:val="single" w:sz="4" w:space="0" w:color="auto"/>
              <w:bottom w:val="single" w:sz="4" w:space="0" w:color="auto"/>
            </w:tcBorders>
            <w:vAlign w:val="center"/>
          </w:tcPr>
          <w:p w14:paraId="6FE83935" w14:textId="77777777" w:rsidR="00023489" w:rsidRPr="00EE1660" w:rsidRDefault="00023489" w:rsidP="00023489">
            <w:pPr>
              <w:tabs>
                <w:tab w:val="left" w:pos="1134"/>
              </w:tabs>
              <w:jc w:val="center"/>
              <w:rPr>
                <w:rFonts w:cs="Arial"/>
                <w:szCs w:val="24"/>
              </w:rPr>
            </w:pPr>
          </w:p>
        </w:tc>
        <w:tc>
          <w:tcPr>
            <w:tcW w:w="1187" w:type="pct"/>
            <w:tcBorders>
              <w:top w:val="single" w:sz="4" w:space="0" w:color="auto"/>
              <w:bottom w:val="single" w:sz="4" w:space="0" w:color="auto"/>
            </w:tcBorders>
            <w:vAlign w:val="center"/>
          </w:tcPr>
          <w:p w14:paraId="3AE79C6B" w14:textId="77777777" w:rsidR="00023489" w:rsidRDefault="00023489" w:rsidP="00023489">
            <w:pPr>
              <w:tabs>
                <w:tab w:val="left" w:pos="1134"/>
              </w:tabs>
              <w:jc w:val="center"/>
              <w:rPr>
                <w:rFonts w:cs="Arial"/>
                <w:b/>
                <w:bCs/>
                <w:szCs w:val="24"/>
              </w:rPr>
            </w:pPr>
            <w:r>
              <w:rPr>
                <w:rFonts w:cs="Arial"/>
                <w:b/>
                <w:bCs/>
                <w:szCs w:val="24"/>
              </w:rPr>
              <w:t>PWE</w:t>
            </w:r>
          </w:p>
          <w:p w14:paraId="62687994" w14:textId="77777777" w:rsidR="00023489" w:rsidRPr="00EE1660" w:rsidRDefault="00023489" w:rsidP="00023489">
            <w:pPr>
              <w:tabs>
                <w:tab w:val="left" w:pos="1134"/>
              </w:tabs>
              <w:jc w:val="center"/>
              <w:rPr>
                <w:rFonts w:cs="Arial"/>
                <w:b/>
                <w:bCs/>
                <w:szCs w:val="24"/>
              </w:rPr>
            </w:pPr>
            <w:r>
              <w:rPr>
                <w:rFonts w:cs="Arial"/>
                <w:b/>
                <w:bCs/>
                <w:szCs w:val="24"/>
              </w:rPr>
              <w:t>(n = 44)</w:t>
            </w:r>
          </w:p>
        </w:tc>
        <w:tc>
          <w:tcPr>
            <w:tcW w:w="1187" w:type="pct"/>
            <w:tcBorders>
              <w:top w:val="single" w:sz="4" w:space="0" w:color="auto"/>
              <w:bottom w:val="single" w:sz="4" w:space="0" w:color="auto"/>
            </w:tcBorders>
            <w:vAlign w:val="center"/>
          </w:tcPr>
          <w:p w14:paraId="5D0D1242" w14:textId="77777777" w:rsidR="00023489" w:rsidRDefault="00023489" w:rsidP="00023489">
            <w:pPr>
              <w:tabs>
                <w:tab w:val="left" w:pos="1134"/>
              </w:tabs>
              <w:jc w:val="center"/>
              <w:rPr>
                <w:rFonts w:cs="Arial"/>
                <w:b/>
                <w:bCs/>
                <w:szCs w:val="24"/>
              </w:rPr>
            </w:pPr>
            <w:r>
              <w:rPr>
                <w:rFonts w:cs="Arial"/>
                <w:b/>
                <w:bCs/>
                <w:szCs w:val="24"/>
              </w:rPr>
              <w:t>PWDS</w:t>
            </w:r>
          </w:p>
          <w:p w14:paraId="5982529B" w14:textId="77777777" w:rsidR="00023489" w:rsidRPr="00EE1660" w:rsidRDefault="00023489" w:rsidP="00023489">
            <w:pPr>
              <w:tabs>
                <w:tab w:val="left" w:pos="1134"/>
              </w:tabs>
              <w:jc w:val="center"/>
              <w:rPr>
                <w:rFonts w:cs="Arial"/>
                <w:b/>
                <w:bCs/>
                <w:szCs w:val="24"/>
              </w:rPr>
            </w:pPr>
            <w:r>
              <w:rPr>
                <w:rFonts w:cs="Arial"/>
                <w:b/>
                <w:bCs/>
                <w:szCs w:val="24"/>
              </w:rPr>
              <w:t>(n = 46)</w:t>
            </w:r>
          </w:p>
        </w:tc>
      </w:tr>
      <w:tr w:rsidR="00023489" w:rsidRPr="00EE1660" w14:paraId="7092D9C7" w14:textId="77777777" w:rsidTr="00023489">
        <w:trPr>
          <w:trHeight w:val="506"/>
        </w:trPr>
        <w:tc>
          <w:tcPr>
            <w:tcW w:w="2626" w:type="pct"/>
            <w:tcBorders>
              <w:top w:val="single" w:sz="4" w:space="0" w:color="auto"/>
            </w:tcBorders>
            <w:vAlign w:val="center"/>
          </w:tcPr>
          <w:p w14:paraId="7DAECD39" w14:textId="77777777" w:rsidR="00023489" w:rsidRPr="00EE1660" w:rsidRDefault="00023489" w:rsidP="00023489">
            <w:pPr>
              <w:tabs>
                <w:tab w:val="left" w:pos="1134"/>
              </w:tabs>
              <w:rPr>
                <w:rFonts w:cs="Arial"/>
                <w:b/>
                <w:bCs/>
                <w:szCs w:val="24"/>
              </w:rPr>
            </w:pPr>
            <w:r>
              <w:rPr>
                <w:rFonts w:cs="Arial"/>
                <w:b/>
                <w:bCs/>
                <w:szCs w:val="24"/>
              </w:rPr>
              <w:t>Intolerance of Uncertainty (IUS-12)</w:t>
            </w:r>
          </w:p>
        </w:tc>
        <w:tc>
          <w:tcPr>
            <w:tcW w:w="1187" w:type="pct"/>
            <w:tcBorders>
              <w:top w:val="single" w:sz="4" w:space="0" w:color="auto"/>
            </w:tcBorders>
            <w:vAlign w:val="center"/>
          </w:tcPr>
          <w:p w14:paraId="360407F5" w14:textId="77777777" w:rsidR="00023489" w:rsidRPr="00EE1660" w:rsidRDefault="00023489" w:rsidP="00023489">
            <w:pPr>
              <w:tabs>
                <w:tab w:val="left" w:pos="1134"/>
              </w:tabs>
              <w:jc w:val="center"/>
              <w:rPr>
                <w:rFonts w:cs="Arial"/>
                <w:szCs w:val="24"/>
              </w:rPr>
            </w:pPr>
            <w:r>
              <w:rPr>
                <w:rFonts w:cs="Arial"/>
                <w:szCs w:val="24"/>
              </w:rPr>
              <w:t>36.98 (12.24)</w:t>
            </w:r>
          </w:p>
        </w:tc>
        <w:tc>
          <w:tcPr>
            <w:tcW w:w="1187" w:type="pct"/>
            <w:tcBorders>
              <w:top w:val="single" w:sz="4" w:space="0" w:color="auto"/>
            </w:tcBorders>
            <w:vAlign w:val="center"/>
          </w:tcPr>
          <w:p w14:paraId="53B20C68" w14:textId="77777777" w:rsidR="00023489" w:rsidRPr="00EE1660" w:rsidRDefault="00023489" w:rsidP="00023489">
            <w:pPr>
              <w:tabs>
                <w:tab w:val="left" w:pos="1134"/>
              </w:tabs>
              <w:jc w:val="center"/>
              <w:rPr>
                <w:rFonts w:cs="Arial"/>
                <w:szCs w:val="24"/>
              </w:rPr>
            </w:pPr>
            <w:r>
              <w:rPr>
                <w:rFonts w:cs="Arial"/>
                <w:szCs w:val="24"/>
              </w:rPr>
              <w:t>39.43 (12.60)</w:t>
            </w:r>
          </w:p>
        </w:tc>
      </w:tr>
      <w:tr w:rsidR="00023489" w:rsidRPr="00EE1660" w14:paraId="167EEF24" w14:textId="77777777" w:rsidTr="00023489">
        <w:trPr>
          <w:trHeight w:val="506"/>
        </w:trPr>
        <w:tc>
          <w:tcPr>
            <w:tcW w:w="2626" w:type="pct"/>
            <w:vAlign w:val="center"/>
          </w:tcPr>
          <w:p w14:paraId="4CB9ABFE" w14:textId="77777777" w:rsidR="00023489" w:rsidRPr="00EE1660" w:rsidRDefault="00023489" w:rsidP="00023489">
            <w:pPr>
              <w:tabs>
                <w:tab w:val="left" w:pos="1134"/>
              </w:tabs>
              <w:rPr>
                <w:rFonts w:cs="Arial"/>
                <w:b/>
                <w:bCs/>
                <w:szCs w:val="24"/>
              </w:rPr>
            </w:pPr>
            <w:r>
              <w:rPr>
                <w:rFonts w:cs="Arial"/>
                <w:b/>
                <w:bCs/>
                <w:szCs w:val="24"/>
              </w:rPr>
              <w:t>Anxiety Sensitivity (ASI-3)</w:t>
            </w:r>
          </w:p>
        </w:tc>
        <w:tc>
          <w:tcPr>
            <w:tcW w:w="1187" w:type="pct"/>
            <w:vAlign w:val="center"/>
          </w:tcPr>
          <w:p w14:paraId="0A07FD21" w14:textId="77777777" w:rsidR="00023489" w:rsidRPr="00EE1660" w:rsidRDefault="00023489" w:rsidP="00023489">
            <w:pPr>
              <w:tabs>
                <w:tab w:val="left" w:pos="1134"/>
              </w:tabs>
              <w:jc w:val="center"/>
              <w:rPr>
                <w:rFonts w:cs="Arial"/>
                <w:szCs w:val="24"/>
              </w:rPr>
            </w:pPr>
            <w:r>
              <w:rPr>
                <w:rFonts w:cs="Arial"/>
                <w:szCs w:val="24"/>
              </w:rPr>
              <w:t>26.48 (18.78)</w:t>
            </w:r>
          </w:p>
        </w:tc>
        <w:tc>
          <w:tcPr>
            <w:tcW w:w="1187" w:type="pct"/>
            <w:vAlign w:val="center"/>
          </w:tcPr>
          <w:p w14:paraId="6F8683E6" w14:textId="77777777" w:rsidR="00023489" w:rsidRPr="00EE1660" w:rsidRDefault="00023489" w:rsidP="00023489">
            <w:pPr>
              <w:tabs>
                <w:tab w:val="left" w:pos="1134"/>
              </w:tabs>
              <w:jc w:val="center"/>
              <w:rPr>
                <w:rFonts w:cs="Arial"/>
                <w:szCs w:val="24"/>
              </w:rPr>
            </w:pPr>
            <w:r>
              <w:rPr>
                <w:rFonts w:cs="Arial"/>
                <w:szCs w:val="24"/>
              </w:rPr>
              <w:t>32.28 (18.63)</w:t>
            </w:r>
          </w:p>
        </w:tc>
      </w:tr>
      <w:tr w:rsidR="00023489" w:rsidRPr="00EE1660" w14:paraId="1C68B392" w14:textId="77777777" w:rsidTr="00023489">
        <w:trPr>
          <w:trHeight w:val="506"/>
        </w:trPr>
        <w:tc>
          <w:tcPr>
            <w:tcW w:w="2626" w:type="pct"/>
            <w:vAlign w:val="center"/>
          </w:tcPr>
          <w:p w14:paraId="1EA8F0CD" w14:textId="77777777" w:rsidR="00023489" w:rsidRPr="00EE1660" w:rsidRDefault="00023489" w:rsidP="00023489">
            <w:pPr>
              <w:tabs>
                <w:tab w:val="left" w:pos="1134"/>
              </w:tabs>
              <w:rPr>
                <w:rFonts w:cs="Arial"/>
                <w:b/>
                <w:bCs/>
                <w:szCs w:val="24"/>
              </w:rPr>
            </w:pPr>
            <w:r>
              <w:rPr>
                <w:rFonts w:cs="Arial"/>
                <w:b/>
                <w:bCs/>
                <w:szCs w:val="24"/>
              </w:rPr>
              <w:t>Anxiety (GAD-7)</w:t>
            </w:r>
          </w:p>
        </w:tc>
        <w:tc>
          <w:tcPr>
            <w:tcW w:w="1187" w:type="pct"/>
            <w:vAlign w:val="center"/>
          </w:tcPr>
          <w:p w14:paraId="522AAF34" w14:textId="77777777" w:rsidR="00023489" w:rsidRPr="00EE1660" w:rsidRDefault="00023489" w:rsidP="00023489">
            <w:pPr>
              <w:tabs>
                <w:tab w:val="left" w:pos="1134"/>
              </w:tabs>
              <w:jc w:val="center"/>
              <w:rPr>
                <w:rFonts w:cs="Arial"/>
                <w:szCs w:val="24"/>
              </w:rPr>
            </w:pPr>
            <w:r>
              <w:rPr>
                <w:rFonts w:cs="Arial"/>
                <w:szCs w:val="24"/>
              </w:rPr>
              <w:t>10.16 (6.59)</w:t>
            </w:r>
          </w:p>
        </w:tc>
        <w:tc>
          <w:tcPr>
            <w:tcW w:w="1187" w:type="pct"/>
            <w:vAlign w:val="center"/>
          </w:tcPr>
          <w:p w14:paraId="4A9049B6" w14:textId="77777777" w:rsidR="00023489" w:rsidRPr="00EE1660" w:rsidRDefault="00023489" w:rsidP="00023489">
            <w:pPr>
              <w:tabs>
                <w:tab w:val="left" w:pos="1134"/>
              </w:tabs>
              <w:jc w:val="center"/>
              <w:rPr>
                <w:rFonts w:cs="Arial"/>
                <w:szCs w:val="24"/>
              </w:rPr>
            </w:pPr>
            <w:r>
              <w:rPr>
                <w:rFonts w:cs="Arial"/>
                <w:szCs w:val="24"/>
              </w:rPr>
              <w:t>12.22 (6.80)</w:t>
            </w:r>
          </w:p>
        </w:tc>
      </w:tr>
      <w:tr w:rsidR="00023489" w:rsidRPr="00EE1660" w14:paraId="09C59AAD" w14:textId="77777777" w:rsidTr="00023489">
        <w:trPr>
          <w:trHeight w:val="506"/>
        </w:trPr>
        <w:tc>
          <w:tcPr>
            <w:tcW w:w="2626" w:type="pct"/>
            <w:vAlign w:val="center"/>
          </w:tcPr>
          <w:p w14:paraId="77BDA374" w14:textId="77777777" w:rsidR="00023489" w:rsidRPr="00EE1660" w:rsidRDefault="00023489" w:rsidP="00023489">
            <w:pPr>
              <w:tabs>
                <w:tab w:val="left" w:pos="1134"/>
              </w:tabs>
              <w:rPr>
                <w:rFonts w:cs="Arial"/>
                <w:b/>
                <w:bCs/>
                <w:szCs w:val="24"/>
              </w:rPr>
            </w:pPr>
            <w:r>
              <w:rPr>
                <w:rFonts w:cs="Arial"/>
                <w:b/>
                <w:bCs/>
                <w:szCs w:val="24"/>
              </w:rPr>
              <w:t>Depression (PHQ-9)</w:t>
            </w:r>
          </w:p>
        </w:tc>
        <w:tc>
          <w:tcPr>
            <w:tcW w:w="1187" w:type="pct"/>
            <w:vAlign w:val="center"/>
          </w:tcPr>
          <w:p w14:paraId="41349AEB" w14:textId="77777777" w:rsidR="00023489" w:rsidRPr="00EE1660" w:rsidRDefault="00023489" w:rsidP="00023489">
            <w:pPr>
              <w:tabs>
                <w:tab w:val="left" w:pos="1134"/>
              </w:tabs>
              <w:jc w:val="center"/>
              <w:rPr>
                <w:rFonts w:cs="Arial"/>
                <w:szCs w:val="24"/>
              </w:rPr>
            </w:pPr>
            <w:r>
              <w:rPr>
                <w:rFonts w:cs="Arial"/>
                <w:szCs w:val="24"/>
              </w:rPr>
              <w:t>13.18 (7.13)</w:t>
            </w:r>
          </w:p>
        </w:tc>
        <w:tc>
          <w:tcPr>
            <w:tcW w:w="1187" w:type="pct"/>
            <w:vAlign w:val="center"/>
          </w:tcPr>
          <w:p w14:paraId="1A27F3ED" w14:textId="77777777" w:rsidR="00023489" w:rsidRPr="00EE1660" w:rsidRDefault="00023489" w:rsidP="00023489">
            <w:pPr>
              <w:tabs>
                <w:tab w:val="left" w:pos="1134"/>
              </w:tabs>
              <w:jc w:val="center"/>
              <w:rPr>
                <w:rFonts w:cs="Arial"/>
                <w:szCs w:val="24"/>
              </w:rPr>
            </w:pPr>
            <w:r>
              <w:rPr>
                <w:rFonts w:cs="Arial"/>
                <w:szCs w:val="24"/>
              </w:rPr>
              <w:t>15.74 (7.99)</w:t>
            </w:r>
          </w:p>
        </w:tc>
      </w:tr>
      <w:tr w:rsidR="00023489" w:rsidRPr="00EE1660" w14:paraId="29F94516" w14:textId="77777777" w:rsidTr="00023489">
        <w:trPr>
          <w:trHeight w:val="506"/>
        </w:trPr>
        <w:tc>
          <w:tcPr>
            <w:tcW w:w="2626" w:type="pct"/>
            <w:vAlign w:val="center"/>
          </w:tcPr>
          <w:p w14:paraId="7CCB8E93" w14:textId="77777777" w:rsidR="00023489" w:rsidRDefault="00023489" w:rsidP="00023489">
            <w:pPr>
              <w:tabs>
                <w:tab w:val="left" w:pos="1134"/>
              </w:tabs>
              <w:rPr>
                <w:rFonts w:cs="Arial"/>
                <w:b/>
                <w:bCs/>
                <w:szCs w:val="24"/>
              </w:rPr>
            </w:pPr>
            <w:r>
              <w:rPr>
                <w:rFonts w:cs="Arial"/>
                <w:b/>
                <w:bCs/>
                <w:szCs w:val="24"/>
              </w:rPr>
              <w:t>Somatisation (PHQ-15)</w:t>
            </w:r>
          </w:p>
        </w:tc>
        <w:tc>
          <w:tcPr>
            <w:tcW w:w="1187" w:type="pct"/>
            <w:vAlign w:val="center"/>
          </w:tcPr>
          <w:p w14:paraId="2829924B" w14:textId="77777777" w:rsidR="00023489" w:rsidRPr="00EE1660" w:rsidRDefault="00023489" w:rsidP="00023489">
            <w:pPr>
              <w:tabs>
                <w:tab w:val="left" w:pos="1134"/>
              </w:tabs>
              <w:jc w:val="center"/>
              <w:rPr>
                <w:rFonts w:cs="Arial"/>
                <w:szCs w:val="24"/>
              </w:rPr>
            </w:pPr>
            <w:r>
              <w:rPr>
                <w:rFonts w:cs="Arial"/>
                <w:szCs w:val="24"/>
              </w:rPr>
              <w:t>10.39 (5.91)</w:t>
            </w:r>
          </w:p>
        </w:tc>
        <w:tc>
          <w:tcPr>
            <w:tcW w:w="1187" w:type="pct"/>
            <w:vAlign w:val="center"/>
          </w:tcPr>
          <w:p w14:paraId="5DDE0882" w14:textId="77777777" w:rsidR="00023489" w:rsidRPr="00EE1660" w:rsidRDefault="00023489" w:rsidP="00023489">
            <w:pPr>
              <w:tabs>
                <w:tab w:val="left" w:pos="1134"/>
              </w:tabs>
              <w:jc w:val="center"/>
              <w:rPr>
                <w:rFonts w:cs="Arial"/>
                <w:szCs w:val="24"/>
              </w:rPr>
            </w:pPr>
            <w:r>
              <w:rPr>
                <w:rFonts w:cs="Arial"/>
                <w:szCs w:val="24"/>
              </w:rPr>
              <w:t>12.89 (6.88)</w:t>
            </w:r>
          </w:p>
        </w:tc>
      </w:tr>
      <w:tr w:rsidR="00023489" w:rsidRPr="00EE1660" w14:paraId="343B050F" w14:textId="77777777" w:rsidTr="00023489">
        <w:trPr>
          <w:trHeight w:val="506"/>
        </w:trPr>
        <w:tc>
          <w:tcPr>
            <w:tcW w:w="2626" w:type="pct"/>
            <w:vAlign w:val="center"/>
          </w:tcPr>
          <w:p w14:paraId="5ADC1902" w14:textId="77777777" w:rsidR="00023489" w:rsidRDefault="00023489" w:rsidP="00023489">
            <w:pPr>
              <w:tabs>
                <w:tab w:val="left" w:pos="1134"/>
              </w:tabs>
              <w:rPr>
                <w:rFonts w:cs="Arial"/>
                <w:b/>
                <w:bCs/>
                <w:szCs w:val="24"/>
              </w:rPr>
            </w:pPr>
            <w:r>
              <w:rPr>
                <w:rFonts w:cs="Arial"/>
                <w:b/>
                <w:bCs/>
                <w:szCs w:val="24"/>
              </w:rPr>
              <w:t>Seizure Frequency+</w:t>
            </w:r>
          </w:p>
        </w:tc>
        <w:tc>
          <w:tcPr>
            <w:tcW w:w="1187" w:type="pct"/>
            <w:vAlign w:val="center"/>
          </w:tcPr>
          <w:p w14:paraId="48B84E86" w14:textId="77777777" w:rsidR="00023489" w:rsidRPr="00EE1660" w:rsidRDefault="00023489" w:rsidP="00023489">
            <w:pPr>
              <w:tabs>
                <w:tab w:val="left" w:pos="1134"/>
              </w:tabs>
              <w:jc w:val="center"/>
              <w:rPr>
                <w:rFonts w:cs="Arial"/>
                <w:szCs w:val="24"/>
              </w:rPr>
            </w:pPr>
            <w:r>
              <w:rPr>
                <w:rFonts w:cs="Arial"/>
                <w:szCs w:val="24"/>
              </w:rPr>
              <w:t>11.29 (109.64)</w:t>
            </w:r>
          </w:p>
        </w:tc>
        <w:tc>
          <w:tcPr>
            <w:tcW w:w="1187" w:type="pct"/>
            <w:vAlign w:val="center"/>
          </w:tcPr>
          <w:p w14:paraId="61A93AA0" w14:textId="77777777" w:rsidR="00023489" w:rsidRPr="00EE1660" w:rsidRDefault="00023489" w:rsidP="00023489">
            <w:pPr>
              <w:tabs>
                <w:tab w:val="left" w:pos="1134"/>
              </w:tabs>
              <w:jc w:val="center"/>
              <w:rPr>
                <w:rFonts w:cs="Arial"/>
                <w:szCs w:val="24"/>
              </w:rPr>
            </w:pPr>
            <w:r>
              <w:rPr>
                <w:rFonts w:cs="Arial"/>
                <w:szCs w:val="24"/>
              </w:rPr>
              <w:t>55.33 (190.64)</w:t>
            </w:r>
          </w:p>
        </w:tc>
      </w:tr>
      <w:tr w:rsidR="00023489" w:rsidRPr="00EE1660" w14:paraId="180D9090" w14:textId="77777777" w:rsidTr="00023489">
        <w:trPr>
          <w:trHeight w:val="506"/>
        </w:trPr>
        <w:tc>
          <w:tcPr>
            <w:tcW w:w="2626" w:type="pct"/>
            <w:tcBorders>
              <w:bottom w:val="single" w:sz="4" w:space="0" w:color="auto"/>
            </w:tcBorders>
            <w:vAlign w:val="center"/>
          </w:tcPr>
          <w:p w14:paraId="573DF0BB" w14:textId="77777777" w:rsidR="00023489" w:rsidRDefault="00023489" w:rsidP="00023489">
            <w:pPr>
              <w:tabs>
                <w:tab w:val="left" w:pos="1134"/>
              </w:tabs>
              <w:rPr>
                <w:rFonts w:cs="Arial"/>
                <w:b/>
                <w:bCs/>
                <w:szCs w:val="24"/>
              </w:rPr>
            </w:pPr>
            <w:r>
              <w:rPr>
                <w:rFonts w:cs="Arial"/>
                <w:b/>
                <w:bCs/>
                <w:szCs w:val="24"/>
              </w:rPr>
              <w:t>Diagnosis of epilepsy (1), or DS (2)</w:t>
            </w:r>
          </w:p>
        </w:tc>
        <w:tc>
          <w:tcPr>
            <w:tcW w:w="1187" w:type="pct"/>
            <w:tcBorders>
              <w:bottom w:val="single" w:sz="4" w:space="0" w:color="auto"/>
            </w:tcBorders>
            <w:vAlign w:val="center"/>
          </w:tcPr>
          <w:p w14:paraId="7E491F6E" w14:textId="77777777" w:rsidR="00023489" w:rsidRPr="00EE1660" w:rsidRDefault="00023489" w:rsidP="00023489">
            <w:pPr>
              <w:tabs>
                <w:tab w:val="left" w:pos="1134"/>
              </w:tabs>
              <w:jc w:val="center"/>
              <w:rPr>
                <w:rFonts w:cs="Arial"/>
                <w:szCs w:val="24"/>
              </w:rPr>
            </w:pPr>
            <w:r>
              <w:rPr>
                <w:rFonts w:cs="Arial"/>
                <w:szCs w:val="24"/>
              </w:rPr>
              <w:t>1.00 (0.00)</w:t>
            </w:r>
          </w:p>
        </w:tc>
        <w:tc>
          <w:tcPr>
            <w:tcW w:w="1187" w:type="pct"/>
            <w:tcBorders>
              <w:bottom w:val="single" w:sz="4" w:space="0" w:color="auto"/>
            </w:tcBorders>
            <w:vAlign w:val="center"/>
          </w:tcPr>
          <w:p w14:paraId="5647B592" w14:textId="77777777" w:rsidR="00023489" w:rsidRPr="00EE1660" w:rsidRDefault="00023489" w:rsidP="00023489">
            <w:pPr>
              <w:tabs>
                <w:tab w:val="left" w:pos="1134"/>
              </w:tabs>
              <w:jc w:val="center"/>
              <w:rPr>
                <w:rFonts w:cs="Arial"/>
                <w:szCs w:val="24"/>
              </w:rPr>
            </w:pPr>
            <w:r>
              <w:rPr>
                <w:rFonts w:cs="Arial"/>
                <w:szCs w:val="24"/>
              </w:rPr>
              <w:t>2.00 (0.00)</w:t>
            </w:r>
          </w:p>
        </w:tc>
      </w:tr>
      <w:tr w:rsidR="00B37FB5" w:rsidRPr="00EE1660" w14:paraId="5A362A3B" w14:textId="77777777" w:rsidTr="00B37FB5">
        <w:trPr>
          <w:trHeight w:val="506"/>
        </w:trPr>
        <w:tc>
          <w:tcPr>
            <w:tcW w:w="5000" w:type="pct"/>
            <w:gridSpan w:val="3"/>
            <w:tcBorders>
              <w:bottom w:val="single" w:sz="4" w:space="0" w:color="auto"/>
            </w:tcBorders>
            <w:vAlign w:val="center"/>
          </w:tcPr>
          <w:p w14:paraId="0BF1E6F6" w14:textId="4B88E85D" w:rsidR="00B37FB5" w:rsidRDefault="007827F8" w:rsidP="00B37FB5">
            <w:pPr>
              <w:tabs>
                <w:tab w:val="left" w:pos="1134"/>
              </w:tabs>
              <w:rPr>
                <w:rFonts w:cs="Arial"/>
                <w:szCs w:val="24"/>
              </w:rPr>
            </w:pPr>
            <w:r w:rsidRPr="007827F8">
              <w:rPr>
                <w:rFonts w:cs="Arial"/>
                <w:bCs/>
                <w:i/>
                <w:szCs w:val="24"/>
              </w:rPr>
              <w:t>Note</w:t>
            </w:r>
            <w:r>
              <w:rPr>
                <w:rFonts w:cs="Arial"/>
                <w:bCs/>
                <w:szCs w:val="24"/>
              </w:rPr>
              <w:t xml:space="preserve">. </w:t>
            </w:r>
            <w:r w:rsidR="00B37FB5">
              <w:rPr>
                <w:rFonts w:cs="Arial"/>
                <w:bCs/>
                <w:szCs w:val="24"/>
              </w:rPr>
              <w:t>+For seizure frequency n = 86 (PWE= 41, PWDS = 45)</w:t>
            </w:r>
          </w:p>
        </w:tc>
      </w:tr>
    </w:tbl>
    <w:p w14:paraId="2F723279" w14:textId="77777777" w:rsidR="00A53770" w:rsidRDefault="00A53770" w:rsidP="00A53770">
      <w:pPr>
        <w:spacing w:line="360" w:lineRule="auto"/>
        <w:rPr>
          <w:b/>
        </w:rPr>
      </w:pPr>
    </w:p>
    <w:p w14:paraId="540F1BD9" w14:textId="4D2C16C4" w:rsidR="00023489" w:rsidRDefault="00023489" w:rsidP="00A53770">
      <w:pPr>
        <w:pStyle w:val="Heading2"/>
        <w:jc w:val="both"/>
      </w:pPr>
      <w:bookmarkStart w:id="157" w:name="_Toc133487832"/>
      <w:r w:rsidRPr="00CB0FFF">
        <w:t>C</w:t>
      </w:r>
      <w:r>
        <w:t>orrelations</w:t>
      </w:r>
      <w:bookmarkEnd w:id="157"/>
    </w:p>
    <w:p w14:paraId="62AC34B6" w14:textId="77777777" w:rsidR="00023489" w:rsidRDefault="00023489" w:rsidP="00A53770">
      <w:pPr>
        <w:spacing w:line="360" w:lineRule="auto"/>
        <w:ind w:firstLine="720"/>
        <w:jc w:val="both"/>
      </w:pPr>
      <w:r w:rsidRPr="00E24605">
        <w:t>Correlations were considered for the variables in both regressions with the first regression analysis predicting somatisation and the second predicting seizure frequency. Both analyses included IU, AS, depression, anxiety and diagnosis of either epilepsy or DS as predictor variables. Correlations between these variables are presented in Table 5.</w:t>
      </w:r>
    </w:p>
    <w:p w14:paraId="036F2501" w14:textId="6716B8AA" w:rsidR="00023489" w:rsidRDefault="00716423" w:rsidP="00A53770">
      <w:pPr>
        <w:spacing w:line="360" w:lineRule="auto"/>
        <w:ind w:firstLine="720"/>
        <w:jc w:val="both"/>
        <w:rPr>
          <w:b/>
        </w:rPr>
      </w:pPr>
      <w:r>
        <w:t>A significant strong positive correlation was found between somatisation and depression (</w:t>
      </w:r>
      <w:r>
        <w:rPr>
          <w:i/>
        </w:rPr>
        <w:t>r</w:t>
      </w:r>
      <w:r>
        <w:t xml:space="preserve"> = .64 </w:t>
      </w:r>
      <w:r>
        <w:rPr>
          <w:i/>
        </w:rPr>
        <w:t xml:space="preserve">p </w:t>
      </w:r>
      <w:r>
        <w:t xml:space="preserve">&lt; .001). </w:t>
      </w:r>
      <w:r w:rsidR="00023489">
        <w:t>A significant moderate positive correlation was found between somatisation, IU (</w:t>
      </w:r>
      <w:r w:rsidR="00023489">
        <w:rPr>
          <w:i/>
        </w:rPr>
        <w:t>r</w:t>
      </w:r>
      <w:r w:rsidR="00023489">
        <w:t xml:space="preserve"> = .43, </w:t>
      </w:r>
      <w:r w:rsidR="00023489">
        <w:rPr>
          <w:i/>
        </w:rPr>
        <w:t xml:space="preserve">p </w:t>
      </w:r>
      <w:r w:rsidR="00023489">
        <w:t>&lt; .001), and AS (</w:t>
      </w:r>
      <w:r w:rsidR="00023489">
        <w:rPr>
          <w:i/>
        </w:rPr>
        <w:t>r</w:t>
      </w:r>
      <w:r w:rsidR="00023489">
        <w:t xml:space="preserve"> = .50 </w:t>
      </w:r>
      <w:r w:rsidR="00023489">
        <w:rPr>
          <w:i/>
        </w:rPr>
        <w:t xml:space="preserve">p </w:t>
      </w:r>
      <w:r w:rsidR="00023489">
        <w:t>&lt; .001), and anxiety (</w:t>
      </w:r>
      <w:r w:rsidR="00023489">
        <w:rPr>
          <w:i/>
        </w:rPr>
        <w:t>r</w:t>
      </w:r>
      <w:r w:rsidR="00023489">
        <w:t xml:space="preserve"> = .52, </w:t>
      </w:r>
      <w:r w:rsidR="00023489">
        <w:rPr>
          <w:i/>
        </w:rPr>
        <w:t xml:space="preserve">p </w:t>
      </w:r>
      <w:r w:rsidR="00023489">
        <w:t xml:space="preserve">&lt; .001). A significant weak positive correlation was found between somatisation and seizure number (.27, </w:t>
      </w:r>
      <w:r w:rsidR="00023489">
        <w:rPr>
          <w:i/>
        </w:rPr>
        <w:t>p</w:t>
      </w:r>
      <w:r w:rsidR="00023489">
        <w:t xml:space="preserve"> &lt; .05). These correlations suggest that higher levels of somatisation are associated with hi</w:t>
      </w:r>
      <w:r>
        <w:t>gher levels of depression, IU, AS, anxiety</w:t>
      </w:r>
      <w:r w:rsidR="00023489">
        <w:t>, and seizure frequency. A significant strong positive correlation was found between IU and AS (</w:t>
      </w:r>
      <w:r w:rsidR="00023489">
        <w:rPr>
          <w:i/>
        </w:rPr>
        <w:t>r</w:t>
      </w:r>
      <w:r w:rsidR="00023489">
        <w:t xml:space="preserve"> = .83, </w:t>
      </w:r>
      <w:r w:rsidR="00023489">
        <w:rPr>
          <w:i/>
        </w:rPr>
        <w:t xml:space="preserve">p </w:t>
      </w:r>
      <w:r w:rsidR="00023489">
        <w:t>&lt; .001) and anxiety (</w:t>
      </w:r>
      <w:r w:rsidR="00023489">
        <w:rPr>
          <w:i/>
        </w:rPr>
        <w:t xml:space="preserve">r </w:t>
      </w:r>
      <w:r w:rsidR="00023489">
        <w:t xml:space="preserve">= .69, </w:t>
      </w:r>
      <w:r w:rsidR="00B37FB5">
        <w:rPr>
          <w:i/>
        </w:rPr>
        <w:t xml:space="preserve">p </w:t>
      </w:r>
      <w:r w:rsidR="00B37FB5">
        <w:t>&lt;</w:t>
      </w:r>
      <w:r w:rsidR="00023489">
        <w:t xml:space="preserve"> .001) and depression (</w:t>
      </w:r>
      <w:r w:rsidR="00023489">
        <w:rPr>
          <w:i/>
        </w:rPr>
        <w:t xml:space="preserve">r </w:t>
      </w:r>
      <w:r w:rsidR="00023489">
        <w:t xml:space="preserve">= .63, </w:t>
      </w:r>
      <w:r w:rsidR="00023489">
        <w:rPr>
          <w:i/>
        </w:rPr>
        <w:t xml:space="preserve">p </w:t>
      </w:r>
      <w:r w:rsidR="00023489">
        <w:t>&lt; .001), suggesting that higher levels of IU are associated with higher levels of AS, anxiety, and depression. A significant strong positive correlation was found between AS and anxiety (</w:t>
      </w:r>
      <w:r w:rsidR="00023489">
        <w:rPr>
          <w:i/>
        </w:rPr>
        <w:t xml:space="preserve">r </w:t>
      </w:r>
      <w:r w:rsidR="00023489">
        <w:t xml:space="preserve">= .75, </w:t>
      </w:r>
      <w:r w:rsidR="00023489">
        <w:rPr>
          <w:i/>
        </w:rPr>
        <w:t xml:space="preserve">p </w:t>
      </w:r>
      <w:r w:rsidR="00023489">
        <w:t>&lt; .001), and depression (</w:t>
      </w:r>
      <w:r w:rsidR="00B37FB5">
        <w:rPr>
          <w:i/>
        </w:rPr>
        <w:t xml:space="preserve">r </w:t>
      </w:r>
      <w:r w:rsidR="00B37FB5">
        <w:t>=</w:t>
      </w:r>
      <w:r w:rsidR="00023489">
        <w:t xml:space="preserve"> .67, </w:t>
      </w:r>
      <w:r w:rsidR="00023489">
        <w:rPr>
          <w:i/>
        </w:rPr>
        <w:t xml:space="preserve">p </w:t>
      </w:r>
      <w:r w:rsidR="00023489">
        <w:t xml:space="preserve">&lt; .001) suggesting that higher levels of AS are associated with higher levels of depression and anxiety. A significant </w:t>
      </w:r>
      <w:r>
        <w:t xml:space="preserve">strong </w:t>
      </w:r>
      <w:r w:rsidR="00023489">
        <w:t>positive correlation was found between anxiety and depression (</w:t>
      </w:r>
      <w:r w:rsidR="00023489">
        <w:rPr>
          <w:i/>
        </w:rPr>
        <w:t xml:space="preserve">r </w:t>
      </w:r>
      <w:r w:rsidR="00023489">
        <w:t xml:space="preserve">= .81, </w:t>
      </w:r>
      <w:r w:rsidR="00023489">
        <w:rPr>
          <w:i/>
        </w:rPr>
        <w:t xml:space="preserve">p </w:t>
      </w:r>
      <w:r w:rsidR="00023489">
        <w:t xml:space="preserve">&lt; .001), suggesting that higher levels of anxiety are associated with higher levels of depression in this </w:t>
      </w:r>
      <w:r w:rsidR="00023489">
        <w:lastRenderedPageBreak/>
        <w:t>population. No significant correlations were found between diagnosis and any of the other variables except for a significant weak positive correlation with seizure frequency (</w:t>
      </w:r>
      <w:r w:rsidR="00023489">
        <w:rPr>
          <w:i/>
        </w:rPr>
        <w:t xml:space="preserve">r </w:t>
      </w:r>
      <w:r w:rsidR="00023489">
        <w:t xml:space="preserve">= .25, </w:t>
      </w:r>
      <w:r w:rsidR="00023489">
        <w:rPr>
          <w:i/>
        </w:rPr>
        <w:t>p</w:t>
      </w:r>
      <w:r w:rsidR="00023489">
        <w:t xml:space="preserve"> &lt;.05), suggesting that PWDS are somewhat more likely to report higher </w:t>
      </w:r>
      <w:r>
        <w:t>numbers of seizures/episodes t</w:t>
      </w:r>
      <w:r w:rsidR="00023489">
        <w:t>han PWE.  Seizure number was not significantly associated with IU, AS, anxiety, or depression scores.</w:t>
      </w:r>
    </w:p>
    <w:p w14:paraId="3D71ED1D" w14:textId="2F3DBC14" w:rsidR="00CF1273" w:rsidRDefault="00CF1273" w:rsidP="00A53770">
      <w:pPr>
        <w:spacing w:line="360" w:lineRule="auto"/>
        <w:jc w:val="both"/>
        <w:rPr>
          <w:b/>
        </w:rPr>
      </w:pPr>
    </w:p>
    <w:p w14:paraId="33AE403E" w14:textId="2F67975D" w:rsidR="00023489" w:rsidRPr="00D10A8A" w:rsidRDefault="00A53770" w:rsidP="00A53770">
      <w:pPr>
        <w:pStyle w:val="Heading2"/>
      </w:pPr>
      <w:bookmarkStart w:id="158" w:name="_Toc133487833"/>
      <w:r>
        <w:t>Table 5</w:t>
      </w:r>
      <w:bookmarkEnd w:id="158"/>
    </w:p>
    <w:p w14:paraId="3EE3492A" w14:textId="07E123E8" w:rsidR="00023489" w:rsidRPr="00700626" w:rsidRDefault="00023489" w:rsidP="00A53770">
      <w:pPr>
        <w:spacing w:line="360" w:lineRule="auto"/>
        <w:rPr>
          <w:i/>
        </w:rPr>
      </w:pPr>
      <w:r w:rsidRPr="00700626">
        <w:rPr>
          <w:i/>
        </w:rPr>
        <w:t>Spearman’s rho correlations</w:t>
      </w:r>
      <w:r w:rsidR="00B37FB5">
        <w:rPr>
          <w:i/>
        </w:rPr>
        <w:t xml:space="preserve"> with significance levels</w:t>
      </w:r>
      <w:r w:rsidRPr="00700626">
        <w:rPr>
          <w:i/>
        </w:rPr>
        <w:t xml:space="preserve"> for regression variables (n = 90)</w:t>
      </w:r>
    </w:p>
    <w:tbl>
      <w:tblPr>
        <w:tblW w:w="4999" w:type="pct"/>
        <w:jc w:val="center"/>
        <w:tblLook w:val="04A0" w:firstRow="1" w:lastRow="0" w:firstColumn="1" w:lastColumn="0" w:noHBand="0" w:noVBand="1"/>
      </w:tblPr>
      <w:tblGrid>
        <w:gridCol w:w="3012"/>
        <w:gridCol w:w="866"/>
        <w:gridCol w:w="863"/>
        <w:gridCol w:w="863"/>
        <w:gridCol w:w="859"/>
        <w:gridCol w:w="855"/>
        <w:gridCol w:w="854"/>
        <w:gridCol w:w="852"/>
      </w:tblGrid>
      <w:tr w:rsidR="00023489" w:rsidRPr="00EE1660" w14:paraId="094D29B2" w14:textId="77777777" w:rsidTr="00023489">
        <w:trPr>
          <w:trHeight w:val="527"/>
          <w:jc w:val="center"/>
        </w:trPr>
        <w:tc>
          <w:tcPr>
            <w:tcW w:w="1669" w:type="pct"/>
            <w:tcBorders>
              <w:top w:val="single" w:sz="4" w:space="0" w:color="auto"/>
              <w:bottom w:val="single" w:sz="4" w:space="0" w:color="auto"/>
            </w:tcBorders>
            <w:vAlign w:val="center"/>
          </w:tcPr>
          <w:p w14:paraId="307AA467" w14:textId="77777777" w:rsidR="00023489" w:rsidRPr="00EE1660" w:rsidRDefault="00023489" w:rsidP="00023489">
            <w:pPr>
              <w:tabs>
                <w:tab w:val="left" w:pos="1134"/>
              </w:tabs>
              <w:rPr>
                <w:rFonts w:cs="Arial"/>
                <w:b/>
                <w:bCs/>
                <w:szCs w:val="24"/>
              </w:rPr>
            </w:pPr>
            <w:r w:rsidRPr="00EE1660">
              <w:rPr>
                <w:rFonts w:cs="Arial"/>
                <w:b/>
                <w:bCs/>
                <w:szCs w:val="24"/>
              </w:rPr>
              <w:t>Variable</w:t>
            </w:r>
          </w:p>
        </w:tc>
        <w:tc>
          <w:tcPr>
            <w:tcW w:w="480" w:type="pct"/>
            <w:tcBorders>
              <w:top w:val="single" w:sz="4" w:space="0" w:color="auto"/>
              <w:bottom w:val="single" w:sz="4" w:space="0" w:color="auto"/>
            </w:tcBorders>
            <w:vAlign w:val="center"/>
          </w:tcPr>
          <w:p w14:paraId="6C01DC95" w14:textId="77777777" w:rsidR="00023489" w:rsidRPr="00EE1660" w:rsidRDefault="00023489" w:rsidP="00023489">
            <w:pPr>
              <w:tabs>
                <w:tab w:val="left" w:pos="1134"/>
              </w:tabs>
              <w:jc w:val="center"/>
              <w:rPr>
                <w:rFonts w:cs="Arial"/>
                <w:b/>
                <w:bCs/>
                <w:szCs w:val="24"/>
              </w:rPr>
            </w:pPr>
            <w:r w:rsidRPr="00EE1660">
              <w:rPr>
                <w:rFonts w:cs="Arial"/>
                <w:b/>
                <w:bCs/>
                <w:szCs w:val="24"/>
              </w:rPr>
              <w:t>1</w:t>
            </w:r>
          </w:p>
        </w:tc>
        <w:tc>
          <w:tcPr>
            <w:tcW w:w="478" w:type="pct"/>
            <w:tcBorders>
              <w:top w:val="single" w:sz="4" w:space="0" w:color="auto"/>
              <w:bottom w:val="single" w:sz="4" w:space="0" w:color="auto"/>
            </w:tcBorders>
            <w:vAlign w:val="center"/>
          </w:tcPr>
          <w:p w14:paraId="1E781FD1" w14:textId="77777777" w:rsidR="00023489" w:rsidRPr="00EE1660" w:rsidRDefault="00023489" w:rsidP="00023489">
            <w:pPr>
              <w:tabs>
                <w:tab w:val="left" w:pos="1134"/>
              </w:tabs>
              <w:jc w:val="center"/>
              <w:rPr>
                <w:rFonts w:cs="Arial"/>
                <w:b/>
                <w:bCs/>
                <w:szCs w:val="24"/>
              </w:rPr>
            </w:pPr>
            <w:r w:rsidRPr="00EE1660">
              <w:rPr>
                <w:rFonts w:cs="Arial"/>
                <w:b/>
                <w:bCs/>
                <w:szCs w:val="24"/>
              </w:rPr>
              <w:t>2</w:t>
            </w:r>
          </w:p>
        </w:tc>
        <w:tc>
          <w:tcPr>
            <w:tcW w:w="478" w:type="pct"/>
            <w:tcBorders>
              <w:top w:val="single" w:sz="4" w:space="0" w:color="auto"/>
              <w:bottom w:val="single" w:sz="4" w:space="0" w:color="auto"/>
            </w:tcBorders>
            <w:vAlign w:val="center"/>
          </w:tcPr>
          <w:p w14:paraId="016946C2" w14:textId="77777777" w:rsidR="00023489" w:rsidRPr="00EE1660" w:rsidRDefault="00023489" w:rsidP="00023489">
            <w:pPr>
              <w:tabs>
                <w:tab w:val="left" w:pos="1134"/>
              </w:tabs>
              <w:jc w:val="center"/>
              <w:rPr>
                <w:rFonts w:cs="Arial"/>
                <w:b/>
                <w:bCs/>
                <w:szCs w:val="24"/>
              </w:rPr>
            </w:pPr>
            <w:r w:rsidRPr="00EE1660">
              <w:rPr>
                <w:rFonts w:cs="Arial"/>
                <w:b/>
                <w:bCs/>
                <w:szCs w:val="24"/>
              </w:rPr>
              <w:t>3</w:t>
            </w:r>
          </w:p>
        </w:tc>
        <w:tc>
          <w:tcPr>
            <w:tcW w:w="476" w:type="pct"/>
            <w:tcBorders>
              <w:top w:val="single" w:sz="4" w:space="0" w:color="auto"/>
              <w:bottom w:val="single" w:sz="4" w:space="0" w:color="auto"/>
            </w:tcBorders>
            <w:vAlign w:val="center"/>
          </w:tcPr>
          <w:p w14:paraId="3ECC2BEF" w14:textId="77777777" w:rsidR="00023489" w:rsidRPr="000C71FB" w:rsidRDefault="00023489" w:rsidP="00023489">
            <w:pPr>
              <w:jc w:val="center"/>
              <w:rPr>
                <w:b/>
              </w:rPr>
            </w:pPr>
            <w:r w:rsidRPr="000C71FB">
              <w:rPr>
                <w:b/>
              </w:rPr>
              <w:t>4</w:t>
            </w:r>
          </w:p>
        </w:tc>
        <w:tc>
          <w:tcPr>
            <w:tcW w:w="474" w:type="pct"/>
            <w:tcBorders>
              <w:top w:val="single" w:sz="4" w:space="0" w:color="auto"/>
              <w:bottom w:val="single" w:sz="4" w:space="0" w:color="auto"/>
            </w:tcBorders>
            <w:vAlign w:val="center"/>
          </w:tcPr>
          <w:p w14:paraId="39BE5727" w14:textId="77777777" w:rsidR="00023489" w:rsidRPr="000C71FB" w:rsidRDefault="00023489" w:rsidP="00023489">
            <w:pPr>
              <w:jc w:val="center"/>
              <w:rPr>
                <w:b/>
              </w:rPr>
            </w:pPr>
            <w:r w:rsidRPr="000C71FB">
              <w:rPr>
                <w:b/>
              </w:rPr>
              <w:t>5</w:t>
            </w:r>
          </w:p>
        </w:tc>
        <w:tc>
          <w:tcPr>
            <w:tcW w:w="473" w:type="pct"/>
            <w:tcBorders>
              <w:top w:val="single" w:sz="4" w:space="0" w:color="auto"/>
              <w:bottom w:val="single" w:sz="4" w:space="0" w:color="auto"/>
            </w:tcBorders>
            <w:vAlign w:val="center"/>
          </w:tcPr>
          <w:p w14:paraId="5622449D" w14:textId="77777777" w:rsidR="00023489" w:rsidRPr="000C71FB" w:rsidRDefault="00023489" w:rsidP="00023489">
            <w:pPr>
              <w:jc w:val="center"/>
              <w:rPr>
                <w:b/>
              </w:rPr>
            </w:pPr>
            <w:r w:rsidRPr="000C71FB">
              <w:rPr>
                <w:b/>
              </w:rPr>
              <w:t>6</w:t>
            </w:r>
          </w:p>
        </w:tc>
        <w:tc>
          <w:tcPr>
            <w:tcW w:w="473" w:type="pct"/>
            <w:tcBorders>
              <w:top w:val="single" w:sz="4" w:space="0" w:color="auto"/>
              <w:bottom w:val="single" w:sz="4" w:space="0" w:color="auto"/>
            </w:tcBorders>
            <w:vAlign w:val="center"/>
          </w:tcPr>
          <w:p w14:paraId="7BAF25E1" w14:textId="77777777" w:rsidR="00023489" w:rsidRPr="000C71FB" w:rsidRDefault="00023489" w:rsidP="00023489">
            <w:pPr>
              <w:jc w:val="center"/>
              <w:rPr>
                <w:b/>
              </w:rPr>
            </w:pPr>
            <w:r>
              <w:rPr>
                <w:b/>
              </w:rPr>
              <w:t>7</w:t>
            </w:r>
          </w:p>
        </w:tc>
      </w:tr>
      <w:tr w:rsidR="00023489" w:rsidRPr="00EE1660" w14:paraId="2B9AC534" w14:textId="77777777" w:rsidTr="00023489">
        <w:trPr>
          <w:trHeight w:val="594"/>
          <w:jc w:val="center"/>
        </w:trPr>
        <w:tc>
          <w:tcPr>
            <w:tcW w:w="1669" w:type="pct"/>
            <w:tcBorders>
              <w:top w:val="single" w:sz="4" w:space="0" w:color="auto"/>
            </w:tcBorders>
            <w:vAlign w:val="center"/>
          </w:tcPr>
          <w:p w14:paraId="70453600" w14:textId="77777777" w:rsidR="00023489" w:rsidRPr="00EE1660" w:rsidRDefault="00023489" w:rsidP="00023489">
            <w:pPr>
              <w:pStyle w:val="ListParagraph"/>
              <w:numPr>
                <w:ilvl w:val="0"/>
                <w:numId w:val="12"/>
              </w:numPr>
              <w:tabs>
                <w:tab w:val="left" w:pos="1134"/>
              </w:tabs>
              <w:spacing w:before="120" w:after="120"/>
              <w:rPr>
                <w:rFonts w:cs="Arial"/>
                <w:b/>
                <w:bCs/>
                <w:szCs w:val="24"/>
              </w:rPr>
            </w:pPr>
            <w:r>
              <w:rPr>
                <w:rFonts w:cs="Arial"/>
                <w:b/>
                <w:bCs/>
                <w:szCs w:val="24"/>
              </w:rPr>
              <w:t>Somatisation (PHQ-15</w:t>
            </w:r>
            <w:r w:rsidRPr="00EE1660">
              <w:rPr>
                <w:rFonts w:cs="Arial"/>
                <w:b/>
                <w:bCs/>
                <w:szCs w:val="24"/>
              </w:rPr>
              <w:t>)</w:t>
            </w:r>
          </w:p>
        </w:tc>
        <w:tc>
          <w:tcPr>
            <w:tcW w:w="480" w:type="pct"/>
            <w:tcBorders>
              <w:top w:val="single" w:sz="4" w:space="0" w:color="auto"/>
            </w:tcBorders>
            <w:vAlign w:val="center"/>
          </w:tcPr>
          <w:p w14:paraId="2A35A1E0" w14:textId="77777777" w:rsidR="00023489" w:rsidRPr="00EE1660" w:rsidRDefault="00023489" w:rsidP="00023489">
            <w:pPr>
              <w:tabs>
                <w:tab w:val="left" w:pos="1134"/>
              </w:tabs>
              <w:jc w:val="center"/>
              <w:rPr>
                <w:rFonts w:cs="Arial"/>
                <w:szCs w:val="24"/>
              </w:rPr>
            </w:pPr>
            <w:r w:rsidRPr="00EE1660">
              <w:rPr>
                <w:rFonts w:cs="Arial"/>
                <w:szCs w:val="24"/>
              </w:rPr>
              <w:t>-</w:t>
            </w:r>
          </w:p>
        </w:tc>
        <w:tc>
          <w:tcPr>
            <w:tcW w:w="478" w:type="pct"/>
            <w:tcBorders>
              <w:top w:val="single" w:sz="4" w:space="0" w:color="auto"/>
            </w:tcBorders>
            <w:vAlign w:val="center"/>
          </w:tcPr>
          <w:p w14:paraId="668FDC39" w14:textId="77777777" w:rsidR="00023489" w:rsidRPr="00EE1660" w:rsidRDefault="00023489" w:rsidP="00023489">
            <w:pPr>
              <w:tabs>
                <w:tab w:val="left" w:pos="1134"/>
              </w:tabs>
              <w:jc w:val="center"/>
              <w:rPr>
                <w:rFonts w:cs="Arial"/>
                <w:szCs w:val="24"/>
              </w:rPr>
            </w:pPr>
          </w:p>
        </w:tc>
        <w:tc>
          <w:tcPr>
            <w:tcW w:w="478" w:type="pct"/>
            <w:tcBorders>
              <w:top w:val="single" w:sz="4" w:space="0" w:color="auto"/>
            </w:tcBorders>
            <w:vAlign w:val="center"/>
          </w:tcPr>
          <w:p w14:paraId="38006C58" w14:textId="77777777" w:rsidR="00023489" w:rsidRPr="00EE1660" w:rsidRDefault="00023489" w:rsidP="00023489">
            <w:pPr>
              <w:tabs>
                <w:tab w:val="left" w:pos="1134"/>
              </w:tabs>
              <w:jc w:val="center"/>
              <w:rPr>
                <w:rFonts w:cs="Arial"/>
                <w:szCs w:val="24"/>
              </w:rPr>
            </w:pPr>
          </w:p>
        </w:tc>
        <w:tc>
          <w:tcPr>
            <w:tcW w:w="476" w:type="pct"/>
            <w:tcBorders>
              <w:top w:val="single" w:sz="4" w:space="0" w:color="auto"/>
            </w:tcBorders>
            <w:vAlign w:val="center"/>
          </w:tcPr>
          <w:p w14:paraId="03494C8E" w14:textId="77777777" w:rsidR="00023489" w:rsidRPr="00EE1660" w:rsidRDefault="00023489" w:rsidP="00023489">
            <w:pPr>
              <w:tabs>
                <w:tab w:val="left" w:pos="1134"/>
              </w:tabs>
              <w:jc w:val="center"/>
              <w:rPr>
                <w:rFonts w:cs="Arial"/>
                <w:szCs w:val="24"/>
              </w:rPr>
            </w:pPr>
          </w:p>
        </w:tc>
        <w:tc>
          <w:tcPr>
            <w:tcW w:w="474" w:type="pct"/>
            <w:tcBorders>
              <w:top w:val="single" w:sz="4" w:space="0" w:color="auto"/>
            </w:tcBorders>
            <w:vAlign w:val="center"/>
          </w:tcPr>
          <w:p w14:paraId="2E0A9C3C" w14:textId="77777777" w:rsidR="00023489" w:rsidRPr="00EE1660" w:rsidRDefault="00023489" w:rsidP="00023489">
            <w:pPr>
              <w:tabs>
                <w:tab w:val="left" w:pos="1134"/>
              </w:tabs>
              <w:jc w:val="center"/>
              <w:rPr>
                <w:rFonts w:cs="Arial"/>
                <w:szCs w:val="24"/>
              </w:rPr>
            </w:pPr>
          </w:p>
        </w:tc>
        <w:tc>
          <w:tcPr>
            <w:tcW w:w="473" w:type="pct"/>
            <w:tcBorders>
              <w:top w:val="single" w:sz="4" w:space="0" w:color="auto"/>
            </w:tcBorders>
            <w:vAlign w:val="center"/>
          </w:tcPr>
          <w:p w14:paraId="68186990" w14:textId="77777777" w:rsidR="00023489" w:rsidRPr="00EE1660" w:rsidRDefault="00023489" w:rsidP="00023489">
            <w:pPr>
              <w:tabs>
                <w:tab w:val="left" w:pos="1134"/>
              </w:tabs>
              <w:jc w:val="center"/>
              <w:rPr>
                <w:rFonts w:cs="Arial"/>
                <w:szCs w:val="24"/>
              </w:rPr>
            </w:pPr>
          </w:p>
        </w:tc>
        <w:tc>
          <w:tcPr>
            <w:tcW w:w="473" w:type="pct"/>
            <w:tcBorders>
              <w:top w:val="single" w:sz="4" w:space="0" w:color="auto"/>
            </w:tcBorders>
            <w:vAlign w:val="center"/>
          </w:tcPr>
          <w:p w14:paraId="0B9699E6" w14:textId="77777777" w:rsidR="00023489" w:rsidRPr="00EE1660" w:rsidRDefault="00023489" w:rsidP="00023489">
            <w:pPr>
              <w:tabs>
                <w:tab w:val="left" w:pos="1134"/>
              </w:tabs>
              <w:jc w:val="center"/>
              <w:rPr>
                <w:rFonts w:cs="Arial"/>
                <w:szCs w:val="24"/>
              </w:rPr>
            </w:pPr>
          </w:p>
        </w:tc>
      </w:tr>
      <w:tr w:rsidR="00023489" w:rsidRPr="00EE1660" w14:paraId="51D8B89A" w14:textId="77777777" w:rsidTr="00023489">
        <w:trPr>
          <w:trHeight w:val="909"/>
          <w:jc w:val="center"/>
        </w:trPr>
        <w:tc>
          <w:tcPr>
            <w:tcW w:w="1669" w:type="pct"/>
            <w:vAlign w:val="center"/>
          </w:tcPr>
          <w:p w14:paraId="6B8C1BA7" w14:textId="77777777" w:rsidR="00023489" w:rsidRPr="00EE1660" w:rsidRDefault="00023489" w:rsidP="00023489">
            <w:pPr>
              <w:pStyle w:val="ListParagraph"/>
              <w:numPr>
                <w:ilvl w:val="0"/>
                <w:numId w:val="12"/>
              </w:numPr>
              <w:tabs>
                <w:tab w:val="left" w:pos="1134"/>
              </w:tabs>
              <w:spacing w:before="120" w:after="120"/>
              <w:rPr>
                <w:rFonts w:cs="Arial"/>
                <w:b/>
                <w:bCs/>
                <w:szCs w:val="24"/>
              </w:rPr>
            </w:pPr>
            <w:r>
              <w:rPr>
                <w:rFonts w:cs="Arial"/>
                <w:b/>
                <w:bCs/>
                <w:szCs w:val="24"/>
              </w:rPr>
              <w:t>Intolerance of uncertainty (IUS-12</w:t>
            </w:r>
            <w:r w:rsidRPr="00EE1660">
              <w:rPr>
                <w:rFonts w:cs="Arial"/>
                <w:b/>
                <w:bCs/>
                <w:szCs w:val="24"/>
              </w:rPr>
              <w:t>)</w:t>
            </w:r>
          </w:p>
        </w:tc>
        <w:tc>
          <w:tcPr>
            <w:tcW w:w="480" w:type="pct"/>
            <w:vAlign w:val="center"/>
          </w:tcPr>
          <w:p w14:paraId="790DC59C" w14:textId="77777777" w:rsidR="00023489" w:rsidRPr="00EE1660" w:rsidRDefault="00023489" w:rsidP="00023489">
            <w:pPr>
              <w:tabs>
                <w:tab w:val="left" w:pos="1134"/>
              </w:tabs>
              <w:jc w:val="center"/>
              <w:rPr>
                <w:rFonts w:cs="Arial"/>
                <w:szCs w:val="24"/>
              </w:rPr>
            </w:pPr>
            <w:r>
              <w:rPr>
                <w:rFonts w:cs="Arial"/>
                <w:szCs w:val="24"/>
              </w:rPr>
              <w:t>.43**</w:t>
            </w:r>
          </w:p>
        </w:tc>
        <w:tc>
          <w:tcPr>
            <w:tcW w:w="478" w:type="pct"/>
            <w:vAlign w:val="center"/>
          </w:tcPr>
          <w:p w14:paraId="2062D9E6" w14:textId="77777777" w:rsidR="00023489" w:rsidRPr="00EE1660" w:rsidRDefault="00023489" w:rsidP="00023489">
            <w:pPr>
              <w:tabs>
                <w:tab w:val="left" w:pos="1134"/>
              </w:tabs>
              <w:jc w:val="center"/>
              <w:rPr>
                <w:rFonts w:cs="Arial"/>
                <w:szCs w:val="24"/>
              </w:rPr>
            </w:pPr>
            <w:r w:rsidRPr="00EE1660">
              <w:rPr>
                <w:rFonts w:cs="Arial"/>
                <w:szCs w:val="24"/>
              </w:rPr>
              <w:t>-</w:t>
            </w:r>
          </w:p>
        </w:tc>
        <w:tc>
          <w:tcPr>
            <w:tcW w:w="478" w:type="pct"/>
            <w:vAlign w:val="center"/>
          </w:tcPr>
          <w:p w14:paraId="0B4E1982" w14:textId="77777777" w:rsidR="00023489" w:rsidRPr="00EE1660" w:rsidRDefault="00023489" w:rsidP="00023489">
            <w:pPr>
              <w:tabs>
                <w:tab w:val="left" w:pos="1134"/>
              </w:tabs>
              <w:jc w:val="center"/>
              <w:rPr>
                <w:rFonts w:cs="Arial"/>
                <w:szCs w:val="24"/>
              </w:rPr>
            </w:pPr>
          </w:p>
        </w:tc>
        <w:tc>
          <w:tcPr>
            <w:tcW w:w="476" w:type="pct"/>
            <w:vAlign w:val="center"/>
          </w:tcPr>
          <w:p w14:paraId="4E35589B" w14:textId="77777777" w:rsidR="00023489" w:rsidRPr="00EE1660" w:rsidRDefault="00023489" w:rsidP="00023489">
            <w:pPr>
              <w:tabs>
                <w:tab w:val="left" w:pos="1134"/>
              </w:tabs>
              <w:jc w:val="center"/>
              <w:rPr>
                <w:rFonts w:cs="Arial"/>
                <w:szCs w:val="24"/>
              </w:rPr>
            </w:pPr>
          </w:p>
        </w:tc>
        <w:tc>
          <w:tcPr>
            <w:tcW w:w="474" w:type="pct"/>
            <w:vAlign w:val="center"/>
          </w:tcPr>
          <w:p w14:paraId="6F951DFA" w14:textId="77777777" w:rsidR="00023489" w:rsidRPr="00EE1660" w:rsidRDefault="00023489" w:rsidP="00023489">
            <w:pPr>
              <w:tabs>
                <w:tab w:val="left" w:pos="1134"/>
              </w:tabs>
              <w:jc w:val="center"/>
              <w:rPr>
                <w:rFonts w:cs="Arial"/>
                <w:szCs w:val="24"/>
              </w:rPr>
            </w:pPr>
          </w:p>
        </w:tc>
        <w:tc>
          <w:tcPr>
            <w:tcW w:w="473" w:type="pct"/>
            <w:vAlign w:val="center"/>
          </w:tcPr>
          <w:p w14:paraId="46AC00B2" w14:textId="77777777" w:rsidR="00023489" w:rsidRPr="00EE1660" w:rsidRDefault="00023489" w:rsidP="00023489">
            <w:pPr>
              <w:tabs>
                <w:tab w:val="left" w:pos="1134"/>
              </w:tabs>
              <w:jc w:val="center"/>
              <w:rPr>
                <w:rFonts w:cs="Arial"/>
                <w:szCs w:val="24"/>
              </w:rPr>
            </w:pPr>
          </w:p>
        </w:tc>
        <w:tc>
          <w:tcPr>
            <w:tcW w:w="473" w:type="pct"/>
            <w:vAlign w:val="center"/>
          </w:tcPr>
          <w:p w14:paraId="4FA396B0" w14:textId="77777777" w:rsidR="00023489" w:rsidRPr="00EE1660" w:rsidRDefault="00023489" w:rsidP="00023489">
            <w:pPr>
              <w:tabs>
                <w:tab w:val="left" w:pos="1134"/>
              </w:tabs>
              <w:jc w:val="center"/>
              <w:rPr>
                <w:rFonts w:cs="Arial"/>
                <w:szCs w:val="24"/>
              </w:rPr>
            </w:pPr>
          </w:p>
        </w:tc>
      </w:tr>
      <w:tr w:rsidR="00023489" w:rsidRPr="00EE1660" w14:paraId="38EF3E5A" w14:textId="77777777" w:rsidTr="00023489">
        <w:trPr>
          <w:trHeight w:val="594"/>
          <w:jc w:val="center"/>
        </w:trPr>
        <w:tc>
          <w:tcPr>
            <w:tcW w:w="1669" w:type="pct"/>
            <w:vAlign w:val="center"/>
          </w:tcPr>
          <w:p w14:paraId="022EBD8C" w14:textId="77777777" w:rsidR="00023489" w:rsidRPr="00EE1660" w:rsidRDefault="00023489" w:rsidP="00023489">
            <w:pPr>
              <w:pStyle w:val="ListParagraph"/>
              <w:numPr>
                <w:ilvl w:val="0"/>
                <w:numId w:val="12"/>
              </w:numPr>
              <w:tabs>
                <w:tab w:val="left" w:pos="1134"/>
              </w:tabs>
              <w:spacing w:before="120" w:after="120"/>
              <w:rPr>
                <w:rFonts w:cs="Arial"/>
                <w:b/>
                <w:bCs/>
                <w:szCs w:val="24"/>
              </w:rPr>
            </w:pPr>
            <w:r>
              <w:rPr>
                <w:rFonts w:cs="Arial"/>
                <w:b/>
                <w:bCs/>
                <w:szCs w:val="24"/>
              </w:rPr>
              <w:t>Anxiety Sensitivity</w:t>
            </w:r>
            <w:r w:rsidRPr="00EE1660">
              <w:rPr>
                <w:rFonts w:cs="Arial"/>
                <w:b/>
                <w:bCs/>
                <w:szCs w:val="24"/>
              </w:rPr>
              <w:t xml:space="preserve"> (</w:t>
            </w:r>
            <w:r>
              <w:rPr>
                <w:rFonts w:cs="Arial"/>
                <w:b/>
                <w:bCs/>
                <w:szCs w:val="24"/>
              </w:rPr>
              <w:t>ASI-3</w:t>
            </w:r>
            <w:r w:rsidRPr="00EE1660">
              <w:rPr>
                <w:rFonts w:cs="Arial"/>
                <w:b/>
                <w:bCs/>
                <w:szCs w:val="24"/>
              </w:rPr>
              <w:t>)</w:t>
            </w:r>
          </w:p>
        </w:tc>
        <w:tc>
          <w:tcPr>
            <w:tcW w:w="480" w:type="pct"/>
            <w:vAlign w:val="center"/>
          </w:tcPr>
          <w:p w14:paraId="562A4FEB" w14:textId="77777777" w:rsidR="00023489" w:rsidRPr="00EE1660" w:rsidRDefault="00023489" w:rsidP="00023489">
            <w:pPr>
              <w:tabs>
                <w:tab w:val="left" w:pos="1134"/>
              </w:tabs>
              <w:jc w:val="center"/>
              <w:rPr>
                <w:rFonts w:cs="Arial"/>
                <w:szCs w:val="24"/>
              </w:rPr>
            </w:pPr>
            <w:r>
              <w:rPr>
                <w:rFonts w:cs="Arial"/>
                <w:szCs w:val="24"/>
              </w:rPr>
              <w:t>.50**</w:t>
            </w:r>
          </w:p>
        </w:tc>
        <w:tc>
          <w:tcPr>
            <w:tcW w:w="478" w:type="pct"/>
            <w:vAlign w:val="center"/>
          </w:tcPr>
          <w:p w14:paraId="3048BCB9" w14:textId="77777777" w:rsidR="00023489" w:rsidRPr="00EE1660" w:rsidRDefault="00023489" w:rsidP="00023489">
            <w:pPr>
              <w:tabs>
                <w:tab w:val="left" w:pos="1134"/>
              </w:tabs>
              <w:jc w:val="center"/>
              <w:rPr>
                <w:rFonts w:cs="Arial"/>
                <w:szCs w:val="24"/>
              </w:rPr>
            </w:pPr>
            <w:r>
              <w:rPr>
                <w:rFonts w:cs="Arial"/>
                <w:szCs w:val="24"/>
              </w:rPr>
              <w:t>.83**</w:t>
            </w:r>
          </w:p>
        </w:tc>
        <w:tc>
          <w:tcPr>
            <w:tcW w:w="478" w:type="pct"/>
            <w:vAlign w:val="center"/>
          </w:tcPr>
          <w:p w14:paraId="717CC139" w14:textId="77777777" w:rsidR="00023489" w:rsidRPr="00EE1660" w:rsidRDefault="00023489" w:rsidP="00023489">
            <w:pPr>
              <w:tabs>
                <w:tab w:val="left" w:pos="1134"/>
              </w:tabs>
              <w:jc w:val="center"/>
              <w:rPr>
                <w:rFonts w:cs="Arial"/>
                <w:szCs w:val="24"/>
              </w:rPr>
            </w:pPr>
            <w:r w:rsidRPr="00EE1660">
              <w:rPr>
                <w:rFonts w:cs="Arial"/>
                <w:szCs w:val="24"/>
              </w:rPr>
              <w:t>-</w:t>
            </w:r>
          </w:p>
        </w:tc>
        <w:tc>
          <w:tcPr>
            <w:tcW w:w="476" w:type="pct"/>
            <w:vAlign w:val="center"/>
          </w:tcPr>
          <w:p w14:paraId="5A0D9480" w14:textId="77777777" w:rsidR="00023489" w:rsidRPr="00EE1660" w:rsidRDefault="00023489" w:rsidP="00023489">
            <w:pPr>
              <w:tabs>
                <w:tab w:val="left" w:pos="1134"/>
              </w:tabs>
              <w:jc w:val="center"/>
              <w:rPr>
                <w:rFonts w:cs="Arial"/>
                <w:szCs w:val="24"/>
              </w:rPr>
            </w:pPr>
          </w:p>
        </w:tc>
        <w:tc>
          <w:tcPr>
            <w:tcW w:w="474" w:type="pct"/>
            <w:vAlign w:val="center"/>
          </w:tcPr>
          <w:p w14:paraId="5606E8D0" w14:textId="77777777" w:rsidR="00023489" w:rsidRPr="00EE1660" w:rsidRDefault="00023489" w:rsidP="00023489">
            <w:pPr>
              <w:tabs>
                <w:tab w:val="left" w:pos="1134"/>
              </w:tabs>
              <w:jc w:val="center"/>
              <w:rPr>
                <w:rFonts w:cs="Arial"/>
                <w:szCs w:val="24"/>
              </w:rPr>
            </w:pPr>
          </w:p>
        </w:tc>
        <w:tc>
          <w:tcPr>
            <w:tcW w:w="473" w:type="pct"/>
            <w:vAlign w:val="center"/>
          </w:tcPr>
          <w:p w14:paraId="621E4622" w14:textId="77777777" w:rsidR="00023489" w:rsidRPr="00EE1660" w:rsidRDefault="00023489" w:rsidP="00023489">
            <w:pPr>
              <w:tabs>
                <w:tab w:val="left" w:pos="1134"/>
              </w:tabs>
              <w:jc w:val="center"/>
              <w:rPr>
                <w:rFonts w:cs="Arial"/>
                <w:szCs w:val="24"/>
              </w:rPr>
            </w:pPr>
          </w:p>
        </w:tc>
        <w:tc>
          <w:tcPr>
            <w:tcW w:w="473" w:type="pct"/>
            <w:vAlign w:val="center"/>
          </w:tcPr>
          <w:p w14:paraId="3E7566A3" w14:textId="77777777" w:rsidR="00023489" w:rsidRPr="00EE1660" w:rsidRDefault="00023489" w:rsidP="00023489">
            <w:pPr>
              <w:tabs>
                <w:tab w:val="left" w:pos="1134"/>
              </w:tabs>
              <w:jc w:val="center"/>
              <w:rPr>
                <w:rFonts w:cs="Arial"/>
                <w:szCs w:val="24"/>
              </w:rPr>
            </w:pPr>
          </w:p>
        </w:tc>
      </w:tr>
      <w:tr w:rsidR="00023489" w:rsidRPr="00EE1660" w14:paraId="0046E3AC" w14:textId="77777777" w:rsidTr="00023489">
        <w:trPr>
          <w:trHeight w:val="594"/>
          <w:jc w:val="center"/>
        </w:trPr>
        <w:tc>
          <w:tcPr>
            <w:tcW w:w="1669" w:type="pct"/>
            <w:vAlign w:val="center"/>
          </w:tcPr>
          <w:p w14:paraId="4D37D2F1" w14:textId="77777777" w:rsidR="00023489" w:rsidRDefault="00023489" w:rsidP="00023489">
            <w:pPr>
              <w:pStyle w:val="ListParagraph"/>
              <w:numPr>
                <w:ilvl w:val="0"/>
                <w:numId w:val="12"/>
              </w:numPr>
              <w:tabs>
                <w:tab w:val="left" w:pos="1134"/>
              </w:tabs>
              <w:spacing w:before="120" w:after="120"/>
              <w:rPr>
                <w:rFonts w:cs="Arial"/>
                <w:b/>
                <w:bCs/>
                <w:szCs w:val="24"/>
              </w:rPr>
            </w:pPr>
            <w:r>
              <w:rPr>
                <w:rFonts w:cs="Arial"/>
                <w:b/>
                <w:bCs/>
                <w:szCs w:val="24"/>
              </w:rPr>
              <w:t>Anxiety (GAD-7)</w:t>
            </w:r>
          </w:p>
        </w:tc>
        <w:tc>
          <w:tcPr>
            <w:tcW w:w="480" w:type="pct"/>
            <w:vAlign w:val="center"/>
          </w:tcPr>
          <w:p w14:paraId="71A455FE" w14:textId="77777777" w:rsidR="00023489" w:rsidRDefault="00023489" w:rsidP="00023489">
            <w:pPr>
              <w:tabs>
                <w:tab w:val="left" w:pos="1134"/>
              </w:tabs>
              <w:jc w:val="center"/>
              <w:rPr>
                <w:rFonts w:cs="Arial"/>
                <w:szCs w:val="24"/>
              </w:rPr>
            </w:pPr>
            <w:r>
              <w:rPr>
                <w:rFonts w:cs="Arial"/>
                <w:szCs w:val="24"/>
              </w:rPr>
              <w:t>.52**</w:t>
            </w:r>
          </w:p>
        </w:tc>
        <w:tc>
          <w:tcPr>
            <w:tcW w:w="478" w:type="pct"/>
            <w:vAlign w:val="center"/>
          </w:tcPr>
          <w:p w14:paraId="4883E76F" w14:textId="77777777" w:rsidR="00023489" w:rsidRDefault="00023489" w:rsidP="00023489">
            <w:pPr>
              <w:tabs>
                <w:tab w:val="left" w:pos="1134"/>
              </w:tabs>
              <w:jc w:val="center"/>
              <w:rPr>
                <w:rFonts w:cs="Arial"/>
                <w:szCs w:val="24"/>
              </w:rPr>
            </w:pPr>
            <w:r>
              <w:rPr>
                <w:rFonts w:cs="Arial"/>
                <w:szCs w:val="24"/>
              </w:rPr>
              <w:t>.69**</w:t>
            </w:r>
          </w:p>
        </w:tc>
        <w:tc>
          <w:tcPr>
            <w:tcW w:w="478" w:type="pct"/>
            <w:vAlign w:val="center"/>
          </w:tcPr>
          <w:p w14:paraId="07527867" w14:textId="77777777" w:rsidR="00023489" w:rsidRPr="00EE1660" w:rsidRDefault="00023489" w:rsidP="00023489">
            <w:pPr>
              <w:tabs>
                <w:tab w:val="left" w:pos="1134"/>
              </w:tabs>
              <w:jc w:val="center"/>
              <w:rPr>
                <w:rFonts w:cs="Arial"/>
                <w:szCs w:val="24"/>
              </w:rPr>
            </w:pPr>
            <w:r>
              <w:rPr>
                <w:rFonts w:cs="Arial"/>
                <w:szCs w:val="24"/>
              </w:rPr>
              <w:t>.75**</w:t>
            </w:r>
          </w:p>
        </w:tc>
        <w:tc>
          <w:tcPr>
            <w:tcW w:w="476" w:type="pct"/>
            <w:vAlign w:val="center"/>
          </w:tcPr>
          <w:p w14:paraId="01E1AA30" w14:textId="77777777" w:rsidR="00023489" w:rsidRPr="00EE1660" w:rsidRDefault="00023489" w:rsidP="00023489">
            <w:pPr>
              <w:tabs>
                <w:tab w:val="left" w:pos="1134"/>
              </w:tabs>
              <w:jc w:val="center"/>
              <w:rPr>
                <w:rFonts w:cs="Arial"/>
                <w:szCs w:val="24"/>
              </w:rPr>
            </w:pPr>
            <w:r>
              <w:rPr>
                <w:rFonts w:cs="Arial"/>
                <w:szCs w:val="24"/>
              </w:rPr>
              <w:t>-</w:t>
            </w:r>
          </w:p>
        </w:tc>
        <w:tc>
          <w:tcPr>
            <w:tcW w:w="474" w:type="pct"/>
            <w:vAlign w:val="center"/>
          </w:tcPr>
          <w:p w14:paraId="494AB1B4" w14:textId="77777777" w:rsidR="00023489" w:rsidRPr="00EE1660" w:rsidRDefault="00023489" w:rsidP="00023489">
            <w:pPr>
              <w:tabs>
                <w:tab w:val="left" w:pos="1134"/>
              </w:tabs>
              <w:jc w:val="center"/>
              <w:rPr>
                <w:rFonts w:cs="Arial"/>
                <w:szCs w:val="24"/>
              </w:rPr>
            </w:pPr>
          </w:p>
        </w:tc>
        <w:tc>
          <w:tcPr>
            <w:tcW w:w="473" w:type="pct"/>
            <w:vAlign w:val="center"/>
          </w:tcPr>
          <w:p w14:paraId="51901E0F" w14:textId="77777777" w:rsidR="00023489" w:rsidRPr="00EE1660" w:rsidRDefault="00023489" w:rsidP="00023489">
            <w:pPr>
              <w:tabs>
                <w:tab w:val="left" w:pos="1134"/>
              </w:tabs>
              <w:jc w:val="center"/>
              <w:rPr>
                <w:rFonts w:cs="Arial"/>
                <w:szCs w:val="24"/>
              </w:rPr>
            </w:pPr>
          </w:p>
        </w:tc>
        <w:tc>
          <w:tcPr>
            <w:tcW w:w="473" w:type="pct"/>
            <w:vAlign w:val="center"/>
          </w:tcPr>
          <w:p w14:paraId="20DE03DC" w14:textId="77777777" w:rsidR="00023489" w:rsidRPr="00EE1660" w:rsidRDefault="00023489" w:rsidP="00023489">
            <w:pPr>
              <w:tabs>
                <w:tab w:val="left" w:pos="1134"/>
              </w:tabs>
              <w:jc w:val="center"/>
              <w:rPr>
                <w:rFonts w:cs="Arial"/>
                <w:szCs w:val="24"/>
              </w:rPr>
            </w:pPr>
          </w:p>
        </w:tc>
      </w:tr>
      <w:tr w:rsidR="00023489" w:rsidRPr="00EE1660" w14:paraId="31C09138" w14:textId="77777777" w:rsidTr="00023489">
        <w:trPr>
          <w:trHeight w:val="583"/>
          <w:jc w:val="center"/>
        </w:trPr>
        <w:tc>
          <w:tcPr>
            <w:tcW w:w="1669" w:type="pct"/>
            <w:vAlign w:val="center"/>
          </w:tcPr>
          <w:p w14:paraId="3A98DB4E" w14:textId="77777777" w:rsidR="00023489" w:rsidRPr="00EE1660" w:rsidRDefault="00023489" w:rsidP="00023489">
            <w:pPr>
              <w:pStyle w:val="ListParagraph"/>
              <w:numPr>
                <w:ilvl w:val="0"/>
                <w:numId w:val="12"/>
              </w:numPr>
              <w:tabs>
                <w:tab w:val="left" w:pos="1134"/>
              </w:tabs>
              <w:spacing w:before="120" w:after="120"/>
              <w:rPr>
                <w:rFonts w:cs="Arial"/>
                <w:b/>
                <w:bCs/>
                <w:szCs w:val="24"/>
              </w:rPr>
            </w:pPr>
            <w:r>
              <w:rPr>
                <w:rFonts w:cs="Arial"/>
                <w:b/>
                <w:bCs/>
                <w:szCs w:val="24"/>
              </w:rPr>
              <w:t>Depression (PHQ-9)</w:t>
            </w:r>
          </w:p>
        </w:tc>
        <w:tc>
          <w:tcPr>
            <w:tcW w:w="480" w:type="pct"/>
            <w:vAlign w:val="center"/>
          </w:tcPr>
          <w:p w14:paraId="1522246B" w14:textId="77777777" w:rsidR="00023489" w:rsidRPr="00EE1660" w:rsidRDefault="00023489" w:rsidP="00023489">
            <w:pPr>
              <w:tabs>
                <w:tab w:val="left" w:pos="1134"/>
              </w:tabs>
              <w:jc w:val="center"/>
              <w:rPr>
                <w:rFonts w:cs="Arial"/>
                <w:szCs w:val="24"/>
              </w:rPr>
            </w:pPr>
            <w:r>
              <w:rPr>
                <w:rFonts w:cs="Arial"/>
                <w:szCs w:val="24"/>
              </w:rPr>
              <w:t>.64**</w:t>
            </w:r>
          </w:p>
        </w:tc>
        <w:tc>
          <w:tcPr>
            <w:tcW w:w="478" w:type="pct"/>
            <w:vAlign w:val="center"/>
          </w:tcPr>
          <w:p w14:paraId="59DBE001" w14:textId="77777777" w:rsidR="00023489" w:rsidRPr="00EE1660" w:rsidRDefault="00023489" w:rsidP="00023489">
            <w:pPr>
              <w:tabs>
                <w:tab w:val="left" w:pos="1134"/>
              </w:tabs>
              <w:jc w:val="center"/>
              <w:rPr>
                <w:rFonts w:cs="Arial"/>
                <w:szCs w:val="24"/>
              </w:rPr>
            </w:pPr>
            <w:r>
              <w:rPr>
                <w:rFonts w:cs="Arial"/>
                <w:szCs w:val="24"/>
              </w:rPr>
              <w:t>.63**</w:t>
            </w:r>
          </w:p>
        </w:tc>
        <w:tc>
          <w:tcPr>
            <w:tcW w:w="478" w:type="pct"/>
            <w:vAlign w:val="center"/>
          </w:tcPr>
          <w:p w14:paraId="632D7CF9" w14:textId="77777777" w:rsidR="00023489" w:rsidRPr="00EE1660" w:rsidRDefault="00023489" w:rsidP="00023489">
            <w:pPr>
              <w:tabs>
                <w:tab w:val="left" w:pos="1134"/>
              </w:tabs>
              <w:jc w:val="center"/>
              <w:rPr>
                <w:rFonts w:cs="Arial"/>
                <w:szCs w:val="24"/>
              </w:rPr>
            </w:pPr>
            <w:r>
              <w:rPr>
                <w:rFonts w:cs="Arial"/>
                <w:szCs w:val="24"/>
              </w:rPr>
              <w:t>.67**</w:t>
            </w:r>
          </w:p>
        </w:tc>
        <w:tc>
          <w:tcPr>
            <w:tcW w:w="476" w:type="pct"/>
            <w:vAlign w:val="center"/>
          </w:tcPr>
          <w:p w14:paraId="63204AE6" w14:textId="77777777" w:rsidR="00023489" w:rsidRPr="00EE1660" w:rsidRDefault="00023489" w:rsidP="00023489">
            <w:pPr>
              <w:tabs>
                <w:tab w:val="left" w:pos="1134"/>
              </w:tabs>
              <w:jc w:val="center"/>
              <w:rPr>
                <w:rFonts w:cs="Arial"/>
                <w:szCs w:val="24"/>
              </w:rPr>
            </w:pPr>
            <w:r>
              <w:rPr>
                <w:rFonts w:cs="Arial"/>
                <w:szCs w:val="24"/>
              </w:rPr>
              <w:t>.81**</w:t>
            </w:r>
          </w:p>
        </w:tc>
        <w:tc>
          <w:tcPr>
            <w:tcW w:w="474" w:type="pct"/>
            <w:vAlign w:val="center"/>
          </w:tcPr>
          <w:p w14:paraId="68E64FB7" w14:textId="77777777" w:rsidR="00023489" w:rsidRPr="00EE1660" w:rsidRDefault="00023489" w:rsidP="00023489">
            <w:pPr>
              <w:tabs>
                <w:tab w:val="left" w:pos="1134"/>
              </w:tabs>
              <w:jc w:val="center"/>
              <w:rPr>
                <w:rFonts w:cs="Arial"/>
                <w:szCs w:val="24"/>
              </w:rPr>
            </w:pPr>
            <w:r>
              <w:rPr>
                <w:rFonts w:cs="Arial"/>
                <w:szCs w:val="24"/>
              </w:rPr>
              <w:t>-</w:t>
            </w:r>
          </w:p>
        </w:tc>
        <w:tc>
          <w:tcPr>
            <w:tcW w:w="473" w:type="pct"/>
            <w:vAlign w:val="center"/>
          </w:tcPr>
          <w:p w14:paraId="668D0A7A" w14:textId="77777777" w:rsidR="00023489" w:rsidRPr="00EE1660" w:rsidRDefault="00023489" w:rsidP="00023489">
            <w:pPr>
              <w:tabs>
                <w:tab w:val="left" w:pos="1134"/>
              </w:tabs>
              <w:jc w:val="center"/>
              <w:rPr>
                <w:rFonts w:cs="Arial"/>
                <w:szCs w:val="24"/>
              </w:rPr>
            </w:pPr>
          </w:p>
        </w:tc>
        <w:tc>
          <w:tcPr>
            <w:tcW w:w="473" w:type="pct"/>
            <w:vAlign w:val="center"/>
          </w:tcPr>
          <w:p w14:paraId="4BD7D2D8" w14:textId="77777777" w:rsidR="00023489" w:rsidRPr="00EE1660" w:rsidRDefault="00023489" w:rsidP="00023489">
            <w:pPr>
              <w:tabs>
                <w:tab w:val="left" w:pos="1134"/>
              </w:tabs>
              <w:jc w:val="center"/>
              <w:rPr>
                <w:rFonts w:cs="Arial"/>
                <w:szCs w:val="24"/>
              </w:rPr>
            </w:pPr>
          </w:p>
        </w:tc>
      </w:tr>
      <w:tr w:rsidR="00023489" w:rsidRPr="00EE1660" w14:paraId="04E01624" w14:textId="77777777" w:rsidTr="00023489">
        <w:trPr>
          <w:trHeight w:val="594"/>
          <w:jc w:val="center"/>
        </w:trPr>
        <w:tc>
          <w:tcPr>
            <w:tcW w:w="1669" w:type="pct"/>
            <w:vAlign w:val="center"/>
          </w:tcPr>
          <w:p w14:paraId="438FE8A3" w14:textId="77777777" w:rsidR="00023489" w:rsidRPr="00EE1660" w:rsidRDefault="00023489" w:rsidP="00023489">
            <w:pPr>
              <w:pStyle w:val="ListParagraph"/>
              <w:numPr>
                <w:ilvl w:val="0"/>
                <w:numId w:val="12"/>
              </w:numPr>
              <w:tabs>
                <w:tab w:val="left" w:pos="1134"/>
              </w:tabs>
              <w:spacing w:before="120" w:after="120"/>
              <w:rPr>
                <w:rFonts w:cs="Arial"/>
                <w:b/>
                <w:bCs/>
                <w:szCs w:val="24"/>
              </w:rPr>
            </w:pPr>
            <w:r>
              <w:rPr>
                <w:rFonts w:cs="Arial"/>
                <w:b/>
                <w:bCs/>
                <w:szCs w:val="24"/>
              </w:rPr>
              <w:t>Diagnosis of epilepsy/DS</w:t>
            </w:r>
          </w:p>
        </w:tc>
        <w:tc>
          <w:tcPr>
            <w:tcW w:w="480" w:type="pct"/>
            <w:vAlign w:val="center"/>
          </w:tcPr>
          <w:p w14:paraId="02DC8026" w14:textId="77777777" w:rsidR="00023489" w:rsidRPr="00EE1660" w:rsidRDefault="00023489" w:rsidP="00023489">
            <w:pPr>
              <w:tabs>
                <w:tab w:val="left" w:pos="1134"/>
              </w:tabs>
              <w:jc w:val="center"/>
              <w:rPr>
                <w:rFonts w:cs="Arial"/>
                <w:szCs w:val="24"/>
              </w:rPr>
            </w:pPr>
            <w:r>
              <w:rPr>
                <w:rFonts w:cs="Arial"/>
                <w:szCs w:val="24"/>
              </w:rPr>
              <w:t>.18</w:t>
            </w:r>
          </w:p>
        </w:tc>
        <w:tc>
          <w:tcPr>
            <w:tcW w:w="478" w:type="pct"/>
            <w:vAlign w:val="center"/>
          </w:tcPr>
          <w:p w14:paraId="602CD77E" w14:textId="77777777" w:rsidR="00023489" w:rsidRPr="00EE1660" w:rsidRDefault="00023489" w:rsidP="00023489">
            <w:pPr>
              <w:tabs>
                <w:tab w:val="left" w:pos="1134"/>
              </w:tabs>
              <w:jc w:val="center"/>
              <w:rPr>
                <w:rFonts w:cs="Arial"/>
                <w:szCs w:val="24"/>
              </w:rPr>
            </w:pPr>
            <w:r>
              <w:rPr>
                <w:rFonts w:cs="Arial"/>
                <w:szCs w:val="24"/>
              </w:rPr>
              <w:t>.09</w:t>
            </w:r>
          </w:p>
        </w:tc>
        <w:tc>
          <w:tcPr>
            <w:tcW w:w="478" w:type="pct"/>
            <w:vAlign w:val="center"/>
          </w:tcPr>
          <w:p w14:paraId="3353E4A1" w14:textId="77777777" w:rsidR="00023489" w:rsidRPr="00EE1660" w:rsidRDefault="00023489" w:rsidP="00023489">
            <w:pPr>
              <w:tabs>
                <w:tab w:val="left" w:pos="1134"/>
              </w:tabs>
              <w:jc w:val="center"/>
              <w:rPr>
                <w:rFonts w:cs="Arial"/>
                <w:szCs w:val="24"/>
              </w:rPr>
            </w:pPr>
            <w:r>
              <w:rPr>
                <w:rFonts w:cs="Arial"/>
                <w:szCs w:val="24"/>
              </w:rPr>
              <w:t>.17</w:t>
            </w:r>
          </w:p>
        </w:tc>
        <w:tc>
          <w:tcPr>
            <w:tcW w:w="476" w:type="pct"/>
            <w:vAlign w:val="center"/>
          </w:tcPr>
          <w:p w14:paraId="3476B587" w14:textId="77777777" w:rsidR="00023489" w:rsidRPr="00EE1660" w:rsidRDefault="00023489" w:rsidP="00023489">
            <w:pPr>
              <w:tabs>
                <w:tab w:val="left" w:pos="1134"/>
              </w:tabs>
              <w:jc w:val="center"/>
              <w:rPr>
                <w:rFonts w:cs="Arial"/>
                <w:szCs w:val="24"/>
              </w:rPr>
            </w:pPr>
            <w:r>
              <w:rPr>
                <w:rFonts w:cs="Arial"/>
                <w:szCs w:val="24"/>
              </w:rPr>
              <w:t>.16</w:t>
            </w:r>
          </w:p>
        </w:tc>
        <w:tc>
          <w:tcPr>
            <w:tcW w:w="474" w:type="pct"/>
            <w:vAlign w:val="center"/>
          </w:tcPr>
          <w:p w14:paraId="491EC8FE" w14:textId="77777777" w:rsidR="00023489" w:rsidRDefault="00023489" w:rsidP="00023489">
            <w:pPr>
              <w:tabs>
                <w:tab w:val="left" w:pos="1134"/>
              </w:tabs>
              <w:jc w:val="center"/>
              <w:rPr>
                <w:rFonts w:cs="Arial"/>
                <w:szCs w:val="24"/>
              </w:rPr>
            </w:pPr>
            <w:r>
              <w:rPr>
                <w:rFonts w:cs="Arial"/>
                <w:szCs w:val="24"/>
              </w:rPr>
              <w:t>.18</w:t>
            </w:r>
          </w:p>
        </w:tc>
        <w:tc>
          <w:tcPr>
            <w:tcW w:w="473" w:type="pct"/>
            <w:vAlign w:val="center"/>
          </w:tcPr>
          <w:p w14:paraId="3D11A705" w14:textId="77777777" w:rsidR="00023489" w:rsidRDefault="00023489" w:rsidP="00023489">
            <w:pPr>
              <w:tabs>
                <w:tab w:val="left" w:pos="1134"/>
              </w:tabs>
              <w:jc w:val="center"/>
              <w:rPr>
                <w:rFonts w:cs="Arial"/>
                <w:szCs w:val="24"/>
              </w:rPr>
            </w:pPr>
            <w:r>
              <w:rPr>
                <w:rFonts w:cs="Arial"/>
                <w:szCs w:val="24"/>
              </w:rPr>
              <w:t>-</w:t>
            </w:r>
          </w:p>
        </w:tc>
        <w:tc>
          <w:tcPr>
            <w:tcW w:w="473" w:type="pct"/>
            <w:vAlign w:val="center"/>
          </w:tcPr>
          <w:p w14:paraId="6941301F" w14:textId="77777777" w:rsidR="00023489" w:rsidRDefault="00023489" w:rsidP="00023489">
            <w:pPr>
              <w:tabs>
                <w:tab w:val="left" w:pos="1134"/>
              </w:tabs>
              <w:jc w:val="center"/>
              <w:rPr>
                <w:rFonts w:cs="Arial"/>
                <w:szCs w:val="24"/>
              </w:rPr>
            </w:pPr>
          </w:p>
        </w:tc>
      </w:tr>
      <w:tr w:rsidR="00023489" w:rsidRPr="00EE1660" w14:paraId="635EA80F" w14:textId="77777777" w:rsidTr="00023489">
        <w:trPr>
          <w:trHeight w:val="594"/>
          <w:jc w:val="center"/>
        </w:trPr>
        <w:tc>
          <w:tcPr>
            <w:tcW w:w="1669" w:type="pct"/>
            <w:tcBorders>
              <w:bottom w:val="single" w:sz="4" w:space="0" w:color="auto"/>
            </w:tcBorders>
            <w:vAlign w:val="center"/>
          </w:tcPr>
          <w:p w14:paraId="23BE26BE" w14:textId="77777777" w:rsidR="00023489" w:rsidRDefault="00023489" w:rsidP="00023489">
            <w:pPr>
              <w:pStyle w:val="ListParagraph"/>
              <w:numPr>
                <w:ilvl w:val="0"/>
                <w:numId w:val="12"/>
              </w:numPr>
              <w:tabs>
                <w:tab w:val="left" w:pos="1134"/>
              </w:tabs>
              <w:spacing w:before="120" w:after="120"/>
              <w:rPr>
                <w:rFonts w:cs="Arial"/>
                <w:b/>
                <w:bCs/>
                <w:szCs w:val="24"/>
              </w:rPr>
            </w:pPr>
            <w:r>
              <w:rPr>
                <w:rFonts w:cs="Arial"/>
                <w:b/>
                <w:bCs/>
                <w:szCs w:val="24"/>
              </w:rPr>
              <w:t>Number of seizures over last four weeks+</w:t>
            </w:r>
          </w:p>
        </w:tc>
        <w:tc>
          <w:tcPr>
            <w:tcW w:w="480" w:type="pct"/>
            <w:tcBorders>
              <w:bottom w:val="single" w:sz="4" w:space="0" w:color="auto"/>
            </w:tcBorders>
            <w:vAlign w:val="center"/>
          </w:tcPr>
          <w:p w14:paraId="50E0FB53" w14:textId="77777777" w:rsidR="00023489" w:rsidRDefault="00023489" w:rsidP="00023489">
            <w:pPr>
              <w:tabs>
                <w:tab w:val="left" w:pos="1134"/>
              </w:tabs>
              <w:jc w:val="center"/>
              <w:rPr>
                <w:rFonts w:cs="Arial"/>
                <w:szCs w:val="24"/>
              </w:rPr>
            </w:pPr>
            <w:r>
              <w:rPr>
                <w:rFonts w:cs="Arial"/>
                <w:szCs w:val="24"/>
              </w:rPr>
              <w:t>.27*</w:t>
            </w:r>
          </w:p>
        </w:tc>
        <w:tc>
          <w:tcPr>
            <w:tcW w:w="478" w:type="pct"/>
            <w:tcBorders>
              <w:bottom w:val="single" w:sz="4" w:space="0" w:color="auto"/>
            </w:tcBorders>
            <w:vAlign w:val="center"/>
          </w:tcPr>
          <w:p w14:paraId="621670BF" w14:textId="77777777" w:rsidR="00023489" w:rsidRDefault="00023489" w:rsidP="00023489">
            <w:pPr>
              <w:tabs>
                <w:tab w:val="left" w:pos="1134"/>
              </w:tabs>
              <w:jc w:val="center"/>
              <w:rPr>
                <w:rFonts w:cs="Arial"/>
                <w:szCs w:val="24"/>
              </w:rPr>
            </w:pPr>
            <w:r>
              <w:rPr>
                <w:rFonts w:cs="Arial"/>
                <w:szCs w:val="24"/>
              </w:rPr>
              <w:t>.04</w:t>
            </w:r>
          </w:p>
        </w:tc>
        <w:tc>
          <w:tcPr>
            <w:tcW w:w="478" w:type="pct"/>
            <w:tcBorders>
              <w:bottom w:val="single" w:sz="4" w:space="0" w:color="auto"/>
            </w:tcBorders>
            <w:vAlign w:val="center"/>
          </w:tcPr>
          <w:p w14:paraId="11F0482D" w14:textId="77777777" w:rsidR="00023489" w:rsidRDefault="00023489" w:rsidP="00023489">
            <w:pPr>
              <w:tabs>
                <w:tab w:val="left" w:pos="1134"/>
              </w:tabs>
              <w:jc w:val="center"/>
              <w:rPr>
                <w:rFonts w:cs="Arial"/>
                <w:szCs w:val="24"/>
              </w:rPr>
            </w:pPr>
            <w:r>
              <w:rPr>
                <w:rFonts w:cs="Arial"/>
                <w:szCs w:val="24"/>
              </w:rPr>
              <w:t>.07</w:t>
            </w:r>
          </w:p>
        </w:tc>
        <w:tc>
          <w:tcPr>
            <w:tcW w:w="476" w:type="pct"/>
            <w:tcBorders>
              <w:bottom w:val="single" w:sz="4" w:space="0" w:color="auto"/>
            </w:tcBorders>
            <w:vAlign w:val="center"/>
          </w:tcPr>
          <w:p w14:paraId="4A0D9255" w14:textId="77777777" w:rsidR="00023489" w:rsidRDefault="00023489" w:rsidP="00023489">
            <w:pPr>
              <w:tabs>
                <w:tab w:val="left" w:pos="1134"/>
              </w:tabs>
              <w:jc w:val="center"/>
              <w:rPr>
                <w:rFonts w:cs="Arial"/>
                <w:szCs w:val="24"/>
              </w:rPr>
            </w:pPr>
            <w:r>
              <w:rPr>
                <w:rFonts w:cs="Arial"/>
                <w:szCs w:val="24"/>
              </w:rPr>
              <w:t>.13</w:t>
            </w:r>
          </w:p>
        </w:tc>
        <w:tc>
          <w:tcPr>
            <w:tcW w:w="474" w:type="pct"/>
            <w:tcBorders>
              <w:bottom w:val="single" w:sz="4" w:space="0" w:color="auto"/>
            </w:tcBorders>
            <w:vAlign w:val="center"/>
          </w:tcPr>
          <w:p w14:paraId="05B39243" w14:textId="77777777" w:rsidR="00023489" w:rsidRDefault="00023489" w:rsidP="00023489">
            <w:pPr>
              <w:tabs>
                <w:tab w:val="left" w:pos="1134"/>
              </w:tabs>
              <w:jc w:val="center"/>
              <w:rPr>
                <w:rFonts w:cs="Arial"/>
                <w:szCs w:val="24"/>
              </w:rPr>
            </w:pPr>
            <w:r>
              <w:rPr>
                <w:rFonts w:cs="Arial"/>
                <w:szCs w:val="24"/>
              </w:rPr>
              <w:t>.21</w:t>
            </w:r>
          </w:p>
        </w:tc>
        <w:tc>
          <w:tcPr>
            <w:tcW w:w="473" w:type="pct"/>
            <w:tcBorders>
              <w:bottom w:val="single" w:sz="4" w:space="0" w:color="auto"/>
            </w:tcBorders>
            <w:vAlign w:val="center"/>
          </w:tcPr>
          <w:p w14:paraId="54FEBD79" w14:textId="77777777" w:rsidR="00023489" w:rsidRDefault="00023489" w:rsidP="00023489">
            <w:pPr>
              <w:tabs>
                <w:tab w:val="left" w:pos="1134"/>
              </w:tabs>
              <w:jc w:val="center"/>
              <w:rPr>
                <w:rFonts w:cs="Arial"/>
                <w:szCs w:val="24"/>
              </w:rPr>
            </w:pPr>
            <w:r>
              <w:rPr>
                <w:rFonts w:cs="Arial"/>
                <w:szCs w:val="24"/>
              </w:rPr>
              <w:t>.25*</w:t>
            </w:r>
          </w:p>
        </w:tc>
        <w:tc>
          <w:tcPr>
            <w:tcW w:w="473" w:type="pct"/>
            <w:tcBorders>
              <w:bottom w:val="single" w:sz="4" w:space="0" w:color="auto"/>
            </w:tcBorders>
            <w:vAlign w:val="center"/>
          </w:tcPr>
          <w:p w14:paraId="4BB7C072" w14:textId="77777777" w:rsidR="00023489" w:rsidRDefault="00023489" w:rsidP="00023489">
            <w:pPr>
              <w:tabs>
                <w:tab w:val="left" w:pos="1134"/>
              </w:tabs>
              <w:jc w:val="center"/>
              <w:rPr>
                <w:rFonts w:cs="Arial"/>
                <w:szCs w:val="24"/>
              </w:rPr>
            </w:pPr>
            <w:r>
              <w:rPr>
                <w:rFonts w:cs="Arial"/>
                <w:szCs w:val="24"/>
              </w:rPr>
              <w:t>-</w:t>
            </w:r>
          </w:p>
        </w:tc>
      </w:tr>
    </w:tbl>
    <w:p w14:paraId="41622EB3" w14:textId="292B5DA2" w:rsidR="00023489" w:rsidRPr="005102E0" w:rsidRDefault="00023489" w:rsidP="00023489">
      <w:r w:rsidRPr="005102E0">
        <w:rPr>
          <w:i/>
        </w:rPr>
        <w:t>Note</w:t>
      </w:r>
      <w:r>
        <w:rPr>
          <w:i/>
        </w:rPr>
        <w:t xml:space="preserve">. </w:t>
      </w:r>
      <w:r>
        <w:t>*</w:t>
      </w:r>
      <w:r>
        <w:rPr>
          <w:i/>
        </w:rPr>
        <w:t>p</w:t>
      </w:r>
      <w:r>
        <w:t xml:space="preserve"> &lt; .05 (two-tailed) </w:t>
      </w:r>
      <w:r w:rsidRPr="005102E0">
        <w:t>**</w:t>
      </w:r>
      <w:r>
        <w:rPr>
          <w:i/>
        </w:rPr>
        <w:t xml:space="preserve">p </w:t>
      </w:r>
      <w:r w:rsidRPr="005102E0">
        <w:t>&lt; .001</w:t>
      </w:r>
      <w:r>
        <w:rPr>
          <w:i/>
        </w:rPr>
        <w:t xml:space="preserve"> </w:t>
      </w:r>
      <w:r>
        <w:t xml:space="preserve">(two-tailed); </w:t>
      </w:r>
      <w:r>
        <w:rPr>
          <w:rFonts w:cs="Arial"/>
          <w:bCs/>
          <w:szCs w:val="24"/>
        </w:rPr>
        <w:t>+For number of seizur</w:t>
      </w:r>
      <w:r w:rsidR="007827F8">
        <w:rPr>
          <w:rFonts w:cs="Arial"/>
          <w:bCs/>
          <w:szCs w:val="24"/>
        </w:rPr>
        <w:t>es over last four weeks n = 86</w:t>
      </w:r>
    </w:p>
    <w:p w14:paraId="6EA66E67" w14:textId="77777777" w:rsidR="00023489" w:rsidRDefault="00023489" w:rsidP="00023489"/>
    <w:p w14:paraId="01E65C69" w14:textId="77777777" w:rsidR="00023489" w:rsidRPr="00A53770" w:rsidRDefault="00023489" w:rsidP="00A53770">
      <w:pPr>
        <w:pStyle w:val="Heading2"/>
        <w:jc w:val="both"/>
      </w:pPr>
      <w:bookmarkStart w:id="159" w:name="_Toc133487834"/>
      <w:r w:rsidRPr="00A53770">
        <w:t>Multiple regression: Predicting somatisation</w:t>
      </w:r>
      <w:bookmarkEnd w:id="159"/>
    </w:p>
    <w:p w14:paraId="7D73C656" w14:textId="77777777" w:rsidR="00023489" w:rsidRDefault="00023489" w:rsidP="00A53770">
      <w:pPr>
        <w:spacing w:line="360" w:lineRule="auto"/>
        <w:ind w:firstLine="720"/>
        <w:jc w:val="both"/>
      </w:pPr>
      <w:r>
        <w:t xml:space="preserve">The first multiple regression analysis assessed whether somatisation would be predicted by IU, AS, anxiety, depression, and diagnosis of either epilepsy or DS. Predictor variables were entered into the model at the same time using the enter method. Due to concerns about normality of the dependent variable and normality of residuals, bootstrapping was used. Similar confidence intervals between the bootstrapped and non-bootstrapped models suggested that the original model was robust to violations, </w:t>
      </w:r>
      <w:r w:rsidR="00006FDF">
        <w:t>leading to</w:t>
      </w:r>
      <w:r>
        <w:t xml:space="preserve"> confidence in the generalisability of the findings.</w:t>
      </w:r>
    </w:p>
    <w:p w14:paraId="7F73FDD7" w14:textId="4C279430" w:rsidR="00A379D0" w:rsidRPr="00716423" w:rsidRDefault="00023489" w:rsidP="00716423">
      <w:pPr>
        <w:spacing w:line="360" w:lineRule="auto"/>
        <w:ind w:firstLine="720"/>
        <w:jc w:val="both"/>
      </w:pPr>
      <w:r>
        <w:t>Regr</w:t>
      </w:r>
      <w:r w:rsidR="007827F8">
        <w:t>ession output is summarised in t</w:t>
      </w:r>
      <w:r>
        <w:t>able 6, with the model proving statistically significant F(5, 84) = 12.17, p = &lt;.001), accounting for 42% of total variance in somatisation severity, 38.6% adjusted. Only depression was a significant predictor of somatisation (</w:t>
      </w:r>
      <w:r w:rsidRPr="00B07AE2">
        <w:t>β</w:t>
      </w:r>
      <w:r>
        <w:t xml:space="preserve"> = .62, p = &lt;.001). Neither IU (</w:t>
      </w:r>
      <w:r w:rsidRPr="00B07AE2">
        <w:t>β</w:t>
      </w:r>
      <w:r>
        <w:t xml:space="preserve"> = -.040, </w:t>
      </w:r>
      <w:r>
        <w:rPr>
          <w:i/>
        </w:rPr>
        <w:lastRenderedPageBreak/>
        <w:t xml:space="preserve">p </w:t>
      </w:r>
      <w:r>
        <w:t>= .80), AS (</w:t>
      </w:r>
      <w:r w:rsidRPr="00B07AE2">
        <w:t>β</w:t>
      </w:r>
      <w:r>
        <w:t xml:space="preserve"> = .12, </w:t>
      </w:r>
      <w:r>
        <w:rPr>
          <w:i/>
        </w:rPr>
        <w:t>p</w:t>
      </w:r>
      <w:r>
        <w:t xml:space="preserve"> = .46), anxiety (</w:t>
      </w:r>
      <w:r w:rsidRPr="00B07AE2">
        <w:t>β</w:t>
      </w:r>
      <w:r>
        <w:t xml:space="preserve"> = -.06, </w:t>
      </w:r>
      <w:r>
        <w:rPr>
          <w:i/>
        </w:rPr>
        <w:t>p</w:t>
      </w:r>
      <w:r>
        <w:t xml:space="preserve"> = .74) or diagnosis (</w:t>
      </w:r>
      <w:r w:rsidRPr="00B07AE2">
        <w:t>β</w:t>
      </w:r>
      <w:r>
        <w:t xml:space="preserve"> = .08, </w:t>
      </w:r>
      <w:r>
        <w:rPr>
          <w:i/>
        </w:rPr>
        <w:t xml:space="preserve">p </w:t>
      </w:r>
      <w:r>
        <w:t xml:space="preserve"> = .33) signific</w:t>
      </w:r>
      <w:r w:rsidR="00716423">
        <w:t>antly contributed to the model.</w:t>
      </w:r>
    </w:p>
    <w:p w14:paraId="1FDE1C4A" w14:textId="77777777" w:rsidR="00747028" w:rsidRDefault="00747028" w:rsidP="00436994">
      <w:pPr>
        <w:spacing w:line="360" w:lineRule="auto"/>
        <w:ind w:firstLine="720"/>
        <w:rPr>
          <w:b/>
        </w:rPr>
      </w:pPr>
    </w:p>
    <w:p w14:paraId="26F00E0A" w14:textId="3A75672D" w:rsidR="00023489" w:rsidRDefault="00A53770" w:rsidP="00A53770">
      <w:pPr>
        <w:pStyle w:val="Heading2"/>
      </w:pPr>
      <w:bookmarkStart w:id="160" w:name="_Toc133487835"/>
      <w:r>
        <w:t>Table 6</w:t>
      </w:r>
      <w:bookmarkEnd w:id="160"/>
    </w:p>
    <w:p w14:paraId="6257503A" w14:textId="77777777" w:rsidR="00023489" w:rsidRPr="00696189" w:rsidRDefault="00023489" w:rsidP="00A53770">
      <w:pPr>
        <w:spacing w:line="360" w:lineRule="auto"/>
        <w:rPr>
          <w:i/>
        </w:rPr>
      </w:pPr>
      <w:r>
        <w:rPr>
          <w:i/>
        </w:rPr>
        <w:t>Multiple r</w:t>
      </w:r>
      <w:r w:rsidRPr="00696189">
        <w:rPr>
          <w:i/>
        </w:rPr>
        <w:t xml:space="preserve">egression </w:t>
      </w:r>
      <w:r>
        <w:rPr>
          <w:i/>
        </w:rPr>
        <w:t>analysis of IU, AS, anxiety, depression, and diagnosis of epilepsy or DS as predictors of somatisation (n = 90)</w:t>
      </w:r>
    </w:p>
    <w:p w14:paraId="4AAD9C8F" w14:textId="77777777" w:rsidR="00023489" w:rsidRDefault="00023489" w:rsidP="00023489">
      <w:pPr>
        <w:pStyle w:val="NoSpacing"/>
      </w:pPr>
    </w:p>
    <w:tbl>
      <w:tblPr>
        <w:tblW w:w="5127" w:type="pct"/>
        <w:tblLook w:val="04A0" w:firstRow="1" w:lastRow="0" w:firstColumn="1" w:lastColumn="0" w:noHBand="0" w:noVBand="1"/>
      </w:tblPr>
      <w:tblGrid>
        <w:gridCol w:w="1348"/>
        <w:gridCol w:w="622"/>
        <w:gridCol w:w="620"/>
        <w:gridCol w:w="620"/>
        <w:gridCol w:w="731"/>
        <w:gridCol w:w="800"/>
        <w:gridCol w:w="814"/>
        <w:gridCol w:w="735"/>
        <w:gridCol w:w="620"/>
        <w:gridCol w:w="735"/>
        <w:gridCol w:w="801"/>
        <w:gridCol w:w="809"/>
      </w:tblGrid>
      <w:tr w:rsidR="00023489" w:rsidRPr="00EE1660" w14:paraId="2CD61381" w14:textId="77777777" w:rsidTr="00023489">
        <w:trPr>
          <w:trHeight w:val="729"/>
        </w:trPr>
        <w:tc>
          <w:tcPr>
            <w:tcW w:w="728" w:type="pct"/>
            <w:tcBorders>
              <w:top w:val="single" w:sz="4" w:space="0" w:color="auto"/>
              <w:left w:val="nil"/>
              <w:bottom w:val="nil"/>
              <w:right w:val="nil"/>
            </w:tcBorders>
            <w:vAlign w:val="center"/>
          </w:tcPr>
          <w:p w14:paraId="015BEB7A" w14:textId="77777777" w:rsidR="00023489" w:rsidRPr="00EE1660" w:rsidRDefault="00023489" w:rsidP="00023489">
            <w:pPr>
              <w:tabs>
                <w:tab w:val="left" w:pos="1134"/>
              </w:tabs>
              <w:jc w:val="center"/>
              <w:rPr>
                <w:rFonts w:cs="Arial"/>
                <w:szCs w:val="24"/>
              </w:rPr>
            </w:pPr>
          </w:p>
        </w:tc>
        <w:tc>
          <w:tcPr>
            <w:tcW w:w="2273" w:type="pct"/>
            <w:gridSpan w:val="6"/>
            <w:tcBorders>
              <w:top w:val="single" w:sz="4" w:space="0" w:color="auto"/>
              <w:left w:val="nil"/>
              <w:bottom w:val="single" w:sz="4" w:space="0" w:color="auto"/>
              <w:right w:val="single" w:sz="4" w:space="0" w:color="auto"/>
            </w:tcBorders>
            <w:vAlign w:val="center"/>
          </w:tcPr>
          <w:p w14:paraId="3E654C69" w14:textId="77777777" w:rsidR="00023489" w:rsidRPr="00EE1660" w:rsidRDefault="00023489" w:rsidP="00023489">
            <w:pPr>
              <w:tabs>
                <w:tab w:val="left" w:pos="1134"/>
              </w:tabs>
              <w:jc w:val="center"/>
              <w:rPr>
                <w:rFonts w:cs="Arial"/>
                <w:b/>
                <w:bCs/>
                <w:szCs w:val="24"/>
              </w:rPr>
            </w:pPr>
            <w:r w:rsidRPr="00EE1660">
              <w:rPr>
                <w:rFonts w:cs="Arial"/>
                <w:b/>
                <w:bCs/>
                <w:szCs w:val="24"/>
              </w:rPr>
              <w:t>Multiple Regression</w:t>
            </w:r>
          </w:p>
        </w:tc>
        <w:tc>
          <w:tcPr>
            <w:tcW w:w="1999" w:type="pct"/>
            <w:gridSpan w:val="5"/>
            <w:tcBorders>
              <w:top w:val="single" w:sz="4" w:space="0" w:color="auto"/>
              <w:left w:val="single" w:sz="4" w:space="0" w:color="auto"/>
              <w:bottom w:val="single" w:sz="4" w:space="0" w:color="auto"/>
              <w:right w:val="nil"/>
            </w:tcBorders>
            <w:vAlign w:val="center"/>
          </w:tcPr>
          <w:p w14:paraId="4F312E9D" w14:textId="77777777" w:rsidR="00023489" w:rsidRPr="00EE1660" w:rsidRDefault="00023489" w:rsidP="00023489">
            <w:pPr>
              <w:tabs>
                <w:tab w:val="left" w:pos="1134"/>
              </w:tabs>
              <w:jc w:val="center"/>
              <w:rPr>
                <w:rFonts w:cs="Arial"/>
                <w:b/>
                <w:bCs/>
                <w:szCs w:val="24"/>
              </w:rPr>
            </w:pPr>
            <w:r w:rsidRPr="00EE1660">
              <w:rPr>
                <w:rFonts w:cs="Arial"/>
                <w:b/>
                <w:bCs/>
                <w:szCs w:val="24"/>
              </w:rPr>
              <w:t>Bootstrapping</w:t>
            </w:r>
          </w:p>
        </w:tc>
      </w:tr>
      <w:tr w:rsidR="00023489" w:rsidRPr="00EE1660" w14:paraId="07D7539C" w14:textId="77777777" w:rsidTr="00023489">
        <w:trPr>
          <w:trHeight w:val="729"/>
        </w:trPr>
        <w:tc>
          <w:tcPr>
            <w:tcW w:w="728" w:type="pct"/>
            <w:vMerge w:val="restart"/>
            <w:tcBorders>
              <w:top w:val="nil"/>
              <w:left w:val="nil"/>
              <w:bottom w:val="nil"/>
              <w:right w:val="nil"/>
            </w:tcBorders>
            <w:vAlign w:val="center"/>
          </w:tcPr>
          <w:p w14:paraId="2BB706DE" w14:textId="77777777" w:rsidR="00023489" w:rsidRPr="00EE1660" w:rsidRDefault="00023489" w:rsidP="00023489">
            <w:pPr>
              <w:tabs>
                <w:tab w:val="left" w:pos="1134"/>
              </w:tabs>
              <w:jc w:val="center"/>
              <w:rPr>
                <w:rFonts w:cs="Arial"/>
                <w:szCs w:val="24"/>
              </w:rPr>
            </w:pPr>
          </w:p>
        </w:tc>
        <w:tc>
          <w:tcPr>
            <w:tcW w:w="336" w:type="pct"/>
            <w:vMerge w:val="restart"/>
            <w:tcBorders>
              <w:top w:val="single" w:sz="4" w:space="0" w:color="auto"/>
              <w:left w:val="nil"/>
              <w:bottom w:val="nil"/>
              <w:right w:val="nil"/>
            </w:tcBorders>
            <w:vAlign w:val="center"/>
          </w:tcPr>
          <w:p w14:paraId="278F45AC" w14:textId="77777777" w:rsidR="00023489" w:rsidRPr="00EE1660" w:rsidRDefault="00023489" w:rsidP="00023489">
            <w:pPr>
              <w:tabs>
                <w:tab w:val="left" w:pos="1134"/>
              </w:tabs>
              <w:jc w:val="center"/>
              <w:rPr>
                <w:rFonts w:cs="Arial"/>
                <w:b/>
                <w:bCs/>
                <w:szCs w:val="24"/>
              </w:rPr>
            </w:pPr>
            <w:r w:rsidRPr="00EE1660">
              <w:rPr>
                <w:rFonts w:cs="Arial"/>
                <w:b/>
                <w:bCs/>
                <w:szCs w:val="24"/>
              </w:rPr>
              <w:t>B</w:t>
            </w:r>
          </w:p>
        </w:tc>
        <w:tc>
          <w:tcPr>
            <w:tcW w:w="335" w:type="pct"/>
            <w:vMerge w:val="restart"/>
            <w:tcBorders>
              <w:top w:val="single" w:sz="4" w:space="0" w:color="auto"/>
              <w:left w:val="nil"/>
              <w:bottom w:val="nil"/>
              <w:right w:val="nil"/>
            </w:tcBorders>
            <w:vAlign w:val="center"/>
          </w:tcPr>
          <w:p w14:paraId="3E7094DA" w14:textId="77777777" w:rsidR="00023489" w:rsidRPr="00EE1660" w:rsidRDefault="00023489" w:rsidP="00023489">
            <w:pPr>
              <w:tabs>
                <w:tab w:val="left" w:pos="1134"/>
              </w:tabs>
              <w:jc w:val="center"/>
              <w:rPr>
                <w:rFonts w:cs="Arial"/>
                <w:b/>
                <w:bCs/>
                <w:szCs w:val="24"/>
              </w:rPr>
            </w:pPr>
            <w:r w:rsidRPr="00EE1660">
              <w:rPr>
                <w:rFonts w:cs="Arial"/>
                <w:b/>
                <w:bCs/>
                <w:szCs w:val="24"/>
              </w:rPr>
              <w:t>SE B</w:t>
            </w:r>
          </w:p>
        </w:tc>
        <w:tc>
          <w:tcPr>
            <w:tcW w:w="335" w:type="pct"/>
            <w:vMerge w:val="restart"/>
            <w:tcBorders>
              <w:top w:val="single" w:sz="4" w:space="0" w:color="auto"/>
              <w:left w:val="nil"/>
              <w:bottom w:val="nil"/>
              <w:right w:val="nil"/>
            </w:tcBorders>
            <w:vAlign w:val="center"/>
          </w:tcPr>
          <w:p w14:paraId="000B3FF9" w14:textId="77777777" w:rsidR="00023489" w:rsidRPr="00EE1660" w:rsidRDefault="00023489" w:rsidP="00023489">
            <w:pPr>
              <w:tabs>
                <w:tab w:val="left" w:pos="1134"/>
              </w:tabs>
              <w:jc w:val="center"/>
              <w:rPr>
                <w:rFonts w:cs="Arial"/>
                <w:b/>
                <w:bCs/>
                <w:szCs w:val="24"/>
              </w:rPr>
            </w:pPr>
            <w:r w:rsidRPr="00EE1660">
              <w:rPr>
                <w:rFonts w:cs="Arial"/>
                <w:b/>
                <w:bCs/>
                <w:szCs w:val="24"/>
                <w:lang w:val="el-GR"/>
              </w:rPr>
              <w:t>β</w:t>
            </w:r>
          </w:p>
        </w:tc>
        <w:tc>
          <w:tcPr>
            <w:tcW w:w="395" w:type="pct"/>
            <w:vMerge w:val="restart"/>
            <w:tcBorders>
              <w:top w:val="single" w:sz="4" w:space="0" w:color="auto"/>
              <w:left w:val="nil"/>
              <w:bottom w:val="nil"/>
              <w:right w:val="nil"/>
            </w:tcBorders>
            <w:vAlign w:val="center"/>
          </w:tcPr>
          <w:p w14:paraId="4AA1DF97" w14:textId="77777777" w:rsidR="00023489" w:rsidRPr="00EE1660" w:rsidRDefault="00023489" w:rsidP="00023489">
            <w:pPr>
              <w:tabs>
                <w:tab w:val="left" w:pos="1134"/>
              </w:tabs>
              <w:jc w:val="center"/>
              <w:rPr>
                <w:rFonts w:cs="Arial"/>
                <w:b/>
                <w:bCs/>
                <w:szCs w:val="24"/>
              </w:rPr>
            </w:pPr>
            <w:r w:rsidRPr="00EE1660">
              <w:rPr>
                <w:rFonts w:cs="Arial"/>
                <w:b/>
                <w:bCs/>
                <w:szCs w:val="24"/>
              </w:rPr>
              <w:t>Sig.</w:t>
            </w:r>
          </w:p>
        </w:tc>
        <w:tc>
          <w:tcPr>
            <w:tcW w:w="869" w:type="pct"/>
            <w:gridSpan w:val="2"/>
            <w:tcBorders>
              <w:top w:val="single" w:sz="4" w:space="0" w:color="auto"/>
              <w:left w:val="nil"/>
              <w:bottom w:val="single" w:sz="4" w:space="0" w:color="auto"/>
              <w:right w:val="single" w:sz="4" w:space="0" w:color="auto"/>
            </w:tcBorders>
            <w:vAlign w:val="center"/>
          </w:tcPr>
          <w:p w14:paraId="3F0B7D2C" w14:textId="77777777" w:rsidR="00023489" w:rsidRPr="00EE1660" w:rsidRDefault="00023489" w:rsidP="00023489">
            <w:pPr>
              <w:tabs>
                <w:tab w:val="left" w:pos="1134"/>
              </w:tabs>
              <w:jc w:val="center"/>
              <w:rPr>
                <w:rFonts w:cs="Arial"/>
                <w:b/>
                <w:bCs/>
                <w:szCs w:val="24"/>
              </w:rPr>
            </w:pPr>
            <w:r w:rsidRPr="00EE1660">
              <w:rPr>
                <w:rFonts w:cs="Arial"/>
                <w:b/>
                <w:bCs/>
                <w:szCs w:val="24"/>
              </w:rPr>
              <w:t>95% CI</w:t>
            </w:r>
          </w:p>
        </w:tc>
        <w:tc>
          <w:tcPr>
            <w:tcW w:w="397" w:type="pct"/>
            <w:vMerge w:val="restart"/>
            <w:tcBorders>
              <w:top w:val="single" w:sz="4" w:space="0" w:color="auto"/>
              <w:left w:val="single" w:sz="4" w:space="0" w:color="auto"/>
              <w:bottom w:val="nil"/>
              <w:right w:val="nil"/>
            </w:tcBorders>
            <w:vAlign w:val="center"/>
          </w:tcPr>
          <w:p w14:paraId="36CDD5E1" w14:textId="77777777" w:rsidR="00023489" w:rsidRPr="00EE1660" w:rsidRDefault="00023489" w:rsidP="00023489">
            <w:pPr>
              <w:tabs>
                <w:tab w:val="left" w:pos="1134"/>
              </w:tabs>
              <w:jc w:val="center"/>
              <w:rPr>
                <w:rFonts w:cs="Arial"/>
                <w:b/>
                <w:bCs/>
                <w:szCs w:val="24"/>
              </w:rPr>
            </w:pPr>
            <w:r w:rsidRPr="00EE1660">
              <w:rPr>
                <w:rFonts w:cs="Arial"/>
                <w:b/>
                <w:bCs/>
                <w:szCs w:val="24"/>
              </w:rPr>
              <w:t>Bias</w:t>
            </w:r>
          </w:p>
        </w:tc>
        <w:tc>
          <w:tcPr>
            <w:tcW w:w="335" w:type="pct"/>
            <w:vMerge w:val="restart"/>
            <w:tcBorders>
              <w:top w:val="single" w:sz="4" w:space="0" w:color="auto"/>
              <w:left w:val="nil"/>
              <w:bottom w:val="nil"/>
              <w:right w:val="nil"/>
            </w:tcBorders>
            <w:vAlign w:val="center"/>
          </w:tcPr>
          <w:p w14:paraId="1192EADD" w14:textId="77777777" w:rsidR="00023489" w:rsidRPr="00EE1660" w:rsidRDefault="00023489" w:rsidP="00023489">
            <w:pPr>
              <w:tabs>
                <w:tab w:val="left" w:pos="1134"/>
              </w:tabs>
              <w:jc w:val="center"/>
              <w:rPr>
                <w:rFonts w:cs="Arial"/>
                <w:b/>
                <w:bCs/>
                <w:szCs w:val="24"/>
              </w:rPr>
            </w:pPr>
            <w:r w:rsidRPr="00EE1660">
              <w:rPr>
                <w:rFonts w:cs="Arial"/>
                <w:b/>
                <w:bCs/>
                <w:szCs w:val="24"/>
              </w:rPr>
              <w:t>SE B</w:t>
            </w:r>
          </w:p>
        </w:tc>
        <w:tc>
          <w:tcPr>
            <w:tcW w:w="397" w:type="pct"/>
            <w:vMerge w:val="restart"/>
            <w:tcBorders>
              <w:top w:val="single" w:sz="4" w:space="0" w:color="auto"/>
              <w:left w:val="nil"/>
              <w:bottom w:val="nil"/>
              <w:right w:val="nil"/>
            </w:tcBorders>
            <w:vAlign w:val="center"/>
          </w:tcPr>
          <w:p w14:paraId="4C48D6C2" w14:textId="77777777" w:rsidR="00023489" w:rsidRPr="00EE1660" w:rsidRDefault="00023489" w:rsidP="00023489">
            <w:pPr>
              <w:tabs>
                <w:tab w:val="left" w:pos="1134"/>
              </w:tabs>
              <w:jc w:val="center"/>
              <w:rPr>
                <w:rFonts w:cs="Arial"/>
                <w:b/>
                <w:bCs/>
                <w:szCs w:val="24"/>
              </w:rPr>
            </w:pPr>
            <w:r w:rsidRPr="00EE1660">
              <w:rPr>
                <w:rFonts w:cs="Arial"/>
                <w:b/>
                <w:bCs/>
                <w:szCs w:val="24"/>
              </w:rPr>
              <w:t>Sig.</w:t>
            </w:r>
          </w:p>
        </w:tc>
        <w:tc>
          <w:tcPr>
            <w:tcW w:w="869" w:type="pct"/>
            <w:gridSpan w:val="2"/>
            <w:tcBorders>
              <w:top w:val="single" w:sz="4" w:space="0" w:color="auto"/>
              <w:left w:val="nil"/>
              <w:bottom w:val="single" w:sz="4" w:space="0" w:color="auto"/>
              <w:right w:val="nil"/>
            </w:tcBorders>
            <w:vAlign w:val="center"/>
          </w:tcPr>
          <w:p w14:paraId="2163AC57" w14:textId="77777777" w:rsidR="00023489" w:rsidRPr="00EE1660" w:rsidRDefault="00023489" w:rsidP="00023489">
            <w:pPr>
              <w:tabs>
                <w:tab w:val="left" w:pos="1134"/>
              </w:tabs>
              <w:jc w:val="center"/>
              <w:rPr>
                <w:rFonts w:cs="Arial"/>
                <w:b/>
                <w:bCs/>
                <w:szCs w:val="24"/>
              </w:rPr>
            </w:pPr>
            <w:r w:rsidRPr="00EE1660">
              <w:rPr>
                <w:rFonts w:cs="Arial"/>
                <w:b/>
                <w:bCs/>
                <w:szCs w:val="24"/>
              </w:rPr>
              <w:t>95% BCa CI</w:t>
            </w:r>
          </w:p>
        </w:tc>
      </w:tr>
      <w:tr w:rsidR="00023489" w:rsidRPr="00EE1660" w14:paraId="5BBEDCCF" w14:textId="77777777" w:rsidTr="00023489">
        <w:trPr>
          <w:trHeight w:val="729"/>
        </w:trPr>
        <w:tc>
          <w:tcPr>
            <w:tcW w:w="728" w:type="pct"/>
            <w:vMerge/>
            <w:tcBorders>
              <w:top w:val="nil"/>
              <w:left w:val="nil"/>
              <w:bottom w:val="single" w:sz="4" w:space="0" w:color="auto"/>
              <w:right w:val="nil"/>
            </w:tcBorders>
            <w:vAlign w:val="center"/>
          </w:tcPr>
          <w:p w14:paraId="6AAF3E84" w14:textId="77777777" w:rsidR="00023489" w:rsidRPr="00EE1660" w:rsidRDefault="00023489" w:rsidP="00023489">
            <w:pPr>
              <w:tabs>
                <w:tab w:val="left" w:pos="1134"/>
              </w:tabs>
              <w:jc w:val="center"/>
              <w:rPr>
                <w:rFonts w:cs="Arial"/>
                <w:szCs w:val="24"/>
              </w:rPr>
            </w:pPr>
          </w:p>
        </w:tc>
        <w:tc>
          <w:tcPr>
            <w:tcW w:w="336" w:type="pct"/>
            <w:vMerge/>
            <w:tcBorders>
              <w:top w:val="nil"/>
              <w:left w:val="nil"/>
              <w:bottom w:val="single" w:sz="4" w:space="0" w:color="auto"/>
              <w:right w:val="nil"/>
            </w:tcBorders>
            <w:vAlign w:val="center"/>
          </w:tcPr>
          <w:p w14:paraId="5FFE4CA8" w14:textId="77777777" w:rsidR="00023489" w:rsidRPr="00EE1660" w:rsidRDefault="00023489" w:rsidP="00023489">
            <w:pPr>
              <w:tabs>
                <w:tab w:val="left" w:pos="1134"/>
              </w:tabs>
              <w:jc w:val="center"/>
              <w:rPr>
                <w:rFonts w:cs="Arial"/>
                <w:b/>
                <w:bCs/>
                <w:szCs w:val="24"/>
              </w:rPr>
            </w:pPr>
          </w:p>
        </w:tc>
        <w:tc>
          <w:tcPr>
            <w:tcW w:w="335" w:type="pct"/>
            <w:vMerge/>
            <w:tcBorders>
              <w:top w:val="nil"/>
              <w:left w:val="nil"/>
              <w:bottom w:val="single" w:sz="4" w:space="0" w:color="auto"/>
              <w:right w:val="nil"/>
            </w:tcBorders>
            <w:vAlign w:val="center"/>
          </w:tcPr>
          <w:p w14:paraId="39CFA8CA" w14:textId="77777777" w:rsidR="00023489" w:rsidRPr="00EE1660" w:rsidRDefault="00023489" w:rsidP="00023489">
            <w:pPr>
              <w:tabs>
                <w:tab w:val="left" w:pos="1134"/>
              </w:tabs>
              <w:jc w:val="center"/>
              <w:rPr>
                <w:rFonts w:cs="Arial"/>
                <w:b/>
                <w:bCs/>
                <w:szCs w:val="24"/>
              </w:rPr>
            </w:pPr>
          </w:p>
        </w:tc>
        <w:tc>
          <w:tcPr>
            <w:tcW w:w="335" w:type="pct"/>
            <w:vMerge/>
            <w:tcBorders>
              <w:top w:val="nil"/>
              <w:left w:val="nil"/>
              <w:bottom w:val="single" w:sz="4" w:space="0" w:color="auto"/>
              <w:right w:val="nil"/>
            </w:tcBorders>
            <w:vAlign w:val="center"/>
          </w:tcPr>
          <w:p w14:paraId="6E8B2C77" w14:textId="77777777" w:rsidR="00023489" w:rsidRPr="00EE1660" w:rsidRDefault="00023489" w:rsidP="00023489">
            <w:pPr>
              <w:tabs>
                <w:tab w:val="left" w:pos="1134"/>
              </w:tabs>
              <w:jc w:val="center"/>
              <w:rPr>
                <w:rFonts w:cs="Arial"/>
                <w:b/>
                <w:bCs/>
                <w:szCs w:val="24"/>
              </w:rPr>
            </w:pPr>
          </w:p>
        </w:tc>
        <w:tc>
          <w:tcPr>
            <w:tcW w:w="395" w:type="pct"/>
            <w:vMerge/>
            <w:tcBorders>
              <w:top w:val="nil"/>
              <w:left w:val="nil"/>
              <w:bottom w:val="single" w:sz="4" w:space="0" w:color="auto"/>
              <w:right w:val="nil"/>
            </w:tcBorders>
            <w:vAlign w:val="center"/>
          </w:tcPr>
          <w:p w14:paraId="6C35BE53" w14:textId="77777777" w:rsidR="00023489" w:rsidRPr="00EE1660" w:rsidRDefault="00023489" w:rsidP="00023489">
            <w:pPr>
              <w:tabs>
                <w:tab w:val="left" w:pos="1134"/>
              </w:tabs>
              <w:jc w:val="center"/>
              <w:rPr>
                <w:rFonts w:cs="Arial"/>
                <w:b/>
                <w:bCs/>
                <w:szCs w:val="24"/>
              </w:rPr>
            </w:pPr>
          </w:p>
        </w:tc>
        <w:tc>
          <w:tcPr>
            <w:tcW w:w="432" w:type="pct"/>
            <w:tcBorders>
              <w:top w:val="single" w:sz="4" w:space="0" w:color="auto"/>
              <w:left w:val="nil"/>
              <w:bottom w:val="single" w:sz="4" w:space="0" w:color="auto"/>
              <w:right w:val="nil"/>
            </w:tcBorders>
            <w:vAlign w:val="center"/>
          </w:tcPr>
          <w:p w14:paraId="64D361F9" w14:textId="77777777" w:rsidR="00023489" w:rsidRPr="00EE1660" w:rsidRDefault="00023489" w:rsidP="00023489">
            <w:pPr>
              <w:tabs>
                <w:tab w:val="left" w:pos="1134"/>
              </w:tabs>
              <w:jc w:val="center"/>
              <w:rPr>
                <w:rFonts w:cs="Arial"/>
                <w:b/>
                <w:bCs/>
                <w:szCs w:val="24"/>
              </w:rPr>
            </w:pPr>
            <w:r w:rsidRPr="00EE1660">
              <w:rPr>
                <w:rFonts w:cs="Arial"/>
                <w:b/>
                <w:bCs/>
                <w:szCs w:val="24"/>
              </w:rPr>
              <w:t>Lower</w:t>
            </w:r>
          </w:p>
        </w:tc>
        <w:tc>
          <w:tcPr>
            <w:tcW w:w="437" w:type="pct"/>
            <w:tcBorders>
              <w:top w:val="single" w:sz="4" w:space="0" w:color="auto"/>
              <w:left w:val="nil"/>
              <w:bottom w:val="single" w:sz="4" w:space="0" w:color="auto"/>
              <w:right w:val="single" w:sz="4" w:space="0" w:color="auto"/>
            </w:tcBorders>
            <w:vAlign w:val="center"/>
          </w:tcPr>
          <w:p w14:paraId="1C6275FC" w14:textId="77777777" w:rsidR="00023489" w:rsidRPr="00EE1660" w:rsidRDefault="00023489" w:rsidP="00023489">
            <w:pPr>
              <w:tabs>
                <w:tab w:val="left" w:pos="1134"/>
              </w:tabs>
              <w:jc w:val="center"/>
              <w:rPr>
                <w:rFonts w:cs="Arial"/>
                <w:b/>
                <w:bCs/>
                <w:szCs w:val="24"/>
              </w:rPr>
            </w:pPr>
            <w:r w:rsidRPr="00EE1660">
              <w:rPr>
                <w:rFonts w:cs="Arial"/>
                <w:b/>
                <w:bCs/>
                <w:szCs w:val="24"/>
              </w:rPr>
              <w:t>Upper</w:t>
            </w:r>
          </w:p>
        </w:tc>
        <w:tc>
          <w:tcPr>
            <w:tcW w:w="397" w:type="pct"/>
            <w:vMerge/>
            <w:tcBorders>
              <w:top w:val="nil"/>
              <w:left w:val="single" w:sz="4" w:space="0" w:color="auto"/>
              <w:bottom w:val="single" w:sz="4" w:space="0" w:color="auto"/>
              <w:right w:val="nil"/>
            </w:tcBorders>
            <w:vAlign w:val="center"/>
          </w:tcPr>
          <w:p w14:paraId="085506F0" w14:textId="77777777" w:rsidR="00023489" w:rsidRPr="00EE1660" w:rsidRDefault="00023489" w:rsidP="00023489">
            <w:pPr>
              <w:tabs>
                <w:tab w:val="left" w:pos="1134"/>
              </w:tabs>
              <w:jc w:val="center"/>
              <w:rPr>
                <w:rFonts w:cs="Arial"/>
                <w:b/>
                <w:bCs/>
                <w:szCs w:val="24"/>
              </w:rPr>
            </w:pPr>
          </w:p>
        </w:tc>
        <w:tc>
          <w:tcPr>
            <w:tcW w:w="335" w:type="pct"/>
            <w:vMerge/>
            <w:tcBorders>
              <w:top w:val="nil"/>
              <w:left w:val="nil"/>
              <w:bottom w:val="single" w:sz="4" w:space="0" w:color="auto"/>
              <w:right w:val="nil"/>
            </w:tcBorders>
            <w:vAlign w:val="center"/>
          </w:tcPr>
          <w:p w14:paraId="40F7D61E" w14:textId="77777777" w:rsidR="00023489" w:rsidRPr="00EE1660" w:rsidRDefault="00023489" w:rsidP="00023489">
            <w:pPr>
              <w:tabs>
                <w:tab w:val="left" w:pos="1134"/>
              </w:tabs>
              <w:jc w:val="center"/>
              <w:rPr>
                <w:rFonts w:cs="Arial"/>
                <w:b/>
                <w:bCs/>
                <w:szCs w:val="24"/>
              </w:rPr>
            </w:pPr>
          </w:p>
        </w:tc>
        <w:tc>
          <w:tcPr>
            <w:tcW w:w="397" w:type="pct"/>
            <w:vMerge/>
            <w:tcBorders>
              <w:top w:val="nil"/>
              <w:left w:val="nil"/>
              <w:bottom w:val="single" w:sz="4" w:space="0" w:color="auto"/>
              <w:right w:val="nil"/>
            </w:tcBorders>
            <w:vAlign w:val="center"/>
          </w:tcPr>
          <w:p w14:paraId="7EDE07D3" w14:textId="77777777" w:rsidR="00023489" w:rsidRPr="00EE1660" w:rsidRDefault="00023489" w:rsidP="00023489">
            <w:pPr>
              <w:tabs>
                <w:tab w:val="left" w:pos="1134"/>
              </w:tabs>
              <w:jc w:val="center"/>
              <w:rPr>
                <w:rFonts w:cs="Arial"/>
                <w:b/>
                <w:bCs/>
                <w:szCs w:val="24"/>
              </w:rPr>
            </w:pPr>
          </w:p>
        </w:tc>
        <w:tc>
          <w:tcPr>
            <w:tcW w:w="433" w:type="pct"/>
            <w:tcBorders>
              <w:top w:val="single" w:sz="4" w:space="0" w:color="auto"/>
              <w:left w:val="nil"/>
              <w:bottom w:val="single" w:sz="4" w:space="0" w:color="auto"/>
              <w:right w:val="nil"/>
            </w:tcBorders>
            <w:vAlign w:val="center"/>
          </w:tcPr>
          <w:p w14:paraId="26DF1C12" w14:textId="77777777" w:rsidR="00023489" w:rsidRPr="00EE1660" w:rsidRDefault="00023489" w:rsidP="00023489">
            <w:pPr>
              <w:tabs>
                <w:tab w:val="left" w:pos="1134"/>
              </w:tabs>
              <w:jc w:val="center"/>
              <w:rPr>
                <w:rFonts w:cs="Arial"/>
                <w:b/>
                <w:bCs/>
                <w:szCs w:val="24"/>
              </w:rPr>
            </w:pPr>
            <w:r w:rsidRPr="00EE1660">
              <w:rPr>
                <w:rFonts w:cs="Arial"/>
                <w:b/>
                <w:bCs/>
                <w:szCs w:val="24"/>
              </w:rPr>
              <w:t>Lower</w:t>
            </w:r>
          </w:p>
        </w:tc>
        <w:tc>
          <w:tcPr>
            <w:tcW w:w="436" w:type="pct"/>
            <w:tcBorders>
              <w:top w:val="single" w:sz="4" w:space="0" w:color="auto"/>
              <w:left w:val="nil"/>
              <w:bottom w:val="single" w:sz="4" w:space="0" w:color="auto"/>
              <w:right w:val="nil"/>
            </w:tcBorders>
            <w:vAlign w:val="center"/>
          </w:tcPr>
          <w:p w14:paraId="5844A01A" w14:textId="77777777" w:rsidR="00023489" w:rsidRPr="00EE1660" w:rsidRDefault="00023489" w:rsidP="00023489">
            <w:pPr>
              <w:tabs>
                <w:tab w:val="left" w:pos="1134"/>
              </w:tabs>
              <w:jc w:val="center"/>
              <w:rPr>
                <w:rFonts w:cs="Arial"/>
                <w:b/>
                <w:bCs/>
                <w:szCs w:val="24"/>
              </w:rPr>
            </w:pPr>
            <w:r w:rsidRPr="00EE1660">
              <w:rPr>
                <w:rFonts w:cs="Arial"/>
                <w:b/>
                <w:bCs/>
                <w:szCs w:val="24"/>
              </w:rPr>
              <w:t>Upper</w:t>
            </w:r>
          </w:p>
        </w:tc>
      </w:tr>
      <w:tr w:rsidR="00023489" w:rsidRPr="00EE1660" w14:paraId="310D4496" w14:textId="77777777" w:rsidTr="00023489">
        <w:trPr>
          <w:trHeight w:val="729"/>
        </w:trPr>
        <w:tc>
          <w:tcPr>
            <w:tcW w:w="728" w:type="pct"/>
            <w:tcBorders>
              <w:top w:val="single" w:sz="4" w:space="0" w:color="auto"/>
              <w:left w:val="nil"/>
              <w:bottom w:val="nil"/>
              <w:right w:val="nil"/>
            </w:tcBorders>
            <w:vAlign w:val="center"/>
          </w:tcPr>
          <w:p w14:paraId="4429E976" w14:textId="77777777" w:rsidR="00023489" w:rsidRPr="00EE1660" w:rsidRDefault="00023489" w:rsidP="00023489">
            <w:pPr>
              <w:tabs>
                <w:tab w:val="left" w:pos="1134"/>
              </w:tabs>
              <w:rPr>
                <w:rFonts w:cs="Arial"/>
                <w:b/>
                <w:bCs/>
                <w:szCs w:val="24"/>
              </w:rPr>
            </w:pPr>
            <w:r w:rsidRPr="00EE1660">
              <w:rPr>
                <w:rFonts w:cs="Arial"/>
                <w:b/>
                <w:bCs/>
                <w:szCs w:val="24"/>
              </w:rPr>
              <w:t xml:space="preserve">Constant </w:t>
            </w:r>
          </w:p>
        </w:tc>
        <w:tc>
          <w:tcPr>
            <w:tcW w:w="336" w:type="pct"/>
            <w:tcBorders>
              <w:top w:val="single" w:sz="4" w:space="0" w:color="auto"/>
              <w:left w:val="nil"/>
              <w:bottom w:val="nil"/>
              <w:right w:val="nil"/>
            </w:tcBorders>
            <w:vAlign w:val="center"/>
          </w:tcPr>
          <w:p w14:paraId="16EE1BCD" w14:textId="77777777" w:rsidR="00023489" w:rsidRPr="00EE1660" w:rsidRDefault="00023489" w:rsidP="00023489">
            <w:pPr>
              <w:tabs>
                <w:tab w:val="left" w:pos="1134"/>
              </w:tabs>
              <w:jc w:val="center"/>
              <w:rPr>
                <w:rFonts w:cs="Arial"/>
                <w:szCs w:val="24"/>
              </w:rPr>
            </w:pPr>
            <w:r>
              <w:rPr>
                <w:rFonts w:cs="Arial"/>
                <w:szCs w:val="24"/>
              </w:rPr>
              <w:t>3.79</w:t>
            </w:r>
          </w:p>
        </w:tc>
        <w:tc>
          <w:tcPr>
            <w:tcW w:w="335" w:type="pct"/>
            <w:tcBorders>
              <w:top w:val="single" w:sz="4" w:space="0" w:color="auto"/>
              <w:left w:val="nil"/>
              <w:bottom w:val="nil"/>
              <w:right w:val="nil"/>
            </w:tcBorders>
            <w:vAlign w:val="center"/>
          </w:tcPr>
          <w:p w14:paraId="47AD4956" w14:textId="77777777" w:rsidR="00023489" w:rsidRPr="00EE1660" w:rsidRDefault="00023489" w:rsidP="00023489">
            <w:pPr>
              <w:tabs>
                <w:tab w:val="left" w:pos="1134"/>
              </w:tabs>
              <w:jc w:val="center"/>
              <w:rPr>
                <w:rFonts w:cs="Arial"/>
                <w:szCs w:val="24"/>
              </w:rPr>
            </w:pPr>
            <w:r>
              <w:rPr>
                <w:rFonts w:cs="Arial"/>
                <w:szCs w:val="24"/>
              </w:rPr>
              <w:t>1.14</w:t>
            </w:r>
          </w:p>
        </w:tc>
        <w:tc>
          <w:tcPr>
            <w:tcW w:w="335" w:type="pct"/>
            <w:tcBorders>
              <w:top w:val="single" w:sz="4" w:space="0" w:color="auto"/>
              <w:left w:val="nil"/>
              <w:bottom w:val="nil"/>
              <w:right w:val="nil"/>
            </w:tcBorders>
            <w:vAlign w:val="center"/>
          </w:tcPr>
          <w:p w14:paraId="5DE3351E" w14:textId="77777777" w:rsidR="00023489" w:rsidRPr="00EE1660" w:rsidRDefault="00023489" w:rsidP="00023489">
            <w:pPr>
              <w:tabs>
                <w:tab w:val="left" w:pos="1134"/>
              </w:tabs>
              <w:jc w:val="center"/>
              <w:rPr>
                <w:rFonts w:cs="Arial"/>
                <w:szCs w:val="24"/>
              </w:rPr>
            </w:pPr>
          </w:p>
        </w:tc>
        <w:tc>
          <w:tcPr>
            <w:tcW w:w="395" w:type="pct"/>
            <w:tcBorders>
              <w:top w:val="single" w:sz="4" w:space="0" w:color="auto"/>
              <w:left w:val="nil"/>
              <w:bottom w:val="nil"/>
              <w:right w:val="nil"/>
            </w:tcBorders>
            <w:vAlign w:val="center"/>
          </w:tcPr>
          <w:p w14:paraId="7079A7AC" w14:textId="77777777" w:rsidR="00023489" w:rsidRPr="00EE1660" w:rsidRDefault="00023489" w:rsidP="00023489">
            <w:pPr>
              <w:tabs>
                <w:tab w:val="left" w:pos="1134"/>
              </w:tabs>
              <w:jc w:val="center"/>
              <w:rPr>
                <w:rFonts w:cs="Arial"/>
                <w:szCs w:val="24"/>
              </w:rPr>
            </w:pPr>
            <w:r>
              <w:rPr>
                <w:rFonts w:cs="Arial"/>
                <w:szCs w:val="24"/>
              </w:rPr>
              <w:t>.001</w:t>
            </w:r>
          </w:p>
        </w:tc>
        <w:tc>
          <w:tcPr>
            <w:tcW w:w="432" w:type="pct"/>
            <w:tcBorders>
              <w:top w:val="single" w:sz="4" w:space="0" w:color="auto"/>
              <w:left w:val="nil"/>
              <w:bottom w:val="nil"/>
              <w:right w:val="nil"/>
            </w:tcBorders>
            <w:vAlign w:val="center"/>
          </w:tcPr>
          <w:p w14:paraId="06226148" w14:textId="77777777" w:rsidR="00023489" w:rsidRPr="00EE1660" w:rsidRDefault="00023489" w:rsidP="00023489">
            <w:pPr>
              <w:tabs>
                <w:tab w:val="left" w:pos="1134"/>
              </w:tabs>
              <w:jc w:val="center"/>
              <w:rPr>
                <w:rFonts w:cs="Arial"/>
                <w:szCs w:val="24"/>
              </w:rPr>
            </w:pPr>
            <w:r>
              <w:rPr>
                <w:rFonts w:cs="Arial"/>
                <w:szCs w:val="24"/>
              </w:rPr>
              <w:t>1.52</w:t>
            </w:r>
          </w:p>
        </w:tc>
        <w:tc>
          <w:tcPr>
            <w:tcW w:w="437" w:type="pct"/>
            <w:tcBorders>
              <w:top w:val="single" w:sz="4" w:space="0" w:color="auto"/>
              <w:left w:val="nil"/>
              <w:bottom w:val="nil"/>
              <w:right w:val="single" w:sz="4" w:space="0" w:color="auto"/>
            </w:tcBorders>
            <w:vAlign w:val="center"/>
          </w:tcPr>
          <w:p w14:paraId="6FFABAEE" w14:textId="77777777" w:rsidR="00023489" w:rsidRPr="00EE1660" w:rsidRDefault="00023489" w:rsidP="00023489">
            <w:pPr>
              <w:tabs>
                <w:tab w:val="left" w:pos="1134"/>
              </w:tabs>
              <w:jc w:val="center"/>
              <w:rPr>
                <w:rFonts w:cs="Arial"/>
                <w:szCs w:val="24"/>
              </w:rPr>
            </w:pPr>
            <w:r>
              <w:rPr>
                <w:rFonts w:cs="Arial"/>
                <w:szCs w:val="24"/>
              </w:rPr>
              <w:t>6.06</w:t>
            </w:r>
          </w:p>
        </w:tc>
        <w:tc>
          <w:tcPr>
            <w:tcW w:w="397" w:type="pct"/>
            <w:tcBorders>
              <w:top w:val="single" w:sz="4" w:space="0" w:color="auto"/>
              <w:left w:val="single" w:sz="4" w:space="0" w:color="auto"/>
              <w:bottom w:val="nil"/>
              <w:right w:val="nil"/>
            </w:tcBorders>
            <w:vAlign w:val="center"/>
          </w:tcPr>
          <w:p w14:paraId="00E22A03" w14:textId="77777777" w:rsidR="00023489" w:rsidRPr="00EE1660" w:rsidRDefault="00023489" w:rsidP="00023489">
            <w:pPr>
              <w:tabs>
                <w:tab w:val="left" w:pos="1134"/>
              </w:tabs>
              <w:jc w:val="center"/>
              <w:rPr>
                <w:rFonts w:cs="Arial"/>
                <w:szCs w:val="24"/>
              </w:rPr>
            </w:pPr>
            <w:r>
              <w:rPr>
                <w:rFonts w:cs="Arial"/>
                <w:szCs w:val="24"/>
              </w:rPr>
              <w:t>-.03</w:t>
            </w:r>
          </w:p>
        </w:tc>
        <w:tc>
          <w:tcPr>
            <w:tcW w:w="335" w:type="pct"/>
            <w:tcBorders>
              <w:top w:val="single" w:sz="4" w:space="0" w:color="auto"/>
              <w:left w:val="nil"/>
              <w:bottom w:val="nil"/>
              <w:right w:val="nil"/>
            </w:tcBorders>
            <w:vAlign w:val="center"/>
          </w:tcPr>
          <w:p w14:paraId="7F7257C7" w14:textId="77777777" w:rsidR="00023489" w:rsidRPr="00EE1660" w:rsidRDefault="00023489" w:rsidP="00023489">
            <w:pPr>
              <w:tabs>
                <w:tab w:val="left" w:pos="1134"/>
              </w:tabs>
              <w:jc w:val="center"/>
              <w:rPr>
                <w:rFonts w:cs="Arial"/>
                <w:szCs w:val="24"/>
              </w:rPr>
            </w:pPr>
            <w:r>
              <w:rPr>
                <w:rFonts w:cs="Arial"/>
                <w:szCs w:val="24"/>
              </w:rPr>
              <w:t>2.52</w:t>
            </w:r>
          </w:p>
        </w:tc>
        <w:tc>
          <w:tcPr>
            <w:tcW w:w="397" w:type="pct"/>
            <w:tcBorders>
              <w:top w:val="single" w:sz="4" w:space="0" w:color="auto"/>
              <w:left w:val="nil"/>
              <w:bottom w:val="nil"/>
              <w:right w:val="nil"/>
            </w:tcBorders>
            <w:vAlign w:val="center"/>
          </w:tcPr>
          <w:p w14:paraId="609E7151" w14:textId="77777777" w:rsidR="00023489" w:rsidRPr="00EE1660" w:rsidRDefault="00023489" w:rsidP="00023489">
            <w:pPr>
              <w:tabs>
                <w:tab w:val="left" w:pos="1134"/>
              </w:tabs>
              <w:jc w:val="center"/>
              <w:rPr>
                <w:rFonts w:cs="Arial"/>
                <w:szCs w:val="24"/>
              </w:rPr>
            </w:pPr>
            <w:r>
              <w:rPr>
                <w:rFonts w:cs="Arial"/>
                <w:szCs w:val="24"/>
              </w:rPr>
              <w:t>.32</w:t>
            </w:r>
          </w:p>
        </w:tc>
        <w:tc>
          <w:tcPr>
            <w:tcW w:w="433" w:type="pct"/>
            <w:tcBorders>
              <w:top w:val="single" w:sz="4" w:space="0" w:color="auto"/>
              <w:left w:val="nil"/>
              <w:bottom w:val="nil"/>
              <w:right w:val="nil"/>
            </w:tcBorders>
            <w:vAlign w:val="center"/>
          </w:tcPr>
          <w:p w14:paraId="396E17C1" w14:textId="77777777" w:rsidR="00023489" w:rsidRPr="00EE1660" w:rsidRDefault="00023489" w:rsidP="00023489">
            <w:pPr>
              <w:tabs>
                <w:tab w:val="left" w:pos="1134"/>
              </w:tabs>
              <w:jc w:val="center"/>
              <w:rPr>
                <w:rFonts w:cs="Arial"/>
                <w:szCs w:val="24"/>
              </w:rPr>
            </w:pPr>
            <w:r>
              <w:rPr>
                <w:rFonts w:cs="Arial"/>
                <w:szCs w:val="24"/>
              </w:rPr>
              <w:t>-2.40</w:t>
            </w:r>
          </w:p>
        </w:tc>
        <w:tc>
          <w:tcPr>
            <w:tcW w:w="436" w:type="pct"/>
            <w:tcBorders>
              <w:top w:val="single" w:sz="4" w:space="0" w:color="auto"/>
              <w:left w:val="nil"/>
              <w:bottom w:val="nil"/>
              <w:right w:val="nil"/>
            </w:tcBorders>
            <w:vAlign w:val="center"/>
          </w:tcPr>
          <w:p w14:paraId="4F920D18" w14:textId="77777777" w:rsidR="00023489" w:rsidRPr="00EE1660" w:rsidRDefault="00023489" w:rsidP="00023489">
            <w:pPr>
              <w:tabs>
                <w:tab w:val="left" w:pos="1134"/>
              </w:tabs>
              <w:jc w:val="center"/>
              <w:rPr>
                <w:rFonts w:cs="Arial"/>
                <w:szCs w:val="24"/>
              </w:rPr>
            </w:pPr>
            <w:r>
              <w:rPr>
                <w:rFonts w:cs="Arial"/>
                <w:szCs w:val="24"/>
              </w:rPr>
              <w:t>7.83</w:t>
            </w:r>
          </w:p>
        </w:tc>
      </w:tr>
      <w:tr w:rsidR="00023489" w:rsidRPr="00EE1660" w14:paraId="66B77FB6" w14:textId="77777777" w:rsidTr="00023489">
        <w:trPr>
          <w:trHeight w:val="729"/>
        </w:trPr>
        <w:tc>
          <w:tcPr>
            <w:tcW w:w="728" w:type="pct"/>
            <w:tcBorders>
              <w:top w:val="nil"/>
              <w:left w:val="nil"/>
              <w:bottom w:val="nil"/>
              <w:right w:val="nil"/>
            </w:tcBorders>
            <w:vAlign w:val="center"/>
          </w:tcPr>
          <w:p w14:paraId="650CF36D" w14:textId="77777777" w:rsidR="00023489" w:rsidRPr="00EE1660" w:rsidRDefault="00023489" w:rsidP="00023489">
            <w:pPr>
              <w:tabs>
                <w:tab w:val="left" w:pos="1134"/>
              </w:tabs>
              <w:rPr>
                <w:rFonts w:cs="Arial"/>
                <w:b/>
                <w:bCs/>
                <w:szCs w:val="24"/>
              </w:rPr>
            </w:pPr>
            <w:r>
              <w:rPr>
                <w:rFonts w:cs="Arial"/>
                <w:b/>
                <w:bCs/>
                <w:szCs w:val="24"/>
              </w:rPr>
              <w:t>Intolerance of uncertainty (IUS-12)</w:t>
            </w:r>
          </w:p>
        </w:tc>
        <w:tc>
          <w:tcPr>
            <w:tcW w:w="336" w:type="pct"/>
            <w:tcBorders>
              <w:top w:val="nil"/>
              <w:left w:val="nil"/>
              <w:bottom w:val="nil"/>
              <w:right w:val="nil"/>
            </w:tcBorders>
            <w:vAlign w:val="center"/>
          </w:tcPr>
          <w:p w14:paraId="3CE37AA2" w14:textId="77777777" w:rsidR="00023489" w:rsidRPr="00EE1660" w:rsidRDefault="00023489" w:rsidP="00023489">
            <w:pPr>
              <w:tabs>
                <w:tab w:val="left" w:pos="1134"/>
              </w:tabs>
              <w:jc w:val="center"/>
              <w:rPr>
                <w:rFonts w:cs="Arial"/>
                <w:szCs w:val="24"/>
              </w:rPr>
            </w:pPr>
            <w:r>
              <w:rPr>
                <w:rFonts w:cs="Arial"/>
                <w:szCs w:val="24"/>
              </w:rPr>
              <w:t>-.02</w:t>
            </w:r>
          </w:p>
        </w:tc>
        <w:tc>
          <w:tcPr>
            <w:tcW w:w="335" w:type="pct"/>
            <w:tcBorders>
              <w:top w:val="nil"/>
              <w:left w:val="nil"/>
              <w:bottom w:val="nil"/>
              <w:right w:val="nil"/>
            </w:tcBorders>
            <w:vAlign w:val="center"/>
          </w:tcPr>
          <w:p w14:paraId="7DE4711D" w14:textId="77777777" w:rsidR="00023489" w:rsidRPr="00EE1660" w:rsidRDefault="00023489" w:rsidP="00023489">
            <w:pPr>
              <w:tabs>
                <w:tab w:val="left" w:pos="1134"/>
              </w:tabs>
              <w:jc w:val="center"/>
              <w:rPr>
                <w:rFonts w:cs="Arial"/>
                <w:szCs w:val="24"/>
              </w:rPr>
            </w:pPr>
            <w:r>
              <w:rPr>
                <w:rFonts w:cs="Arial"/>
                <w:szCs w:val="24"/>
              </w:rPr>
              <w:t>.08</w:t>
            </w:r>
          </w:p>
        </w:tc>
        <w:tc>
          <w:tcPr>
            <w:tcW w:w="335" w:type="pct"/>
            <w:tcBorders>
              <w:top w:val="nil"/>
              <w:left w:val="nil"/>
              <w:bottom w:val="nil"/>
              <w:right w:val="nil"/>
            </w:tcBorders>
            <w:vAlign w:val="center"/>
          </w:tcPr>
          <w:p w14:paraId="3FD464B0" w14:textId="77777777" w:rsidR="00023489" w:rsidRPr="00EE1660" w:rsidRDefault="00023489" w:rsidP="00023489">
            <w:pPr>
              <w:tabs>
                <w:tab w:val="left" w:pos="1134"/>
              </w:tabs>
              <w:jc w:val="center"/>
              <w:rPr>
                <w:rFonts w:cs="Arial"/>
                <w:szCs w:val="24"/>
              </w:rPr>
            </w:pPr>
            <w:r>
              <w:rPr>
                <w:rFonts w:cs="Arial"/>
                <w:szCs w:val="24"/>
              </w:rPr>
              <w:t>-.04</w:t>
            </w:r>
          </w:p>
        </w:tc>
        <w:tc>
          <w:tcPr>
            <w:tcW w:w="395" w:type="pct"/>
            <w:tcBorders>
              <w:top w:val="nil"/>
              <w:left w:val="nil"/>
              <w:bottom w:val="nil"/>
              <w:right w:val="nil"/>
            </w:tcBorders>
            <w:vAlign w:val="center"/>
          </w:tcPr>
          <w:p w14:paraId="52279737" w14:textId="77777777" w:rsidR="00023489" w:rsidRPr="00EE1660" w:rsidRDefault="00023489" w:rsidP="00023489">
            <w:pPr>
              <w:tabs>
                <w:tab w:val="left" w:pos="1134"/>
              </w:tabs>
              <w:jc w:val="center"/>
              <w:rPr>
                <w:rFonts w:cs="Arial"/>
                <w:szCs w:val="24"/>
              </w:rPr>
            </w:pPr>
            <w:r>
              <w:rPr>
                <w:rFonts w:cs="Arial"/>
                <w:szCs w:val="24"/>
              </w:rPr>
              <w:t>.80</w:t>
            </w:r>
          </w:p>
        </w:tc>
        <w:tc>
          <w:tcPr>
            <w:tcW w:w="432" w:type="pct"/>
            <w:tcBorders>
              <w:top w:val="nil"/>
              <w:left w:val="nil"/>
              <w:bottom w:val="nil"/>
              <w:right w:val="nil"/>
            </w:tcBorders>
            <w:vAlign w:val="center"/>
          </w:tcPr>
          <w:p w14:paraId="53E10CAB" w14:textId="77777777" w:rsidR="00023489" w:rsidRPr="00EE1660" w:rsidRDefault="00023489" w:rsidP="00023489">
            <w:pPr>
              <w:tabs>
                <w:tab w:val="left" w:pos="1134"/>
              </w:tabs>
              <w:jc w:val="center"/>
              <w:rPr>
                <w:rFonts w:cs="Arial"/>
                <w:szCs w:val="24"/>
              </w:rPr>
            </w:pPr>
            <w:r>
              <w:rPr>
                <w:rFonts w:cs="Arial"/>
                <w:szCs w:val="24"/>
              </w:rPr>
              <w:t>-.18</w:t>
            </w:r>
          </w:p>
        </w:tc>
        <w:tc>
          <w:tcPr>
            <w:tcW w:w="437" w:type="pct"/>
            <w:tcBorders>
              <w:top w:val="nil"/>
              <w:left w:val="nil"/>
              <w:bottom w:val="nil"/>
              <w:right w:val="single" w:sz="4" w:space="0" w:color="auto"/>
            </w:tcBorders>
            <w:vAlign w:val="center"/>
          </w:tcPr>
          <w:p w14:paraId="7BAFE757" w14:textId="77777777" w:rsidR="00023489" w:rsidRPr="00EE1660" w:rsidRDefault="00023489" w:rsidP="00023489">
            <w:pPr>
              <w:tabs>
                <w:tab w:val="left" w:pos="1134"/>
              </w:tabs>
              <w:jc w:val="center"/>
              <w:rPr>
                <w:rFonts w:cs="Arial"/>
                <w:szCs w:val="24"/>
              </w:rPr>
            </w:pPr>
            <w:r>
              <w:rPr>
                <w:rFonts w:cs="Arial"/>
                <w:szCs w:val="24"/>
              </w:rPr>
              <w:t>.14</w:t>
            </w:r>
          </w:p>
        </w:tc>
        <w:tc>
          <w:tcPr>
            <w:tcW w:w="397" w:type="pct"/>
            <w:tcBorders>
              <w:top w:val="nil"/>
              <w:left w:val="single" w:sz="4" w:space="0" w:color="auto"/>
              <w:bottom w:val="nil"/>
              <w:right w:val="nil"/>
            </w:tcBorders>
            <w:vAlign w:val="center"/>
          </w:tcPr>
          <w:p w14:paraId="264AF20A" w14:textId="77777777" w:rsidR="00023489" w:rsidRPr="00EE1660" w:rsidRDefault="00023489" w:rsidP="00023489">
            <w:pPr>
              <w:tabs>
                <w:tab w:val="left" w:pos="1134"/>
              </w:tabs>
              <w:jc w:val="center"/>
              <w:rPr>
                <w:rFonts w:cs="Arial"/>
                <w:szCs w:val="24"/>
              </w:rPr>
            </w:pPr>
            <w:r>
              <w:rPr>
                <w:rFonts w:cs="Arial"/>
                <w:szCs w:val="24"/>
              </w:rPr>
              <w:t>.002</w:t>
            </w:r>
          </w:p>
        </w:tc>
        <w:tc>
          <w:tcPr>
            <w:tcW w:w="335" w:type="pct"/>
            <w:tcBorders>
              <w:top w:val="nil"/>
              <w:left w:val="nil"/>
              <w:bottom w:val="nil"/>
              <w:right w:val="nil"/>
            </w:tcBorders>
            <w:vAlign w:val="center"/>
          </w:tcPr>
          <w:p w14:paraId="24341FCF" w14:textId="77777777" w:rsidR="00023489" w:rsidRPr="00EE1660" w:rsidRDefault="00023489" w:rsidP="00023489">
            <w:pPr>
              <w:tabs>
                <w:tab w:val="left" w:pos="1134"/>
              </w:tabs>
              <w:jc w:val="center"/>
              <w:rPr>
                <w:rFonts w:cs="Arial"/>
                <w:szCs w:val="24"/>
              </w:rPr>
            </w:pPr>
            <w:r>
              <w:rPr>
                <w:rFonts w:cs="Arial"/>
                <w:szCs w:val="24"/>
              </w:rPr>
              <w:t>.08</w:t>
            </w:r>
          </w:p>
        </w:tc>
        <w:tc>
          <w:tcPr>
            <w:tcW w:w="397" w:type="pct"/>
            <w:tcBorders>
              <w:top w:val="nil"/>
              <w:left w:val="nil"/>
              <w:bottom w:val="nil"/>
              <w:right w:val="nil"/>
            </w:tcBorders>
            <w:vAlign w:val="center"/>
          </w:tcPr>
          <w:p w14:paraId="7EB5082F" w14:textId="77777777" w:rsidR="00023489" w:rsidRPr="00EE1660" w:rsidRDefault="00023489" w:rsidP="00023489">
            <w:pPr>
              <w:tabs>
                <w:tab w:val="left" w:pos="1134"/>
              </w:tabs>
              <w:jc w:val="center"/>
              <w:rPr>
                <w:rFonts w:cs="Arial"/>
                <w:szCs w:val="24"/>
              </w:rPr>
            </w:pPr>
            <w:r>
              <w:rPr>
                <w:rFonts w:cs="Arial"/>
                <w:szCs w:val="24"/>
              </w:rPr>
              <w:t>.81</w:t>
            </w:r>
          </w:p>
        </w:tc>
        <w:tc>
          <w:tcPr>
            <w:tcW w:w="433" w:type="pct"/>
            <w:tcBorders>
              <w:top w:val="nil"/>
              <w:left w:val="nil"/>
              <w:bottom w:val="nil"/>
              <w:right w:val="nil"/>
            </w:tcBorders>
            <w:vAlign w:val="center"/>
          </w:tcPr>
          <w:p w14:paraId="0207F7ED" w14:textId="77777777" w:rsidR="00023489" w:rsidRPr="00EE1660" w:rsidRDefault="00023489" w:rsidP="00023489">
            <w:pPr>
              <w:tabs>
                <w:tab w:val="left" w:pos="1134"/>
              </w:tabs>
              <w:jc w:val="center"/>
              <w:rPr>
                <w:rFonts w:cs="Arial"/>
                <w:szCs w:val="24"/>
              </w:rPr>
            </w:pPr>
            <w:r>
              <w:rPr>
                <w:rFonts w:cs="Arial"/>
                <w:szCs w:val="24"/>
              </w:rPr>
              <w:t>-.173</w:t>
            </w:r>
          </w:p>
        </w:tc>
        <w:tc>
          <w:tcPr>
            <w:tcW w:w="436" w:type="pct"/>
            <w:tcBorders>
              <w:top w:val="nil"/>
              <w:left w:val="nil"/>
              <w:bottom w:val="nil"/>
              <w:right w:val="nil"/>
            </w:tcBorders>
            <w:vAlign w:val="center"/>
          </w:tcPr>
          <w:p w14:paraId="06BEF486" w14:textId="77777777" w:rsidR="00023489" w:rsidRPr="00EE1660" w:rsidRDefault="00023489" w:rsidP="00023489">
            <w:pPr>
              <w:tabs>
                <w:tab w:val="left" w:pos="1134"/>
              </w:tabs>
              <w:jc w:val="center"/>
              <w:rPr>
                <w:rFonts w:cs="Arial"/>
                <w:szCs w:val="24"/>
              </w:rPr>
            </w:pPr>
            <w:r>
              <w:rPr>
                <w:rFonts w:cs="Arial"/>
                <w:szCs w:val="24"/>
              </w:rPr>
              <w:t>.153</w:t>
            </w:r>
          </w:p>
        </w:tc>
      </w:tr>
      <w:tr w:rsidR="00023489" w:rsidRPr="00EE1660" w14:paraId="57E94EB3" w14:textId="77777777" w:rsidTr="00023489">
        <w:trPr>
          <w:trHeight w:val="729"/>
        </w:trPr>
        <w:tc>
          <w:tcPr>
            <w:tcW w:w="728" w:type="pct"/>
            <w:tcBorders>
              <w:top w:val="nil"/>
              <w:left w:val="nil"/>
              <w:bottom w:val="nil"/>
              <w:right w:val="nil"/>
            </w:tcBorders>
            <w:vAlign w:val="center"/>
          </w:tcPr>
          <w:p w14:paraId="28AB6172" w14:textId="77777777" w:rsidR="00023489" w:rsidRDefault="00023489" w:rsidP="00023489">
            <w:pPr>
              <w:tabs>
                <w:tab w:val="left" w:pos="1134"/>
              </w:tabs>
              <w:rPr>
                <w:rFonts w:cs="Arial"/>
                <w:b/>
                <w:bCs/>
                <w:szCs w:val="24"/>
              </w:rPr>
            </w:pPr>
            <w:r>
              <w:rPr>
                <w:rFonts w:cs="Arial"/>
                <w:b/>
                <w:bCs/>
                <w:szCs w:val="24"/>
              </w:rPr>
              <w:t>Anxiety sensitivity (ASI-3)</w:t>
            </w:r>
          </w:p>
        </w:tc>
        <w:tc>
          <w:tcPr>
            <w:tcW w:w="336" w:type="pct"/>
            <w:tcBorders>
              <w:top w:val="nil"/>
              <w:left w:val="nil"/>
              <w:bottom w:val="nil"/>
              <w:right w:val="nil"/>
            </w:tcBorders>
            <w:vAlign w:val="center"/>
          </w:tcPr>
          <w:p w14:paraId="51C61207" w14:textId="77777777" w:rsidR="00023489" w:rsidRDefault="00023489" w:rsidP="00023489">
            <w:pPr>
              <w:tabs>
                <w:tab w:val="left" w:pos="1134"/>
              </w:tabs>
              <w:jc w:val="center"/>
              <w:rPr>
                <w:rFonts w:cs="Arial"/>
                <w:szCs w:val="24"/>
              </w:rPr>
            </w:pPr>
            <w:r>
              <w:rPr>
                <w:rFonts w:cs="Arial"/>
                <w:szCs w:val="24"/>
              </w:rPr>
              <w:t>.04</w:t>
            </w:r>
          </w:p>
        </w:tc>
        <w:tc>
          <w:tcPr>
            <w:tcW w:w="335" w:type="pct"/>
            <w:tcBorders>
              <w:top w:val="nil"/>
              <w:left w:val="nil"/>
              <w:bottom w:val="nil"/>
              <w:right w:val="nil"/>
            </w:tcBorders>
            <w:vAlign w:val="center"/>
          </w:tcPr>
          <w:p w14:paraId="36AE788D" w14:textId="77777777" w:rsidR="00023489" w:rsidRDefault="00023489" w:rsidP="00023489">
            <w:pPr>
              <w:tabs>
                <w:tab w:val="left" w:pos="1134"/>
              </w:tabs>
              <w:jc w:val="center"/>
              <w:rPr>
                <w:rFonts w:cs="Arial"/>
                <w:szCs w:val="24"/>
              </w:rPr>
            </w:pPr>
            <w:r>
              <w:rPr>
                <w:rFonts w:cs="Arial"/>
                <w:szCs w:val="24"/>
              </w:rPr>
              <w:t>.06</w:t>
            </w:r>
          </w:p>
        </w:tc>
        <w:tc>
          <w:tcPr>
            <w:tcW w:w="335" w:type="pct"/>
            <w:tcBorders>
              <w:top w:val="nil"/>
              <w:left w:val="nil"/>
              <w:bottom w:val="nil"/>
              <w:right w:val="nil"/>
            </w:tcBorders>
            <w:vAlign w:val="center"/>
          </w:tcPr>
          <w:p w14:paraId="5E53832D" w14:textId="77777777" w:rsidR="00023489" w:rsidRDefault="00023489" w:rsidP="00023489">
            <w:pPr>
              <w:tabs>
                <w:tab w:val="left" w:pos="1134"/>
              </w:tabs>
              <w:jc w:val="center"/>
              <w:rPr>
                <w:rFonts w:cs="Arial"/>
                <w:szCs w:val="24"/>
              </w:rPr>
            </w:pPr>
            <w:r>
              <w:rPr>
                <w:rFonts w:cs="Arial"/>
                <w:szCs w:val="24"/>
              </w:rPr>
              <w:t>.12</w:t>
            </w:r>
          </w:p>
        </w:tc>
        <w:tc>
          <w:tcPr>
            <w:tcW w:w="395" w:type="pct"/>
            <w:tcBorders>
              <w:top w:val="nil"/>
              <w:left w:val="nil"/>
              <w:bottom w:val="nil"/>
              <w:right w:val="nil"/>
            </w:tcBorders>
            <w:vAlign w:val="center"/>
          </w:tcPr>
          <w:p w14:paraId="44DC39E7" w14:textId="77777777" w:rsidR="00023489" w:rsidRDefault="00023489" w:rsidP="00023489">
            <w:pPr>
              <w:tabs>
                <w:tab w:val="left" w:pos="1134"/>
              </w:tabs>
              <w:jc w:val="center"/>
              <w:rPr>
                <w:rFonts w:cs="Arial"/>
                <w:szCs w:val="24"/>
              </w:rPr>
            </w:pPr>
            <w:r>
              <w:rPr>
                <w:rFonts w:cs="Arial"/>
                <w:szCs w:val="24"/>
              </w:rPr>
              <w:t>.46</w:t>
            </w:r>
          </w:p>
        </w:tc>
        <w:tc>
          <w:tcPr>
            <w:tcW w:w="432" w:type="pct"/>
            <w:tcBorders>
              <w:top w:val="nil"/>
              <w:left w:val="nil"/>
              <w:bottom w:val="nil"/>
              <w:right w:val="nil"/>
            </w:tcBorders>
            <w:vAlign w:val="center"/>
          </w:tcPr>
          <w:p w14:paraId="4FA6239D" w14:textId="77777777" w:rsidR="00023489" w:rsidRDefault="00023489" w:rsidP="00023489">
            <w:pPr>
              <w:tabs>
                <w:tab w:val="left" w:pos="1134"/>
              </w:tabs>
              <w:jc w:val="center"/>
              <w:rPr>
                <w:rFonts w:cs="Arial"/>
                <w:szCs w:val="24"/>
              </w:rPr>
            </w:pPr>
            <w:r>
              <w:rPr>
                <w:rFonts w:cs="Arial"/>
                <w:szCs w:val="24"/>
              </w:rPr>
              <w:t>-.07</w:t>
            </w:r>
          </w:p>
        </w:tc>
        <w:tc>
          <w:tcPr>
            <w:tcW w:w="437" w:type="pct"/>
            <w:tcBorders>
              <w:top w:val="nil"/>
              <w:left w:val="nil"/>
              <w:bottom w:val="nil"/>
              <w:right w:val="single" w:sz="4" w:space="0" w:color="auto"/>
            </w:tcBorders>
            <w:vAlign w:val="center"/>
          </w:tcPr>
          <w:p w14:paraId="33B12FED" w14:textId="77777777" w:rsidR="00023489" w:rsidRDefault="00023489" w:rsidP="00023489">
            <w:pPr>
              <w:tabs>
                <w:tab w:val="left" w:pos="1134"/>
              </w:tabs>
              <w:jc w:val="center"/>
              <w:rPr>
                <w:rFonts w:cs="Arial"/>
                <w:szCs w:val="24"/>
              </w:rPr>
            </w:pPr>
            <w:r>
              <w:rPr>
                <w:rFonts w:cs="Arial"/>
                <w:szCs w:val="24"/>
              </w:rPr>
              <w:t>.15</w:t>
            </w:r>
          </w:p>
        </w:tc>
        <w:tc>
          <w:tcPr>
            <w:tcW w:w="397" w:type="pct"/>
            <w:tcBorders>
              <w:top w:val="nil"/>
              <w:left w:val="single" w:sz="4" w:space="0" w:color="auto"/>
              <w:bottom w:val="nil"/>
              <w:right w:val="nil"/>
            </w:tcBorders>
            <w:vAlign w:val="center"/>
          </w:tcPr>
          <w:p w14:paraId="2F887489" w14:textId="77777777" w:rsidR="00023489" w:rsidRDefault="00023489" w:rsidP="00023489">
            <w:pPr>
              <w:tabs>
                <w:tab w:val="left" w:pos="1134"/>
              </w:tabs>
              <w:jc w:val="center"/>
              <w:rPr>
                <w:rFonts w:cs="Arial"/>
                <w:szCs w:val="24"/>
              </w:rPr>
            </w:pPr>
            <w:r>
              <w:rPr>
                <w:rFonts w:cs="Arial"/>
                <w:szCs w:val="24"/>
              </w:rPr>
              <w:t>.003</w:t>
            </w:r>
          </w:p>
        </w:tc>
        <w:tc>
          <w:tcPr>
            <w:tcW w:w="335" w:type="pct"/>
            <w:tcBorders>
              <w:top w:val="nil"/>
              <w:left w:val="nil"/>
              <w:bottom w:val="nil"/>
              <w:right w:val="nil"/>
            </w:tcBorders>
            <w:vAlign w:val="center"/>
          </w:tcPr>
          <w:p w14:paraId="20EB72A7" w14:textId="77777777" w:rsidR="00023489" w:rsidRDefault="00023489" w:rsidP="00023489">
            <w:pPr>
              <w:tabs>
                <w:tab w:val="left" w:pos="1134"/>
              </w:tabs>
              <w:jc w:val="center"/>
              <w:rPr>
                <w:rFonts w:cs="Arial"/>
                <w:szCs w:val="24"/>
              </w:rPr>
            </w:pPr>
            <w:r>
              <w:rPr>
                <w:rFonts w:cs="Arial"/>
                <w:szCs w:val="24"/>
              </w:rPr>
              <w:t>.05</w:t>
            </w:r>
          </w:p>
        </w:tc>
        <w:tc>
          <w:tcPr>
            <w:tcW w:w="397" w:type="pct"/>
            <w:tcBorders>
              <w:top w:val="nil"/>
              <w:left w:val="nil"/>
              <w:bottom w:val="nil"/>
              <w:right w:val="nil"/>
            </w:tcBorders>
            <w:vAlign w:val="center"/>
          </w:tcPr>
          <w:p w14:paraId="039A4411" w14:textId="77777777" w:rsidR="00023489" w:rsidRDefault="00023489" w:rsidP="00023489">
            <w:pPr>
              <w:tabs>
                <w:tab w:val="left" w:pos="1134"/>
              </w:tabs>
              <w:jc w:val="center"/>
              <w:rPr>
                <w:rFonts w:cs="Arial"/>
                <w:szCs w:val="24"/>
              </w:rPr>
            </w:pPr>
            <w:r>
              <w:rPr>
                <w:rFonts w:cs="Arial"/>
                <w:szCs w:val="24"/>
              </w:rPr>
              <w:t>.43</w:t>
            </w:r>
          </w:p>
        </w:tc>
        <w:tc>
          <w:tcPr>
            <w:tcW w:w="433" w:type="pct"/>
            <w:tcBorders>
              <w:top w:val="nil"/>
              <w:left w:val="nil"/>
              <w:bottom w:val="nil"/>
              <w:right w:val="nil"/>
            </w:tcBorders>
            <w:vAlign w:val="center"/>
          </w:tcPr>
          <w:p w14:paraId="5031FA05" w14:textId="77777777" w:rsidR="00023489" w:rsidRDefault="00023489" w:rsidP="00023489">
            <w:pPr>
              <w:tabs>
                <w:tab w:val="left" w:pos="1134"/>
              </w:tabs>
              <w:jc w:val="center"/>
              <w:rPr>
                <w:rFonts w:cs="Arial"/>
                <w:szCs w:val="24"/>
              </w:rPr>
            </w:pPr>
            <w:r>
              <w:rPr>
                <w:rFonts w:cs="Arial"/>
                <w:szCs w:val="24"/>
              </w:rPr>
              <w:t>-.07</w:t>
            </w:r>
          </w:p>
        </w:tc>
        <w:tc>
          <w:tcPr>
            <w:tcW w:w="436" w:type="pct"/>
            <w:tcBorders>
              <w:top w:val="nil"/>
              <w:left w:val="nil"/>
              <w:bottom w:val="nil"/>
              <w:right w:val="nil"/>
            </w:tcBorders>
            <w:vAlign w:val="center"/>
          </w:tcPr>
          <w:p w14:paraId="28517459" w14:textId="77777777" w:rsidR="00023489" w:rsidRDefault="00023489" w:rsidP="00023489">
            <w:pPr>
              <w:tabs>
                <w:tab w:val="left" w:pos="1134"/>
              </w:tabs>
              <w:jc w:val="center"/>
              <w:rPr>
                <w:rFonts w:cs="Arial"/>
                <w:szCs w:val="24"/>
              </w:rPr>
            </w:pPr>
            <w:r>
              <w:rPr>
                <w:rFonts w:cs="Arial"/>
                <w:szCs w:val="24"/>
              </w:rPr>
              <w:t>.15</w:t>
            </w:r>
          </w:p>
        </w:tc>
      </w:tr>
      <w:tr w:rsidR="00023489" w:rsidRPr="00EE1660" w14:paraId="413C75DC" w14:textId="77777777" w:rsidTr="00023489">
        <w:trPr>
          <w:trHeight w:val="729"/>
        </w:trPr>
        <w:tc>
          <w:tcPr>
            <w:tcW w:w="728" w:type="pct"/>
            <w:tcBorders>
              <w:top w:val="nil"/>
              <w:left w:val="nil"/>
              <w:bottom w:val="nil"/>
              <w:right w:val="nil"/>
            </w:tcBorders>
            <w:vAlign w:val="center"/>
          </w:tcPr>
          <w:p w14:paraId="2C7D1719" w14:textId="77777777" w:rsidR="00023489" w:rsidRDefault="00023489" w:rsidP="00023489">
            <w:pPr>
              <w:tabs>
                <w:tab w:val="left" w:pos="1134"/>
              </w:tabs>
              <w:rPr>
                <w:rFonts w:cs="Arial"/>
                <w:b/>
                <w:bCs/>
                <w:szCs w:val="24"/>
              </w:rPr>
            </w:pPr>
            <w:r>
              <w:rPr>
                <w:rFonts w:cs="Arial"/>
                <w:b/>
                <w:bCs/>
                <w:szCs w:val="24"/>
              </w:rPr>
              <w:t>Anxiety (GAD-7)</w:t>
            </w:r>
          </w:p>
        </w:tc>
        <w:tc>
          <w:tcPr>
            <w:tcW w:w="336" w:type="pct"/>
            <w:tcBorders>
              <w:top w:val="nil"/>
              <w:left w:val="nil"/>
              <w:bottom w:val="nil"/>
              <w:right w:val="nil"/>
            </w:tcBorders>
            <w:vAlign w:val="center"/>
          </w:tcPr>
          <w:p w14:paraId="55EBED67" w14:textId="77777777" w:rsidR="00023489" w:rsidRDefault="00023489" w:rsidP="00023489">
            <w:pPr>
              <w:tabs>
                <w:tab w:val="left" w:pos="1134"/>
              </w:tabs>
              <w:jc w:val="center"/>
              <w:rPr>
                <w:rFonts w:cs="Arial"/>
                <w:szCs w:val="24"/>
              </w:rPr>
            </w:pPr>
            <w:r>
              <w:rPr>
                <w:rFonts w:cs="Arial"/>
                <w:szCs w:val="24"/>
              </w:rPr>
              <w:t>-.05</w:t>
            </w:r>
          </w:p>
        </w:tc>
        <w:tc>
          <w:tcPr>
            <w:tcW w:w="335" w:type="pct"/>
            <w:tcBorders>
              <w:top w:val="nil"/>
              <w:left w:val="nil"/>
              <w:bottom w:val="nil"/>
              <w:right w:val="nil"/>
            </w:tcBorders>
            <w:vAlign w:val="center"/>
          </w:tcPr>
          <w:p w14:paraId="56FF61A8" w14:textId="77777777" w:rsidR="00023489" w:rsidRDefault="00023489" w:rsidP="00023489">
            <w:pPr>
              <w:tabs>
                <w:tab w:val="left" w:pos="1134"/>
              </w:tabs>
              <w:jc w:val="center"/>
              <w:rPr>
                <w:rFonts w:cs="Arial"/>
                <w:szCs w:val="24"/>
              </w:rPr>
            </w:pPr>
            <w:r>
              <w:rPr>
                <w:rFonts w:cs="Arial"/>
                <w:szCs w:val="24"/>
              </w:rPr>
              <w:t>.16</w:t>
            </w:r>
          </w:p>
        </w:tc>
        <w:tc>
          <w:tcPr>
            <w:tcW w:w="335" w:type="pct"/>
            <w:tcBorders>
              <w:top w:val="nil"/>
              <w:left w:val="nil"/>
              <w:bottom w:val="nil"/>
              <w:right w:val="nil"/>
            </w:tcBorders>
            <w:vAlign w:val="center"/>
          </w:tcPr>
          <w:p w14:paraId="1E5250AF" w14:textId="77777777" w:rsidR="00023489" w:rsidRDefault="00023489" w:rsidP="00023489">
            <w:pPr>
              <w:tabs>
                <w:tab w:val="left" w:pos="1134"/>
              </w:tabs>
              <w:jc w:val="center"/>
              <w:rPr>
                <w:rFonts w:cs="Arial"/>
                <w:szCs w:val="24"/>
              </w:rPr>
            </w:pPr>
            <w:r>
              <w:rPr>
                <w:rFonts w:cs="Arial"/>
                <w:szCs w:val="24"/>
              </w:rPr>
              <w:t>-.06</w:t>
            </w:r>
          </w:p>
        </w:tc>
        <w:tc>
          <w:tcPr>
            <w:tcW w:w="395" w:type="pct"/>
            <w:tcBorders>
              <w:top w:val="nil"/>
              <w:left w:val="nil"/>
              <w:bottom w:val="nil"/>
              <w:right w:val="nil"/>
            </w:tcBorders>
            <w:vAlign w:val="center"/>
          </w:tcPr>
          <w:p w14:paraId="56EE1D91" w14:textId="77777777" w:rsidR="00023489" w:rsidRDefault="00023489" w:rsidP="00023489">
            <w:pPr>
              <w:tabs>
                <w:tab w:val="left" w:pos="1134"/>
              </w:tabs>
              <w:jc w:val="center"/>
              <w:rPr>
                <w:rFonts w:cs="Arial"/>
                <w:szCs w:val="24"/>
              </w:rPr>
            </w:pPr>
            <w:r>
              <w:rPr>
                <w:rFonts w:cs="Arial"/>
                <w:szCs w:val="24"/>
              </w:rPr>
              <w:t>.74</w:t>
            </w:r>
          </w:p>
        </w:tc>
        <w:tc>
          <w:tcPr>
            <w:tcW w:w="432" w:type="pct"/>
            <w:tcBorders>
              <w:top w:val="nil"/>
              <w:left w:val="nil"/>
              <w:bottom w:val="nil"/>
              <w:right w:val="nil"/>
            </w:tcBorders>
            <w:vAlign w:val="center"/>
          </w:tcPr>
          <w:p w14:paraId="07F13545" w14:textId="77777777" w:rsidR="00023489" w:rsidRDefault="00023489" w:rsidP="00023489">
            <w:pPr>
              <w:tabs>
                <w:tab w:val="left" w:pos="1134"/>
              </w:tabs>
              <w:jc w:val="center"/>
              <w:rPr>
                <w:rFonts w:cs="Arial"/>
                <w:szCs w:val="24"/>
              </w:rPr>
            </w:pPr>
            <w:r>
              <w:rPr>
                <w:rFonts w:cs="Arial"/>
                <w:szCs w:val="24"/>
              </w:rPr>
              <w:t>-.37</w:t>
            </w:r>
          </w:p>
        </w:tc>
        <w:tc>
          <w:tcPr>
            <w:tcW w:w="437" w:type="pct"/>
            <w:tcBorders>
              <w:top w:val="nil"/>
              <w:left w:val="nil"/>
              <w:bottom w:val="nil"/>
              <w:right w:val="single" w:sz="4" w:space="0" w:color="auto"/>
            </w:tcBorders>
            <w:vAlign w:val="center"/>
          </w:tcPr>
          <w:p w14:paraId="4B9559A1" w14:textId="77777777" w:rsidR="00023489" w:rsidRDefault="00023489" w:rsidP="00023489">
            <w:pPr>
              <w:tabs>
                <w:tab w:val="left" w:pos="1134"/>
              </w:tabs>
              <w:jc w:val="center"/>
              <w:rPr>
                <w:rFonts w:cs="Arial"/>
                <w:szCs w:val="24"/>
              </w:rPr>
            </w:pPr>
            <w:r>
              <w:rPr>
                <w:rFonts w:cs="Arial"/>
                <w:szCs w:val="24"/>
              </w:rPr>
              <w:t>.26</w:t>
            </w:r>
          </w:p>
        </w:tc>
        <w:tc>
          <w:tcPr>
            <w:tcW w:w="397" w:type="pct"/>
            <w:tcBorders>
              <w:top w:val="nil"/>
              <w:left w:val="single" w:sz="4" w:space="0" w:color="auto"/>
              <w:bottom w:val="nil"/>
              <w:right w:val="nil"/>
            </w:tcBorders>
            <w:vAlign w:val="center"/>
          </w:tcPr>
          <w:p w14:paraId="3B9C4CDB" w14:textId="77777777" w:rsidR="00023489" w:rsidRDefault="00023489" w:rsidP="00023489">
            <w:pPr>
              <w:tabs>
                <w:tab w:val="left" w:pos="1134"/>
              </w:tabs>
              <w:jc w:val="center"/>
              <w:rPr>
                <w:rFonts w:cs="Arial"/>
                <w:szCs w:val="24"/>
              </w:rPr>
            </w:pPr>
            <w:r>
              <w:rPr>
                <w:rFonts w:cs="Arial"/>
                <w:szCs w:val="24"/>
              </w:rPr>
              <w:t>-.01</w:t>
            </w:r>
          </w:p>
        </w:tc>
        <w:tc>
          <w:tcPr>
            <w:tcW w:w="335" w:type="pct"/>
            <w:tcBorders>
              <w:top w:val="nil"/>
              <w:left w:val="nil"/>
              <w:bottom w:val="nil"/>
              <w:right w:val="nil"/>
            </w:tcBorders>
            <w:vAlign w:val="center"/>
          </w:tcPr>
          <w:p w14:paraId="763D3F74" w14:textId="77777777" w:rsidR="00023489" w:rsidRDefault="00023489" w:rsidP="00023489">
            <w:pPr>
              <w:tabs>
                <w:tab w:val="left" w:pos="1134"/>
              </w:tabs>
              <w:jc w:val="center"/>
              <w:rPr>
                <w:rFonts w:cs="Arial"/>
                <w:szCs w:val="24"/>
              </w:rPr>
            </w:pPr>
            <w:r>
              <w:rPr>
                <w:rFonts w:cs="Arial"/>
                <w:szCs w:val="24"/>
              </w:rPr>
              <w:t>.16</w:t>
            </w:r>
          </w:p>
        </w:tc>
        <w:tc>
          <w:tcPr>
            <w:tcW w:w="397" w:type="pct"/>
            <w:tcBorders>
              <w:top w:val="nil"/>
              <w:left w:val="nil"/>
              <w:bottom w:val="nil"/>
              <w:right w:val="nil"/>
            </w:tcBorders>
            <w:vAlign w:val="center"/>
          </w:tcPr>
          <w:p w14:paraId="26B83370" w14:textId="77777777" w:rsidR="00023489" w:rsidRDefault="00023489" w:rsidP="00023489">
            <w:pPr>
              <w:tabs>
                <w:tab w:val="left" w:pos="1134"/>
              </w:tabs>
              <w:jc w:val="center"/>
              <w:rPr>
                <w:rFonts w:cs="Arial"/>
                <w:szCs w:val="24"/>
              </w:rPr>
            </w:pPr>
            <w:r>
              <w:rPr>
                <w:rFonts w:cs="Arial"/>
                <w:szCs w:val="24"/>
              </w:rPr>
              <w:t>.75</w:t>
            </w:r>
          </w:p>
        </w:tc>
        <w:tc>
          <w:tcPr>
            <w:tcW w:w="433" w:type="pct"/>
            <w:tcBorders>
              <w:top w:val="nil"/>
              <w:left w:val="nil"/>
              <w:bottom w:val="nil"/>
              <w:right w:val="nil"/>
            </w:tcBorders>
            <w:vAlign w:val="center"/>
          </w:tcPr>
          <w:p w14:paraId="039A118E" w14:textId="77777777" w:rsidR="00023489" w:rsidRDefault="00023489" w:rsidP="00023489">
            <w:pPr>
              <w:tabs>
                <w:tab w:val="left" w:pos="1134"/>
              </w:tabs>
              <w:jc w:val="center"/>
              <w:rPr>
                <w:rFonts w:cs="Arial"/>
                <w:szCs w:val="24"/>
              </w:rPr>
            </w:pPr>
            <w:r>
              <w:rPr>
                <w:rFonts w:cs="Arial"/>
                <w:szCs w:val="24"/>
              </w:rPr>
              <w:t>-.40</w:t>
            </w:r>
          </w:p>
        </w:tc>
        <w:tc>
          <w:tcPr>
            <w:tcW w:w="436" w:type="pct"/>
            <w:tcBorders>
              <w:top w:val="nil"/>
              <w:left w:val="nil"/>
              <w:bottom w:val="nil"/>
              <w:right w:val="nil"/>
            </w:tcBorders>
            <w:vAlign w:val="center"/>
          </w:tcPr>
          <w:p w14:paraId="48A01B19" w14:textId="77777777" w:rsidR="00023489" w:rsidRDefault="00023489" w:rsidP="00023489">
            <w:pPr>
              <w:tabs>
                <w:tab w:val="left" w:pos="1134"/>
              </w:tabs>
              <w:jc w:val="center"/>
              <w:rPr>
                <w:rFonts w:cs="Arial"/>
                <w:szCs w:val="24"/>
              </w:rPr>
            </w:pPr>
            <w:r>
              <w:rPr>
                <w:rFonts w:cs="Arial"/>
                <w:szCs w:val="24"/>
              </w:rPr>
              <w:t>.21</w:t>
            </w:r>
          </w:p>
        </w:tc>
      </w:tr>
      <w:tr w:rsidR="00023489" w:rsidRPr="00EE1660" w14:paraId="66465A43" w14:textId="77777777" w:rsidTr="00023489">
        <w:trPr>
          <w:trHeight w:val="729"/>
        </w:trPr>
        <w:tc>
          <w:tcPr>
            <w:tcW w:w="728" w:type="pct"/>
            <w:tcBorders>
              <w:top w:val="nil"/>
              <w:left w:val="nil"/>
              <w:bottom w:val="nil"/>
              <w:right w:val="nil"/>
            </w:tcBorders>
            <w:vAlign w:val="center"/>
          </w:tcPr>
          <w:p w14:paraId="4782425A" w14:textId="77777777" w:rsidR="00023489" w:rsidRDefault="00023489" w:rsidP="00023489">
            <w:pPr>
              <w:tabs>
                <w:tab w:val="left" w:pos="1134"/>
              </w:tabs>
              <w:rPr>
                <w:rFonts w:cs="Arial"/>
                <w:b/>
                <w:bCs/>
                <w:szCs w:val="24"/>
              </w:rPr>
            </w:pPr>
            <w:r>
              <w:rPr>
                <w:rFonts w:cs="Arial"/>
                <w:b/>
                <w:bCs/>
                <w:szCs w:val="24"/>
              </w:rPr>
              <w:t>Depression (PHQ-9)</w:t>
            </w:r>
          </w:p>
        </w:tc>
        <w:tc>
          <w:tcPr>
            <w:tcW w:w="336" w:type="pct"/>
            <w:tcBorders>
              <w:top w:val="nil"/>
              <w:left w:val="nil"/>
              <w:bottom w:val="nil"/>
              <w:right w:val="nil"/>
            </w:tcBorders>
            <w:vAlign w:val="center"/>
          </w:tcPr>
          <w:p w14:paraId="6B3850D5" w14:textId="77777777" w:rsidR="00023489" w:rsidRDefault="00023489" w:rsidP="00023489">
            <w:pPr>
              <w:tabs>
                <w:tab w:val="left" w:pos="1134"/>
              </w:tabs>
              <w:jc w:val="center"/>
              <w:rPr>
                <w:rFonts w:cs="Arial"/>
                <w:szCs w:val="24"/>
              </w:rPr>
            </w:pPr>
            <w:r>
              <w:rPr>
                <w:rFonts w:cs="Arial"/>
                <w:szCs w:val="24"/>
              </w:rPr>
              <w:t>.53</w:t>
            </w:r>
          </w:p>
        </w:tc>
        <w:tc>
          <w:tcPr>
            <w:tcW w:w="335" w:type="pct"/>
            <w:tcBorders>
              <w:top w:val="nil"/>
              <w:left w:val="nil"/>
              <w:bottom w:val="nil"/>
              <w:right w:val="nil"/>
            </w:tcBorders>
            <w:vAlign w:val="center"/>
          </w:tcPr>
          <w:p w14:paraId="6A81E8EC" w14:textId="77777777" w:rsidR="00023489" w:rsidRDefault="00023489" w:rsidP="00023489">
            <w:pPr>
              <w:tabs>
                <w:tab w:val="left" w:pos="1134"/>
              </w:tabs>
              <w:jc w:val="center"/>
              <w:rPr>
                <w:rFonts w:cs="Arial"/>
                <w:szCs w:val="24"/>
              </w:rPr>
            </w:pPr>
            <w:r>
              <w:rPr>
                <w:rFonts w:cs="Arial"/>
                <w:szCs w:val="24"/>
              </w:rPr>
              <w:t>.13</w:t>
            </w:r>
          </w:p>
        </w:tc>
        <w:tc>
          <w:tcPr>
            <w:tcW w:w="335" w:type="pct"/>
            <w:tcBorders>
              <w:top w:val="nil"/>
              <w:left w:val="nil"/>
              <w:bottom w:val="nil"/>
              <w:right w:val="nil"/>
            </w:tcBorders>
            <w:vAlign w:val="center"/>
          </w:tcPr>
          <w:p w14:paraId="14D19528" w14:textId="77777777" w:rsidR="00023489" w:rsidRDefault="00023489" w:rsidP="00023489">
            <w:pPr>
              <w:tabs>
                <w:tab w:val="left" w:pos="1134"/>
              </w:tabs>
              <w:jc w:val="center"/>
              <w:rPr>
                <w:rFonts w:cs="Arial"/>
                <w:szCs w:val="24"/>
              </w:rPr>
            </w:pPr>
            <w:r>
              <w:rPr>
                <w:rFonts w:cs="Arial"/>
                <w:szCs w:val="24"/>
              </w:rPr>
              <w:t>.62</w:t>
            </w:r>
          </w:p>
        </w:tc>
        <w:tc>
          <w:tcPr>
            <w:tcW w:w="395" w:type="pct"/>
            <w:tcBorders>
              <w:top w:val="nil"/>
              <w:left w:val="nil"/>
              <w:bottom w:val="nil"/>
              <w:right w:val="nil"/>
            </w:tcBorders>
            <w:vAlign w:val="center"/>
          </w:tcPr>
          <w:p w14:paraId="4753D6D4" w14:textId="77777777" w:rsidR="00023489" w:rsidRDefault="00023489" w:rsidP="00023489">
            <w:pPr>
              <w:tabs>
                <w:tab w:val="left" w:pos="1134"/>
              </w:tabs>
              <w:jc w:val="center"/>
              <w:rPr>
                <w:rFonts w:cs="Arial"/>
                <w:szCs w:val="24"/>
              </w:rPr>
            </w:pPr>
            <w:r>
              <w:rPr>
                <w:rFonts w:cs="Arial"/>
                <w:szCs w:val="24"/>
              </w:rPr>
              <w:t>&lt;.001</w:t>
            </w:r>
          </w:p>
        </w:tc>
        <w:tc>
          <w:tcPr>
            <w:tcW w:w="432" w:type="pct"/>
            <w:tcBorders>
              <w:top w:val="nil"/>
              <w:left w:val="nil"/>
              <w:bottom w:val="nil"/>
              <w:right w:val="nil"/>
            </w:tcBorders>
            <w:vAlign w:val="center"/>
          </w:tcPr>
          <w:p w14:paraId="76655ECD" w14:textId="77777777" w:rsidR="00023489" w:rsidRDefault="00023489" w:rsidP="00023489">
            <w:pPr>
              <w:tabs>
                <w:tab w:val="left" w:pos="1134"/>
              </w:tabs>
              <w:jc w:val="center"/>
              <w:rPr>
                <w:rFonts w:cs="Arial"/>
                <w:szCs w:val="24"/>
              </w:rPr>
            </w:pPr>
            <w:r>
              <w:rPr>
                <w:rFonts w:cs="Arial"/>
                <w:szCs w:val="24"/>
              </w:rPr>
              <w:t>.28</w:t>
            </w:r>
          </w:p>
        </w:tc>
        <w:tc>
          <w:tcPr>
            <w:tcW w:w="437" w:type="pct"/>
            <w:tcBorders>
              <w:top w:val="nil"/>
              <w:left w:val="nil"/>
              <w:bottom w:val="nil"/>
              <w:right w:val="single" w:sz="4" w:space="0" w:color="auto"/>
            </w:tcBorders>
            <w:vAlign w:val="center"/>
          </w:tcPr>
          <w:p w14:paraId="29F2CBDF" w14:textId="77777777" w:rsidR="00023489" w:rsidRDefault="00023489" w:rsidP="00023489">
            <w:pPr>
              <w:tabs>
                <w:tab w:val="left" w:pos="1134"/>
              </w:tabs>
              <w:jc w:val="center"/>
              <w:rPr>
                <w:rFonts w:cs="Arial"/>
                <w:szCs w:val="24"/>
              </w:rPr>
            </w:pPr>
            <w:r>
              <w:rPr>
                <w:rFonts w:cs="Arial"/>
                <w:szCs w:val="24"/>
              </w:rPr>
              <w:t>.78</w:t>
            </w:r>
          </w:p>
        </w:tc>
        <w:tc>
          <w:tcPr>
            <w:tcW w:w="397" w:type="pct"/>
            <w:tcBorders>
              <w:top w:val="nil"/>
              <w:left w:val="single" w:sz="4" w:space="0" w:color="auto"/>
              <w:bottom w:val="nil"/>
              <w:right w:val="nil"/>
            </w:tcBorders>
            <w:vAlign w:val="center"/>
          </w:tcPr>
          <w:p w14:paraId="6283E4FA" w14:textId="77777777" w:rsidR="00023489" w:rsidRDefault="00023489" w:rsidP="00023489">
            <w:pPr>
              <w:tabs>
                <w:tab w:val="left" w:pos="1134"/>
              </w:tabs>
              <w:jc w:val="center"/>
              <w:rPr>
                <w:rFonts w:cs="Arial"/>
                <w:szCs w:val="24"/>
              </w:rPr>
            </w:pPr>
            <w:r>
              <w:rPr>
                <w:rFonts w:cs="Arial"/>
                <w:szCs w:val="24"/>
              </w:rPr>
              <w:t>.003</w:t>
            </w:r>
          </w:p>
        </w:tc>
        <w:tc>
          <w:tcPr>
            <w:tcW w:w="335" w:type="pct"/>
            <w:tcBorders>
              <w:top w:val="nil"/>
              <w:left w:val="nil"/>
              <w:bottom w:val="nil"/>
              <w:right w:val="nil"/>
            </w:tcBorders>
            <w:vAlign w:val="center"/>
          </w:tcPr>
          <w:p w14:paraId="78F44925" w14:textId="77777777" w:rsidR="00023489" w:rsidRDefault="00023489" w:rsidP="00023489">
            <w:pPr>
              <w:tabs>
                <w:tab w:val="left" w:pos="1134"/>
              </w:tabs>
              <w:jc w:val="center"/>
              <w:rPr>
                <w:rFonts w:cs="Arial"/>
                <w:szCs w:val="24"/>
              </w:rPr>
            </w:pPr>
            <w:r>
              <w:rPr>
                <w:rFonts w:cs="Arial"/>
                <w:szCs w:val="24"/>
              </w:rPr>
              <w:t>.12</w:t>
            </w:r>
          </w:p>
        </w:tc>
        <w:tc>
          <w:tcPr>
            <w:tcW w:w="397" w:type="pct"/>
            <w:tcBorders>
              <w:top w:val="nil"/>
              <w:left w:val="nil"/>
              <w:bottom w:val="nil"/>
              <w:right w:val="nil"/>
            </w:tcBorders>
            <w:vAlign w:val="center"/>
          </w:tcPr>
          <w:p w14:paraId="4EA71A16" w14:textId="77777777" w:rsidR="00023489" w:rsidRDefault="00023489" w:rsidP="00023489">
            <w:pPr>
              <w:tabs>
                <w:tab w:val="left" w:pos="1134"/>
              </w:tabs>
              <w:jc w:val="center"/>
              <w:rPr>
                <w:rFonts w:cs="Arial"/>
                <w:szCs w:val="24"/>
              </w:rPr>
            </w:pPr>
            <w:r>
              <w:rPr>
                <w:rFonts w:cs="Arial"/>
                <w:szCs w:val="24"/>
              </w:rPr>
              <w:t>&lt;.001</w:t>
            </w:r>
          </w:p>
        </w:tc>
        <w:tc>
          <w:tcPr>
            <w:tcW w:w="433" w:type="pct"/>
            <w:tcBorders>
              <w:top w:val="nil"/>
              <w:left w:val="nil"/>
              <w:bottom w:val="nil"/>
              <w:right w:val="nil"/>
            </w:tcBorders>
            <w:vAlign w:val="center"/>
          </w:tcPr>
          <w:p w14:paraId="7BA08B64" w14:textId="77777777" w:rsidR="00023489" w:rsidRDefault="00023489" w:rsidP="00023489">
            <w:pPr>
              <w:tabs>
                <w:tab w:val="left" w:pos="1134"/>
              </w:tabs>
              <w:jc w:val="center"/>
              <w:rPr>
                <w:rFonts w:cs="Arial"/>
                <w:szCs w:val="24"/>
              </w:rPr>
            </w:pPr>
            <w:r>
              <w:rPr>
                <w:rFonts w:cs="Arial"/>
                <w:szCs w:val="24"/>
              </w:rPr>
              <w:t>.23</w:t>
            </w:r>
          </w:p>
        </w:tc>
        <w:tc>
          <w:tcPr>
            <w:tcW w:w="436" w:type="pct"/>
            <w:tcBorders>
              <w:top w:val="nil"/>
              <w:left w:val="nil"/>
              <w:bottom w:val="nil"/>
              <w:right w:val="nil"/>
            </w:tcBorders>
            <w:vAlign w:val="center"/>
          </w:tcPr>
          <w:p w14:paraId="59106D85" w14:textId="77777777" w:rsidR="00023489" w:rsidRDefault="00023489" w:rsidP="00023489">
            <w:pPr>
              <w:tabs>
                <w:tab w:val="left" w:pos="1134"/>
              </w:tabs>
              <w:jc w:val="center"/>
              <w:rPr>
                <w:rFonts w:cs="Arial"/>
                <w:szCs w:val="24"/>
              </w:rPr>
            </w:pPr>
            <w:r>
              <w:rPr>
                <w:rFonts w:cs="Arial"/>
                <w:szCs w:val="24"/>
              </w:rPr>
              <w:t>.78</w:t>
            </w:r>
          </w:p>
        </w:tc>
      </w:tr>
      <w:tr w:rsidR="00023489" w:rsidRPr="00EE1660" w14:paraId="0280F76E" w14:textId="77777777" w:rsidTr="00023489">
        <w:trPr>
          <w:trHeight w:val="729"/>
        </w:trPr>
        <w:tc>
          <w:tcPr>
            <w:tcW w:w="728" w:type="pct"/>
            <w:tcBorders>
              <w:top w:val="nil"/>
              <w:left w:val="nil"/>
              <w:bottom w:val="single" w:sz="4" w:space="0" w:color="auto"/>
              <w:right w:val="nil"/>
            </w:tcBorders>
            <w:vAlign w:val="center"/>
          </w:tcPr>
          <w:p w14:paraId="3401991A" w14:textId="77777777" w:rsidR="00023489" w:rsidRDefault="00023489" w:rsidP="00023489">
            <w:pPr>
              <w:tabs>
                <w:tab w:val="left" w:pos="1134"/>
              </w:tabs>
              <w:rPr>
                <w:rFonts w:cs="Arial"/>
                <w:b/>
                <w:bCs/>
                <w:szCs w:val="24"/>
              </w:rPr>
            </w:pPr>
            <w:r>
              <w:rPr>
                <w:rFonts w:cs="Arial"/>
                <w:b/>
                <w:bCs/>
                <w:szCs w:val="24"/>
              </w:rPr>
              <w:t>Diagnosis of epilepsy or DS</w:t>
            </w:r>
          </w:p>
        </w:tc>
        <w:tc>
          <w:tcPr>
            <w:tcW w:w="336" w:type="pct"/>
            <w:tcBorders>
              <w:top w:val="nil"/>
              <w:left w:val="nil"/>
              <w:bottom w:val="single" w:sz="4" w:space="0" w:color="auto"/>
              <w:right w:val="nil"/>
            </w:tcBorders>
            <w:vAlign w:val="center"/>
          </w:tcPr>
          <w:p w14:paraId="3C5B4F57" w14:textId="77777777" w:rsidR="00023489" w:rsidRDefault="00023489" w:rsidP="00023489">
            <w:pPr>
              <w:tabs>
                <w:tab w:val="left" w:pos="1134"/>
              </w:tabs>
              <w:jc w:val="center"/>
              <w:rPr>
                <w:rFonts w:cs="Arial"/>
                <w:szCs w:val="24"/>
              </w:rPr>
            </w:pPr>
            <w:r>
              <w:rPr>
                <w:rFonts w:cs="Arial"/>
                <w:szCs w:val="24"/>
              </w:rPr>
              <w:t>1.08</w:t>
            </w:r>
          </w:p>
        </w:tc>
        <w:tc>
          <w:tcPr>
            <w:tcW w:w="335" w:type="pct"/>
            <w:tcBorders>
              <w:top w:val="nil"/>
              <w:left w:val="nil"/>
              <w:bottom w:val="single" w:sz="4" w:space="0" w:color="auto"/>
              <w:right w:val="nil"/>
            </w:tcBorders>
            <w:vAlign w:val="center"/>
          </w:tcPr>
          <w:p w14:paraId="15FF8EBB" w14:textId="77777777" w:rsidR="00023489" w:rsidRDefault="00023489" w:rsidP="00023489">
            <w:pPr>
              <w:tabs>
                <w:tab w:val="left" w:pos="1134"/>
              </w:tabs>
              <w:jc w:val="center"/>
              <w:rPr>
                <w:rFonts w:cs="Arial"/>
                <w:szCs w:val="24"/>
              </w:rPr>
            </w:pPr>
            <w:r>
              <w:rPr>
                <w:rFonts w:cs="Arial"/>
                <w:szCs w:val="24"/>
              </w:rPr>
              <w:t>1.10</w:t>
            </w:r>
          </w:p>
        </w:tc>
        <w:tc>
          <w:tcPr>
            <w:tcW w:w="335" w:type="pct"/>
            <w:tcBorders>
              <w:top w:val="nil"/>
              <w:left w:val="nil"/>
              <w:bottom w:val="single" w:sz="4" w:space="0" w:color="auto"/>
              <w:right w:val="nil"/>
            </w:tcBorders>
            <w:vAlign w:val="center"/>
          </w:tcPr>
          <w:p w14:paraId="08135269" w14:textId="77777777" w:rsidR="00023489" w:rsidRDefault="00023489" w:rsidP="00023489">
            <w:pPr>
              <w:tabs>
                <w:tab w:val="left" w:pos="1134"/>
              </w:tabs>
              <w:jc w:val="center"/>
              <w:rPr>
                <w:rFonts w:cs="Arial"/>
                <w:szCs w:val="24"/>
              </w:rPr>
            </w:pPr>
            <w:r>
              <w:rPr>
                <w:rFonts w:cs="Arial"/>
                <w:szCs w:val="24"/>
              </w:rPr>
              <w:t>.08</w:t>
            </w:r>
          </w:p>
        </w:tc>
        <w:tc>
          <w:tcPr>
            <w:tcW w:w="395" w:type="pct"/>
            <w:tcBorders>
              <w:top w:val="nil"/>
              <w:left w:val="nil"/>
              <w:bottom w:val="single" w:sz="4" w:space="0" w:color="auto"/>
              <w:right w:val="nil"/>
            </w:tcBorders>
            <w:vAlign w:val="center"/>
          </w:tcPr>
          <w:p w14:paraId="684D3BA4" w14:textId="77777777" w:rsidR="00023489" w:rsidRDefault="00023489" w:rsidP="00023489">
            <w:pPr>
              <w:tabs>
                <w:tab w:val="left" w:pos="1134"/>
              </w:tabs>
              <w:jc w:val="center"/>
              <w:rPr>
                <w:rFonts w:cs="Arial"/>
                <w:szCs w:val="24"/>
              </w:rPr>
            </w:pPr>
            <w:r>
              <w:rPr>
                <w:rFonts w:cs="Arial"/>
                <w:szCs w:val="24"/>
              </w:rPr>
              <w:t>.33</w:t>
            </w:r>
          </w:p>
        </w:tc>
        <w:tc>
          <w:tcPr>
            <w:tcW w:w="432" w:type="pct"/>
            <w:tcBorders>
              <w:top w:val="nil"/>
              <w:left w:val="nil"/>
              <w:bottom w:val="single" w:sz="4" w:space="0" w:color="auto"/>
              <w:right w:val="nil"/>
            </w:tcBorders>
            <w:vAlign w:val="center"/>
          </w:tcPr>
          <w:p w14:paraId="75F5F6F0" w14:textId="77777777" w:rsidR="00023489" w:rsidRDefault="00023489" w:rsidP="00023489">
            <w:pPr>
              <w:tabs>
                <w:tab w:val="left" w:pos="1134"/>
              </w:tabs>
              <w:jc w:val="center"/>
              <w:rPr>
                <w:rFonts w:cs="Arial"/>
                <w:szCs w:val="24"/>
              </w:rPr>
            </w:pPr>
            <w:r>
              <w:rPr>
                <w:rFonts w:cs="Arial"/>
                <w:szCs w:val="24"/>
              </w:rPr>
              <w:t>-1.10</w:t>
            </w:r>
          </w:p>
        </w:tc>
        <w:tc>
          <w:tcPr>
            <w:tcW w:w="437" w:type="pct"/>
            <w:tcBorders>
              <w:top w:val="nil"/>
              <w:left w:val="nil"/>
              <w:bottom w:val="single" w:sz="4" w:space="0" w:color="auto"/>
              <w:right w:val="single" w:sz="4" w:space="0" w:color="auto"/>
            </w:tcBorders>
            <w:vAlign w:val="center"/>
          </w:tcPr>
          <w:p w14:paraId="780F58C2" w14:textId="77777777" w:rsidR="00023489" w:rsidRDefault="00023489" w:rsidP="00023489">
            <w:pPr>
              <w:tabs>
                <w:tab w:val="left" w:pos="1134"/>
              </w:tabs>
              <w:jc w:val="center"/>
              <w:rPr>
                <w:rFonts w:cs="Arial"/>
                <w:szCs w:val="24"/>
              </w:rPr>
            </w:pPr>
            <w:r>
              <w:rPr>
                <w:rFonts w:cs="Arial"/>
                <w:szCs w:val="24"/>
              </w:rPr>
              <w:t>3.26</w:t>
            </w:r>
          </w:p>
        </w:tc>
        <w:tc>
          <w:tcPr>
            <w:tcW w:w="397" w:type="pct"/>
            <w:tcBorders>
              <w:top w:val="nil"/>
              <w:left w:val="single" w:sz="4" w:space="0" w:color="auto"/>
              <w:bottom w:val="single" w:sz="4" w:space="0" w:color="auto"/>
              <w:right w:val="nil"/>
            </w:tcBorders>
            <w:vAlign w:val="center"/>
          </w:tcPr>
          <w:p w14:paraId="7FCD092D" w14:textId="77777777" w:rsidR="00023489" w:rsidRDefault="00023489" w:rsidP="00023489">
            <w:pPr>
              <w:tabs>
                <w:tab w:val="left" w:pos="1134"/>
              </w:tabs>
              <w:jc w:val="center"/>
              <w:rPr>
                <w:rFonts w:cs="Arial"/>
                <w:szCs w:val="24"/>
              </w:rPr>
            </w:pPr>
            <w:r>
              <w:rPr>
                <w:rFonts w:cs="Arial"/>
                <w:szCs w:val="24"/>
              </w:rPr>
              <w:t>8.06</w:t>
            </w:r>
          </w:p>
        </w:tc>
        <w:tc>
          <w:tcPr>
            <w:tcW w:w="335" w:type="pct"/>
            <w:tcBorders>
              <w:top w:val="nil"/>
              <w:left w:val="nil"/>
              <w:bottom w:val="single" w:sz="4" w:space="0" w:color="auto"/>
              <w:right w:val="nil"/>
            </w:tcBorders>
            <w:vAlign w:val="center"/>
          </w:tcPr>
          <w:p w14:paraId="77E6098B" w14:textId="77777777" w:rsidR="00023489" w:rsidRDefault="00023489" w:rsidP="00023489">
            <w:pPr>
              <w:tabs>
                <w:tab w:val="left" w:pos="1134"/>
              </w:tabs>
              <w:jc w:val="center"/>
              <w:rPr>
                <w:rFonts w:cs="Arial"/>
                <w:szCs w:val="24"/>
              </w:rPr>
            </w:pPr>
            <w:r>
              <w:rPr>
                <w:rFonts w:cs="Arial"/>
                <w:szCs w:val="24"/>
              </w:rPr>
              <w:t>1.00</w:t>
            </w:r>
          </w:p>
        </w:tc>
        <w:tc>
          <w:tcPr>
            <w:tcW w:w="397" w:type="pct"/>
            <w:tcBorders>
              <w:top w:val="nil"/>
              <w:left w:val="nil"/>
              <w:bottom w:val="single" w:sz="4" w:space="0" w:color="auto"/>
              <w:right w:val="nil"/>
            </w:tcBorders>
            <w:vAlign w:val="center"/>
          </w:tcPr>
          <w:p w14:paraId="4F08FF9F" w14:textId="77777777" w:rsidR="00023489" w:rsidRDefault="00023489" w:rsidP="00023489">
            <w:pPr>
              <w:tabs>
                <w:tab w:val="left" w:pos="1134"/>
              </w:tabs>
              <w:jc w:val="center"/>
              <w:rPr>
                <w:rFonts w:cs="Arial"/>
                <w:szCs w:val="24"/>
              </w:rPr>
            </w:pPr>
            <w:r>
              <w:rPr>
                <w:rFonts w:cs="Arial"/>
                <w:szCs w:val="24"/>
              </w:rPr>
              <w:t>.28</w:t>
            </w:r>
          </w:p>
        </w:tc>
        <w:tc>
          <w:tcPr>
            <w:tcW w:w="433" w:type="pct"/>
            <w:tcBorders>
              <w:top w:val="nil"/>
              <w:left w:val="nil"/>
              <w:bottom w:val="single" w:sz="4" w:space="0" w:color="auto"/>
              <w:right w:val="nil"/>
            </w:tcBorders>
            <w:vAlign w:val="center"/>
          </w:tcPr>
          <w:p w14:paraId="274366C8" w14:textId="77777777" w:rsidR="00023489" w:rsidRDefault="00023489" w:rsidP="00023489">
            <w:pPr>
              <w:tabs>
                <w:tab w:val="left" w:pos="1134"/>
              </w:tabs>
              <w:jc w:val="center"/>
              <w:rPr>
                <w:rFonts w:cs="Arial"/>
                <w:szCs w:val="24"/>
              </w:rPr>
            </w:pPr>
            <w:r>
              <w:rPr>
                <w:rFonts w:cs="Arial"/>
                <w:szCs w:val="24"/>
              </w:rPr>
              <w:t>-.84</w:t>
            </w:r>
          </w:p>
        </w:tc>
        <w:tc>
          <w:tcPr>
            <w:tcW w:w="436" w:type="pct"/>
            <w:tcBorders>
              <w:top w:val="nil"/>
              <w:left w:val="nil"/>
              <w:bottom w:val="single" w:sz="4" w:space="0" w:color="auto"/>
              <w:right w:val="nil"/>
            </w:tcBorders>
            <w:vAlign w:val="center"/>
          </w:tcPr>
          <w:p w14:paraId="5FCACF56" w14:textId="77777777" w:rsidR="00023489" w:rsidRDefault="00023489" w:rsidP="00023489">
            <w:pPr>
              <w:tabs>
                <w:tab w:val="left" w:pos="1134"/>
              </w:tabs>
              <w:jc w:val="center"/>
              <w:rPr>
                <w:rFonts w:cs="Arial"/>
                <w:szCs w:val="24"/>
              </w:rPr>
            </w:pPr>
            <w:r>
              <w:rPr>
                <w:rFonts w:cs="Arial"/>
                <w:szCs w:val="24"/>
              </w:rPr>
              <w:t>3.07</w:t>
            </w:r>
          </w:p>
        </w:tc>
      </w:tr>
    </w:tbl>
    <w:p w14:paraId="28A0DAA1" w14:textId="77777777" w:rsidR="00023489" w:rsidRDefault="00023489" w:rsidP="00023489">
      <w:pPr>
        <w:pStyle w:val="NoSpacing"/>
      </w:pPr>
      <w:r>
        <w:rPr>
          <w:i/>
        </w:rPr>
        <w:t xml:space="preserve">Note. </w:t>
      </w:r>
      <w:r>
        <w:t>R</w:t>
      </w:r>
      <w:r>
        <w:rPr>
          <w:vertAlign w:val="superscript"/>
        </w:rPr>
        <w:t>2</w:t>
      </w:r>
      <w:r>
        <w:t xml:space="preserve"> = 42%; Adjusted R</w:t>
      </w:r>
      <w:r>
        <w:rPr>
          <w:vertAlign w:val="superscript"/>
        </w:rPr>
        <w:t xml:space="preserve">2 </w:t>
      </w:r>
      <w:r>
        <w:t xml:space="preserve">= 38.6%. </w:t>
      </w:r>
      <w:r w:rsidRPr="00EE1660">
        <w:t>Unstandardised coefficient, standard error, standardised coefficient, significance values and confidence intervals are presented, along with the bootstrapped comparison including bias</w:t>
      </w:r>
      <w:r>
        <w:t>-</w:t>
      </w:r>
      <w:r w:rsidRPr="00EE1660">
        <w:t>corrected accelerated confidence intervals. Bootstrap results are based on 1000 bootstrapped samples.</w:t>
      </w:r>
    </w:p>
    <w:p w14:paraId="3DF017A6" w14:textId="77777777" w:rsidR="00023489" w:rsidRDefault="00023489" w:rsidP="00023489">
      <w:pPr>
        <w:pStyle w:val="NoSpacing"/>
      </w:pPr>
    </w:p>
    <w:p w14:paraId="1E55AD4E" w14:textId="74889244" w:rsidR="00023489" w:rsidRPr="00C15809" w:rsidRDefault="00023489" w:rsidP="00023489">
      <w:pPr>
        <w:pStyle w:val="NoSpacing"/>
      </w:pPr>
    </w:p>
    <w:p w14:paraId="57E63DB6" w14:textId="6E2BA916" w:rsidR="00023489" w:rsidRPr="00714ADB" w:rsidRDefault="00023489" w:rsidP="00A53770">
      <w:pPr>
        <w:spacing w:line="360" w:lineRule="auto"/>
        <w:ind w:firstLine="720"/>
        <w:jc w:val="both"/>
      </w:pPr>
      <w:r>
        <w:t>To improve the precision of the model, the analysis was re</w:t>
      </w:r>
      <w:r w:rsidR="00D45A18">
        <w:t>-</w:t>
      </w:r>
      <w:r>
        <w:t xml:space="preserve">run with only the significant predictor (Table 7). The single predictor model was significant F(1,88) = 60.67, </w:t>
      </w:r>
      <w:r>
        <w:rPr>
          <w:i/>
        </w:rPr>
        <w:t>p</w:t>
      </w:r>
      <w:r>
        <w:t xml:space="preserve"> &lt; .001), explaining 40.8% of the variance in somatisation (40.1% when adjusted). Depression (</w:t>
      </w:r>
      <w:r w:rsidRPr="00B07AE2">
        <w:t>β</w:t>
      </w:r>
      <w:r>
        <w:t xml:space="preserve"> = .64, </w:t>
      </w:r>
      <w:r>
        <w:rPr>
          <w:i/>
        </w:rPr>
        <w:t>p</w:t>
      </w:r>
      <w:r>
        <w:t xml:space="preserve"> &lt;.001) remained </w:t>
      </w:r>
      <w:r>
        <w:lastRenderedPageBreak/>
        <w:t>a significant predictor. The size and direction of the relationship suggested that for participants with seizure conditions, higher levels of depression predict higher levels of somatisation.</w:t>
      </w:r>
    </w:p>
    <w:p w14:paraId="36DA47AF" w14:textId="77777777" w:rsidR="00747028" w:rsidRDefault="00747028" w:rsidP="00436994">
      <w:pPr>
        <w:spacing w:line="360" w:lineRule="auto"/>
        <w:ind w:firstLine="720"/>
        <w:rPr>
          <w:b/>
        </w:rPr>
      </w:pPr>
    </w:p>
    <w:p w14:paraId="6EFCD2DF" w14:textId="4A3D0768" w:rsidR="00023489" w:rsidRDefault="00023489" w:rsidP="00A53770">
      <w:pPr>
        <w:pStyle w:val="Heading2"/>
      </w:pPr>
      <w:bookmarkStart w:id="161" w:name="_Toc133487836"/>
      <w:r w:rsidRPr="00C15809">
        <w:t xml:space="preserve">Table </w:t>
      </w:r>
      <w:r w:rsidR="00A53770">
        <w:t>7</w:t>
      </w:r>
      <w:bookmarkEnd w:id="161"/>
    </w:p>
    <w:p w14:paraId="7432AE18" w14:textId="77777777" w:rsidR="00023489" w:rsidRPr="00C15809" w:rsidRDefault="00023489" w:rsidP="00A53770">
      <w:pPr>
        <w:spacing w:line="360" w:lineRule="auto"/>
        <w:rPr>
          <w:i/>
        </w:rPr>
      </w:pPr>
      <w:r>
        <w:rPr>
          <w:i/>
        </w:rPr>
        <w:t>Multiple regression analysis of depression as a predictor of somatisation with and without bootstrapping (n = 90).</w:t>
      </w:r>
    </w:p>
    <w:tbl>
      <w:tblPr>
        <w:tblW w:w="5213" w:type="pct"/>
        <w:tblLook w:val="04A0" w:firstRow="1" w:lastRow="0" w:firstColumn="1" w:lastColumn="0" w:noHBand="0" w:noVBand="1"/>
      </w:tblPr>
      <w:tblGrid>
        <w:gridCol w:w="1371"/>
        <w:gridCol w:w="633"/>
        <w:gridCol w:w="632"/>
        <w:gridCol w:w="632"/>
        <w:gridCol w:w="745"/>
        <w:gridCol w:w="813"/>
        <w:gridCol w:w="823"/>
        <w:gridCol w:w="747"/>
        <w:gridCol w:w="632"/>
        <w:gridCol w:w="747"/>
        <w:gridCol w:w="815"/>
        <w:gridCol w:w="821"/>
      </w:tblGrid>
      <w:tr w:rsidR="00023489" w:rsidRPr="00EE1660" w14:paraId="4799DF70" w14:textId="77777777" w:rsidTr="00023489">
        <w:trPr>
          <w:trHeight w:val="704"/>
        </w:trPr>
        <w:tc>
          <w:tcPr>
            <w:tcW w:w="728" w:type="pct"/>
            <w:tcBorders>
              <w:top w:val="single" w:sz="4" w:space="0" w:color="auto"/>
              <w:left w:val="nil"/>
              <w:bottom w:val="nil"/>
              <w:right w:val="nil"/>
            </w:tcBorders>
            <w:vAlign w:val="center"/>
          </w:tcPr>
          <w:p w14:paraId="574DBCF0" w14:textId="77777777" w:rsidR="00023489" w:rsidRPr="00EE1660" w:rsidRDefault="00023489" w:rsidP="00023489">
            <w:pPr>
              <w:tabs>
                <w:tab w:val="left" w:pos="1134"/>
              </w:tabs>
              <w:jc w:val="center"/>
              <w:rPr>
                <w:rFonts w:cs="Arial"/>
                <w:szCs w:val="24"/>
              </w:rPr>
            </w:pPr>
          </w:p>
        </w:tc>
        <w:tc>
          <w:tcPr>
            <w:tcW w:w="2273" w:type="pct"/>
            <w:gridSpan w:val="6"/>
            <w:tcBorders>
              <w:top w:val="single" w:sz="4" w:space="0" w:color="auto"/>
              <w:left w:val="nil"/>
              <w:bottom w:val="single" w:sz="4" w:space="0" w:color="auto"/>
              <w:right w:val="single" w:sz="4" w:space="0" w:color="auto"/>
            </w:tcBorders>
            <w:vAlign w:val="center"/>
          </w:tcPr>
          <w:p w14:paraId="5C562485" w14:textId="77777777" w:rsidR="00023489" w:rsidRPr="00EE1660" w:rsidRDefault="00023489" w:rsidP="00023489">
            <w:pPr>
              <w:tabs>
                <w:tab w:val="left" w:pos="1134"/>
              </w:tabs>
              <w:jc w:val="center"/>
              <w:rPr>
                <w:rFonts w:cs="Arial"/>
                <w:b/>
                <w:bCs/>
                <w:szCs w:val="24"/>
              </w:rPr>
            </w:pPr>
            <w:r w:rsidRPr="00EE1660">
              <w:rPr>
                <w:rFonts w:cs="Arial"/>
                <w:b/>
                <w:bCs/>
                <w:szCs w:val="24"/>
              </w:rPr>
              <w:t>Multiple Regression</w:t>
            </w:r>
          </w:p>
        </w:tc>
        <w:tc>
          <w:tcPr>
            <w:tcW w:w="1999" w:type="pct"/>
            <w:gridSpan w:val="5"/>
            <w:tcBorders>
              <w:top w:val="single" w:sz="4" w:space="0" w:color="auto"/>
              <w:left w:val="single" w:sz="4" w:space="0" w:color="auto"/>
              <w:bottom w:val="single" w:sz="4" w:space="0" w:color="auto"/>
              <w:right w:val="nil"/>
            </w:tcBorders>
            <w:vAlign w:val="center"/>
          </w:tcPr>
          <w:p w14:paraId="6FC3DA48" w14:textId="77777777" w:rsidR="00023489" w:rsidRPr="00EE1660" w:rsidRDefault="00023489" w:rsidP="00023489">
            <w:pPr>
              <w:tabs>
                <w:tab w:val="left" w:pos="1134"/>
              </w:tabs>
              <w:jc w:val="center"/>
              <w:rPr>
                <w:rFonts w:cs="Arial"/>
                <w:b/>
                <w:bCs/>
                <w:szCs w:val="24"/>
              </w:rPr>
            </w:pPr>
            <w:r w:rsidRPr="00EE1660">
              <w:rPr>
                <w:rFonts w:cs="Arial"/>
                <w:b/>
                <w:bCs/>
                <w:szCs w:val="24"/>
              </w:rPr>
              <w:t>Bootstrapping</w:t>
            </w:r>
          </w:p>
        </w:tc>
      </w:tr>
      <w:tr w:rsidR="00023489" w:rsidRPr="00EE1660" w14:paraId="445470F8" w14:textId="77777777" w:rsidTr="00023489">
        <w:trPr>
          <w:trHeight w:val="704"/>
        </w:trPr>
        <w:tc>
          <w:tcPr>
            <w:tcW w:w="728" w:type="pct"/>
            <w:vMerge w:val="restart"/>
            <w:tcBorders>
              <w:top w:val="nil"/>
              <w:left w:val="nil"/>
              <w:bottom w:val="nil"/>
              <w:right w:val="nil"/>
            </w:tcBorders>
            <w:vAlign w:val="center"/>
          </w:tcPr>
          <w:p w14:paraId="751D9916" w14:textId="77777777" w:rsidR="00023489" w:rsidRPr="00EE1660" w:rsidRDefault="00023489" w:rsidP="00023489">
            <w:pPr>
              <w:tabs>
                <w:tab w:val="left" w:pos="1134"/>
              </w:tabs>
              <w:jc w:val="center"/>
              <w:rPr>
                <w:rFonts w:cs="Arial"/>
                <w:szCs w:val="24"/>
              </w:rPr>
            </w:pPr>
          </w:p>
        </w:tc>
        <w:tc>
          <w:tcPr>
            <w:tcW w:w="336" w:type="pct"/>
            <w:vMerge w:val="restart"/>
            <w:tcBorders>
              <w:top w:val="single" w:sz="4" w:space="0" w:color="auto"/>
              <w:left w:val="nil"/>
              <w:bottom w:val="nil"/>
              <w:right w:val="nil"/>
            </w:tcBorders>
            <w:vAlign w:val="center"/>
          </w:tcPr>
          <w:p w14:paraId="0B86D330" w14:textId="77777777" w:rsidR="00023489" w:rsidRPr="00EE1660" w:rsidRDefault="00023489" w:rsidP="00023489">
            <w:pPr>
              <w:tabs>
                <w:tab w:val="left" w:pos="1134"/>
              </w:tabs>
              <w:jc w:val="center"/>
              <w:rPr>
                <w:rFonts w:cs="Arial"/>
                <w:b/>
                <w:bCs/>
                <w:szCs w:val="24"/>
              </w:rPr>
            </w:pPr>
            <w:r w:rsidRPr="00EE1660">
              <w:rPr>
                <w:rFonts w:cs="Arial"/>
                <w:b/>
                <w:bCs/>
                <w:szCs w:val="24"/>
              </w:rPr>
              <w:t>B</w:t>
            </w:r>
          </w:p>
        </w:tc>
        <w:tc>
          <w:tcPr>
            <w:tcW w:w="336" w:type="pct"/>
            <w:vMerge w:val="restart"/>
            <w:tcBorders>
              <w:top w:val="single" w:sz="4" w:space="0" w:color="auto"/>
              <w:left w:val="nil"/>
              <w:bottom w:val="nil"/>
              <w:right w:val="nil"/>
            </w:tcBorders>
            <w:vAlign w:val="center"/>
          </w:tcPr>
          <w:p w14:paraId="4E608505" w14:textId="77777777" w:rsidR="00023489" w:rsidRPr="00EE1660" w:rsidRDefault="00023489" w:rsidP="00023489">
            <w:pPr>
              <w:tabs>
                <w:tab w:val="left" w:pos="1134"/>
              </w:tabs>
              <w:jc w:val="center"/>
              <w:rPr>
                <w:rFonts w:cs="Arial"/>
                <w:b/>
                <w:bCs/>
                <w:szCs w:val="24"/>
              </w:rPr>
            </w:pPr>
            <w:r w:rsidRPr="00EE1660">
              <w:rPr>
                <w:rFonts w:cs="Arial"/>
                <w:b/>
                <w:bCs/>
                <w:szCs w:val="24"/>
              </w:rPr>
              <w:t>SE B</w:t>
            </w:r>
          </w:p>
        </w:tc>
        <w:tc>
          <w:tcPr>
            <w:tcW w:w="336" w:type="pct"/>
            <w:vMerge w:val="restart"/>
            <w:tcBorders>
              <w:top w:val="single" w:sz="4" w:space="0" w:color="auto"/>
              <w:left w:val="nil"/>
              <w:bottom w:val="nil"/>
              <w:right w:val="nil"/>
            </w:tcBorders>
            <w:vAlign w:val="center"/>
          </w:tcPr>
          <w:p w14:paraId="67DBED93" w14:textId="77777777" w:rsidR="00023489" w:rsidRPr="00EE1660" w:rsidRDefault="00023489" w:rsidP="00023489">
            <w:pPr>
              <w:tabs>
                <w:tab w:val="left" w:pos="1134"/>
              </w:tabs>
              <w:jc w:val="center"/>
              <w:rPr>
                <w:rFonts w:cs="Arial"/>
                <w:b/>
                <w:bCs/>
                <w:szCs w:val="24"/>
              </w:rPr>
            </w:pPr>
            <w:r w:rsidRPr="00EE1660">
              <w:rPr>
                <w:rFonts w:cs="Arial"/>
                <w:b/>
                <w:bCs/>
                <w:szCs w:val="24"/>
                <w:lang w:val="el-GR"/>
              </w:rPr>
              <w:t>β</w:t>
            </w:r>
          </w:p>
        </w:tc>
        <w:tc>
          <w:tcPr>
            <w:tcW w:w="396" w:type="pct"/>
            <w:vMerge w:val="restart"/>
            <w:tcBorders>
              <w:top w:val="single" w:sz="4" w:space="0" w:color="auto"/>
              <w:left w:val="nil"/>
              <w:bottom w:val="nil"/>
              <w:right w:val="nil"/>
            </w:tcBorders>
            <w:vAlign w:val="center"/>
          </w:tcPr>
          <w:p w14:paraId="7B361BA8" w14:textId="77777777" w:rsidR="00023489" w:rsidRPr="00EE1660" w:rsidRDefault="00023489" w:rsidP="00023489">
            <w:pPr>
              <w:tabs>
                <w:tab w:val="left" w:pos="1134"/>
              </w:tabs>
              <w:jc w:val="center"/>
              <w:rPr>
                <w:rFonts w:cs="Arial"/>
                <w:b/>
                <w:bCs/>
                <w:szCs w:val="24"/>
              </w:rPr>
            </w:pPr>
            <w:r w:rsidRPr="00EE1660">
              <w:rPr>
                <w:rFonts w:cs="Arial"/>
                <w:b/>
                <w:bCs/>
                <w:szCs w:val="24"/>
              </w:rPr>
              <w:t>Sig.</w:t>
            </w:r>
          </w:p>
        </w:tc>
        <w:tc>
          <w:tcPr>
            <w:tcW w:w="868" w:type="pct"/>
            <w:gridSpan w:val="2"/>
            <w:tcBorders>
              <w:top w:val="single" w:sz="4" w:space="0" w:color="auto"/>
              <w:left w:val="nil"/>
              <w:bottom w:val="single" w:sz="4" w:space="0" w:color="auto"/>
              <w:right w:val="single" w:sz="4" w:space="0" w:color="auto"/>
            </w:tcBorders>
            <w:vAlign w:val="center"/>
          </w:tcPr>
          <w:p w14:paraId="65CFF484" w14:textId="77777777" w:rsidR="00023489" w:rsidRPr="00EE1660" w:rsidRDefault="00023489" w:rsidP="00023489">
            <w:pPr>
              <w:tabs>
                <w:tab w:val="left" w:pos="1134"/>
              </w:tabs>
              <w:jc w:val="center"/>
              <w:rPr>
                <w:rFonts w:cs="Arial"/>
                <w:b/>
                <w:bCs/>
                <w:szCs w:val="24"/>
              </w:rPr>
            </w:pPr>
            <w:r w:rsidRPr="00EE1660">
              <w:rPr>
                <w:rFonts w:cs="Arial"/>
                <w:b/>
                <w:bCs/>
                <w:szCs w:val="24"/>
              </w:rPr>
              <w:t>95% CI</w:t>
            </w:r>
          </w:p>
        </w:tc>
        <w:tc>
          <w:tcPr>
            <w:tcW w:w="397" w:type="pct"/>
            <w:vMerge w:val="restart"/>
            <w:tcBorders>
              <w:top w:val="single" w:sz="4" w:space="0" w:color="auto"/>
              <w:left w:val="single" w:sz="4" w:space="0" w:color="auto"/>
              <w:bottom w:val="nil"/>
              <w:right w:val="nil"/>
            </w:tcBorders>
            <w:vAlign w:val="center"/>
          </w:tcPr>
          <w:p w14:paraId="75E448C9" w14:textId="77777777" w:rsidR="00023489" w:rsidRPr="00EE1660" w:rsidRDefault="00023489" w:rsidP="00023489">
            <w:pPr>
              <w:tabs>
                <w:tab w:val="left" w:pos="1134"/>
              </w:tabs>
              <w:jc w:val="center"/>
              <w:rPr>
                <w:rFonts w:cs="Arial"/>
                <w:b/>
                <w:bCs/>
                <w:szCs w:val="24"/>
              </w:rPr>
            </w:pPr>
            <w:r w:rsidRPr="00EE1660">
              <w:rPr>
                <w:rFonts w:cs="Arial"/>
                <w:b/>
                <w:bCs/>
                <w:szCs w:val="24"/>
              </w:rPr>
              <w:t>Bias</w:t>
            </w:r>
          </w:p>
        </w:tc>
        <w:tc>
          <w:tcPr>
            <w:tcW w:w="336" w:type="pct"/>
            <w:vMerge w:val="restart"/>
            <w:tcBorders>
              <w:top w:val="single" w:sz="4" w:space="0" w:color="auto"/>
              <w:left w:val="nil"/>
              <w:bottom w:val="nil"/>
              <w:right w:val="nil"/>
            </w:tcBorders>
            <w:vAlign w:val="center"/>
          </w:tcPr>
          <w:p w14:paraId="51C9493F" w14:textId="77777777" w:rsidR="00023489" w:rsidRPr="00EE1660" w:rsidRDefault="00023489" w:rsidP="00023489">
            <w:pPr>
              <w:tabs>
                <w:tab w:val="left" w:pos="1134"/>
              </w:tabs>
              <w:jc w:val="center"/>
              <w:rPr>
                <w:rFonts w:cs="Arial"/>
                <w:b/>
                <w:bCs/>
                <w:szCs w:val="24"/>
              </w:rPr>
            </w:pPr>
            <w:r w:rsidRPr="00EE1660">
              <w:rPr>
                <w:rFonts w:cs="Arial"/>
                <w:b/>
                <w:bCs/>
                <w:szCs w:val="24"/>
              </w:rPr>
              <w:t>SE B</w:t>
            </w:r>
          </w:p>
        </w:tc>
        <w:tc>
          <w:tcPr>
            <w:tcW w:w="397" w:type="pct"/>
            <w:vMerge w:val="restart"/>
            <w:tcBorders>
              <w:top w:val="single" w:sz="4" w:space="0" w:color="auto"/>
              <w:left w:val="nil"/>
              <w:bottom w:val="nil"/>
              <w:right w:val="nil"/>
            </w:tcBorders>
            <w:vAlign w:val="center"/>
          </w:tcPr>
          <w:p w14:paraId="320BC40A" w14:textId="77777777" w:rsidR="00023489" w:rsidRPr="00EE1660" w:rsidRDefault="00023489" w:rsidP="00023489">
            <w:pPr>
              <w:tabs>
                <w:tab w:val="left" w:pos="1134"/>
              </w:tabs>
              <w:jc w:val="center"/>
              <w:rPr>
                <w:rFonts w:cs="Arial"/>
                <w:b/>
                <w:bCs/>
                <w:szCs w:val="24"/>
              </w:rPr>
            </w:pPr>
            <w:r w:rsidRPr="00EE1660">
              <w:rPr>
                <w:rFonts w:cs="Arial"/>
                <w:b/>
                <w:bCs/>
                <w:szCs w:val="24"/>
              </w:rPr>
              <w:t>Sig.</w:t>
            </w:r>
          </w:p>
        </w:tc>
        <w:tc>
          <w:tcPr>
            <w:tcW w:w="868" w:type="pct"/>
            <w:gridSpan w:val="2"/>
            <w:tcBorders>
              <w:top w:val="single" w:sz="4" w:space="0" w:color="auto"/>
              <w:left w:val="nil"/>
              <w:bottom w:val="single" w:sz="4" w:space="0" w:color="auto"/>
              <w:right w:val="nil"/>
            </w:tcBorders>
            <w:vAlign w:val="center"/>
          </w:tcPr>
          <w:p w14:paraId="086C786C" w14:textId="77777777" w:rsidR="00023489" w:rsidRPr="00EE1660" w:rsidRDefault="00023489" w:rsidP="00023489">
            <w:pPr>
              <w:tabs>
                <w:tab w:val="left" w:pos="1134"/>
              </w:tabs>
              <w:jc w:val="center"/>
              <w:rPr>
                <w:rFonts w:cs="Arial"/>
                <w:b/>
                <w:bCs/>
                <w:szCs w:val="24"/>
              </w:rPr>
            </w:pPr>
            <w:r w:rsidRPr="00EE1660">
              <w:rPr>
                <w:rFonts w:cs="Arial"/>
                <w:b/>
                <w:bCs/>
                <w:szCs w:val="24"/>
              </w:rPr>
              <w:t>95% BCa CI</w:t>
            </w:r>
          </w:p>
        </w:tc>
      </w:tr>
      <w:tr w:rsidR="00023489" w:rsidRPr="00EE1660" w14:paraId="083CCC5F" w14:textId="77777777" w:rsidTr="00023489">
        <w:trPr>
          <w:trHeight w:val="704"/>
        </w:trPr>
        <w:tc>
          <w:tcPr>
            <w:tcW w:w="728" w:type="pct"/>
            <w:vMerge/>
            <w:tcBorders>
              <w:top w:val="nil"/>
              <w:left w:val="nil"/>
              <w:bottom w:val="single" w:sz="4" w:space="0" w:color="auto"/>
              <w:right w:val="nil"/>
            </w:tcBorders>
            <w:vAlign w:val="center"/>
          </w:tcPr>
          <w:p w14:paraId="767EBA99" w14:textId="77777777" w:rsidR="00023489" w:rsidRPr="00EE1660" w:rsidRDefault="00023489" w:rsidP="00023489">
            <w:pPr>
              <w:tabs>
                <w:tab w:val="left" w:pos="1134"/>
              </w:tabs>
              <w:jc w:val="center"/>
              <w:rPr>
                <w:rFonts w:cs="Arial"/>
                <w:szCs w:val="24"/>
              </w:rPr>
            </w:pPr>
          </w:p>
        </w:tc>
        <w:tc>
          <w:tcPr>
            <w:tcW w:w="336" w:type="pct"/>
            <w:vMerge/>
            <w:tcBorders>
              <w:top w:val="nil"/>
              <w:left w:val="nil"/>
              <w:bottom w:val="single" w:sz="4" w:space="0" w:color="auto"/>
              <w:right w:val="nil"/>
            </w:tcBorders>
            <w:vAlign w:val="center"/>
          </w:tcPr>
          <w:p w14:paraId="76C97DFC" w14:textId="77777777" w:rsidR="00023489" w:rsidRPr="00EE1660" w:rsidRDefault="00023489" w:rsidP="00023489">
            <w:pPr>
              <w:tabs>
                <w:tab w:val="left" w:pos="1134"/>
              </w:tabs>
              <w:jc w:val="center"/>
              <w:rPr>
                <w:rFonts w:cs="Arial"/>
                <w:b/>
                <w:bCs/>
                <w:szCs w:val="24"/>
              </w:rPr>
            </w:pPr>
          </w:p>
        </w:tc>
        <w:tc>
          <w:tcPr>
            <w:tcW w:w="336" w:type="pct"/>
            <w:vMerge/>
            <w:tcBorders>
              <w:top w:val="nil"/>
              <w:left w:val="nil"/>
              <w:bottom w:val="single" w:sz="4" w:space="0" w:color="auto"/>
              <w:right w:val="nil"/>
            </w:tcBorders>
            <w:vAlign w:val="center"/>
          </w:tcPr>
          <w:p w14:paraId="2AF316DF" w14:textId="77777777" w:rsidR="00023489" w:rsidRPr="00EE1660" w:rsidRDefault="00023489" w:rsidP="00023489">
            <w:pPr>
              <w:tabs>
                <w:tab w:val="left" w:pos="1134"/>
              </w:tabs>
              <w:jc w:val="center"/>
              <w:rPr>
                <w:rFonts w:cs="Arial"/>
                <w:b/>
                <w:bCs/>
                <w:szCs w:val="24"/>
              </w:rPr>
            </w:pPr>
          </w:p>
        </w:tc>
        <w:tc>
          <w:tcPr>
            <w:tcW w:w="336" w:type="pct"/>
            <w:vMerge/>
            <w:tcBorders>
              <w:top w:val="nil"/>
              <w:left w:val="nil"/>
              <w:bottom w:val="single" w:sz="4" w:space="0" w:color="auto"/>
              <w:right w:val="nil"/>
            </w:tcBorders>
            <w:vAlign w:val="center"/>
          </w:tcPr>
          <w:p w14:paraId="4AC13942" w14:textId="77777777" w:rsidR="00023489" w:rsidRPr="00EE1660" w:rsidRDefault="00023489" w:rsidP="00023489">
            <w:pPr>
              <w:tabs>
                <w:tab w:val="left" w:pos="1134"/>
              </w:tabs>
              <w:jc w:val="center"/>
              <w:rPr>
                <w:rFonts w:cs="Arial"/>
                <w:b/>
                <w:bCs/>
                <w:szCs w:val="24"/>
              </w:rPr>
            </w:pPr>
          </w:p>
        </w:tc>
        <w:tc>
          <w:tcPr>
            <w:tcW w:w="396" w:type="pct"/>
            <w:vMerge/>
            <w:tcBorders>
              <w:top w:val="nil"/>
              <w:left w:val="nil"/>
              <w:bottom w:val="single" w:sz="4" w:space="0" w:color="auto"/>
              <w:right w:val="nil"/>
            </w:tcBorders>
            <w:vAlign w:val="center"/>
          </w:tcPr>
          <w:p w14:paraId="71BE876B" w14:textId="77777777" w:rsidR="00023489" w:rsidRPr="00EE1660" w:rsidRDefault="00023489" w:rsidP="00023489">
            <w:pPr>
              <w:tabs>
                <w:tab w:val="left" w:pos="1134"/>
              </w:tabs>
              <w:jc w:val="center"/>
              <w:rPr>
                <w:rFonts w:cs="Arial"/>
                <w:b/>
                <w:bCs/>
                <w:szCs w:val="24"/>
              </w:rPr>
            </w:pPr>
          </w:p>
        </w:tc>
        <w:tc>
          <w:tcPr>
            <w:tcW w:w="432" w:type="pct"/>
            <w:tcBorders>
              <w:top w:val="single" w:sz="4" w:space="0" w:color="auto"/>
              <w:left w:val="nil"/>
              <w:bottom w:val="single" w:sz="4" w:space="0" w:color="auto"/>
              <w:right w:val="nil"/>
            </w:tcBorders>
            <w:vAlign w:val="center"/>
          </w:tcPr>
          <w:p w14:paraId="355E0A09" w14:textId="77777777" w:rsidR="00023489" w:rsidRPr="00EE1660" w:rsidRDefault="00023489" w:rsidP="00023489">
            <w:pPr>
              <w:tabs>
                <w:tab w:val="left" w:pos="1134"/>
              </w:tabs>
              <w:jc w:val="center"/>
              <w:rPr>
                <w:rFonts w:cs="Arial"/>
                <w:b/>
                <w:bCs/>
                <w:szCs w:val="24"/>
              </w:rPr>
            </w:pPr>
            <w:r w:rsidRPr="00EE1660">
              <w:rPr>
                <w:rFonts w:cs="Arial"/>
                <w:b/>
                <w:bCs/>
                <w:szCs w:val="24"/>
              </w:rPr>
              <w:t>Lower</w:t>
            </w:r>
          </w:p>
        </w:tc>
        <w:tc>
          <w:tcPr>
            <w:tcW w:w="435" w:type="pct"/>
            <w:tcBorders>
              <w:top w:val="single" w:sz="4" w:space="0" w:color="auto"/>
              <w:left w:val="nil"/>
              <w:bottom w:val="single" w:sz="4" w:space="0" w:color="auto"/>
              <w:right w:val="single" w:sz="4" w:space="0" w:color="auto"/>
            </w:tcBorders>
            <w:vAlign w:val="center"/>
          </w:tcPr>
          <w:p w14:paraId="73B3BFFA" w14:textId="77777777" w:rsidR="00023489" w:rsidRPr="00EE1660" w:rsidRDefault="00023489" w:rsidP="00023489">
            <w:pPr>
              <w:tabs>
                <w:tab w:val="left" w:pos="1134"/>
              </w:tabs>
              <w:jc w:val="center"/>
              <w:rPr>
                <w:rFonts w:cs="Arial"/>
                <w:b/>
                <w:bCs/>
                <w:szCs w:val="24"/>
              </w:rPr>
            </w:pPr>
            <w:r w:rsidRPr="00EE1660">
              <w:rPr>
                <w:rFonts w:cs="Arial"/>
                <w:b/>
                <w:bCs/>
                <w:szCs w:val="24"/>
              </w:rPr>
              <w:t>Upper</w:t>
            </w:r>
          </w:p>
        </w:tc>
        <w:tc>
          <w:tcPr>
            <w:tcW w:w="397" w:type="pct"/>
            <w:vMerge/>
            <w:tcBorders>
              <w:top w:val="nil"/>
              <w:left w:val="single" w:sz="4" w:space="0" w:color="auto"/>
              <w:bottom w:val="single" w:sz="4" w:space="0" w:color="auto"/>
              <w:right w:val="nil"/>
            </w:tcBorders>
            <w:vAlign w:val="center"/>
          </w:tcPr>
          <w:p w14:paraId="51D8C950" w14:textId="77777777" w:rsidR="00023489" w:rsidRPr="00EE1660" w:rsidRDefault="00023489" w:rsidP="00023489">
            <w:pPr>
              <w:tabs>
                <w:tab w:val="left" w:pos="1134"/>
              </w:tabs>
              <w:jc w:val="center"/>
              <w:rPr>
                <w:rFonts w:cs="Arial"/>
                <w:b/>
                <w:bCs/>
                <w:szCs w:val="24"/>
              </w:rPr>
            </w:pPr>
          </w:p>
        </w:tc>
        <w:tc>
          <w:tcPr>
            <w:tcW w:w="336" w:type="pct"/>
            <w:vMerge/>
            <w:tcBorders>
              <w:top w:val="nil"/>
              <w:left w:val="nil"/>
              <w:bottom w:val="single" w:sz="4" w:space="0" w:color="auto"/>
              <w:right w:val="nil"/>
            </w:tcBorders>
            <w:vAlign w:val="center"/>
          </w:tcPr>
          <w:p w14:paraId="04AFE6B2" w14:textId="77777777" w:rsidR="00023489" w:rsidRPr="00EE1660" w:rsidRDefault="00023489" w:rsidP="00023489">
            <w:pPr>
              <w:tabs>
                <w:tab w:val="left" w:pos="1134"/>
              </w:tabs>
              <w:jc w:val="center"/>
              <w:rPr>
                <w:rFonts w:cs="Arial"/>
                <w:b/>
                <w:bCs/>
                <w:szCs w:val="24"/>
              </w:rPr>
            </w:pPr>
          </w:p>
        </w:tc>
        <w:tc>
          <w:tcPr>
            <w:tcW w:w="397" w:type="pct"/>
            <w:vMerge/>
            <w:tcBorders>
              <w:top w:val="nil"/>
              <w:left w:val="nil"/>
              <w:bottom w:val="single" w:sz="4" w:space="0" w:color="auto"/>
              <w:right w:val="nil"/>
            </w:tcBorders>
            <w:vAlign w:val="center"/>
          </w:tcPr>
          <w:p w14:paraId="6B31EBF7" w14:textId="77777777" w:rsidR="00023489" w:rsidRPr="00EE1660" w:rsidRDefault="00023489" w:rsidP="00023489">
            <w:pPr>
              <w:tabs>
                <w:tab w:val="left" w:pos="1134"/>
              </w:tabs>
              <w:jc w:val="center"/>
              <w:rPr>
                <w:rFonts w:cs="Arial"/>
                <w:b/>
                <w:bCs/>
                <w:szCs w:val="24"/>
              </w:rPr>
            </w:pPr>
          </w:p>
        </w:tc>
        <w:tc>
          <w:tcPr>
            <w:tcW w:w="433" w:type="pct"/>
            <w:tcBorders>
              <w:top w:val="single" w:sz="4" w:space="0" w:color="auto"/>
              <w:left w:val="nil"/>
              <w:bottom w:val="single" w:sz="4" w:space="0" w:color="auto"/>
              <w:right w:val="nil"/>
            </w:tcBorders>
            <w:vAlign w:val="center"/>
          </w:tcPr>
          <w:p w14:paraId="7536507F" w14:textId="77777777" w:rsidR="00023489" w:rsidRPr="00EE1660" w:rsidRDefault="00023489" w:rsidP="00023489">
            <w:pPr>
              <w:tabs>
                <w:tab w:val="left" w:pos="1134"/>
              </w:tabs>
              <w:jc w:val="center"/>
              <w:rPr>
                <w:rFonts w:cs="Arial"/>
                <w:b/>
                <w:bCs/>
                <w:szCs w:val="24"/>
              </w:rPr>
            </w:pPr>
            <w:r w:rsidRPr="00EE1660">
              <w:rPr>
                <w:rFonts w:cs="Arial"/>
                <w:b/>
                <w:bCs/>
                <w:szCs w:val="24"/>
              </w:rPr>
              <w:t>Lower</w:t>
            </w:r>
          </w:p>
        </w:tc>
        <w:tc>
          <w:tcPr>
            <w:tcW w:w="435" w:type="pct"/>
            <w:tcBorders>
              <w:top w:val="single" w:sz="4" w:space="0" w:color="auto"/>
              <w:left w:val="nil"/>
              <w:bottom w:val="single" w:sz="4" w:space="0" w:color="auto"/>
              <w:right w:val="nil"/>
            </w:tcBorders>
            <w:vAlign w:val="center"/>
          </w:tcPr>
          <w:p w14:paraId="3FBB1C63" w14:textId="77777777" w:rsidR="00023489" w:rsidRPr="00EE1660" w:rsidRDefault="00023489" w:rsidP="00023489">
            <w:pPr>
              <w:tabs>
                <w:tab w:val="left" w:pos="1134"/>
              </w:tabs>
              <w:jc w:val="center"/>
              <w:rPr>
                <w:rFonts w:cs="Arial"/>
                <w:b/>
                <w:bCs/>
                <w:szCs w:val="24"/>
              </w:rPr>
            </w:pPr>
            <w:r w:rsidRPr="00EE1660">
              <w:rPr>
                <w:rFonts w:cs="Arial"/>
                <w:b/>
                <w:bCs/>
                <w:szCs w:val="24"/>
              </w:rPr>
              <w:t>Upper</w:t>
            </w:r>
          </w:p>
        </w:tc>
      </w:tr>
      <w:tr w:rsidR="00023489" w:rsidRPr="00EE1660" w14:paraId="365C7A3C" w14:textId="77777777" w:rsidTr="00023489">
        <w:trPr>
          <w:trHeight w:val="704"/>
        </w:trPr>
        <w:tc>
          <w:tcPr>
            <w:tcW w:w="728" w:type="pct"/>
            <w:tcBorders>
              <w:top w:val="single" w:sz="4" w:space="0" w:color="auto"/>
              <w:left w:val="nil"/>
              <w:bottom w:val="nil"/>
              <w:right w:val="nil"/>
            </w:tcBorders>
            <w:vAlign w:val="center"/>
          </w:tcPr>
          <w:p w14:paraId="1F791A27" w14:textId="77777777" w:rsidR="00023489" w:rsidRPr="00EE1660" w:rsidRDefault="00023489" w:rsidP="00023489">
            <w:pPr>
              <w:tabs>
                <w:tab w:val="left" w:pos="1134"/>
              </w:tabs>
              <w:rPr>
                <w:rFonts w:cs="Arial"/>
                <w:b/>
                <w:bCs/>
                <w:szCs w:val="24"/>
              </w:rPr>
            </w:pPr>
            <w:r w:rsidRPr="00EE1660">
              <w:rPr>
                <w:rFonts w:cs="Arial"/>
                <w:b/>
                <w:bCs/>
                <w:szCs w:val="24"/>
              </w:rPr>
              <w:t xml:space="preserve">Constant </w:t>
            </w:r>
          </w:p>
        </w:tc>
        <w:tc>
          <w:tcPr>
            <w:tcW w:w="336" w:type="pct"/>
            <w:tcBorders>
              <w:top w:val="single" w:sz="4" w:space="0" w:color="auto"/>
              <w:left w:val="nil"/>
              <w:bottom w:val="nil"/>
              <w:right w:val="nil"/>
            </w:tcBorders>
            <w:vAlign w:val="center"/>
          </w:tcPr>
          <w:p w14:paraId="03ED0225" w14:textId="77777777" w:rsidR="00023489" w:rsidRPr="00EE1660" w:rsidRDefault="00023489" w:rsidP="00023489">
            <w:pPr>
              <w:tabs>
                <w:tab w:val="left" w:pos="1134"/>
              </w:tabs>
              <w:jc w:val="center"/>
              <w:rPr>
                <w:rFonts w:cs="Arial"/>
                <w:szCs w:val="24"/>
              </w:rPr>
            </w:pPr>
            <w:r>
              <w:rPr>
                <w:rFonts w:cs="Arial"/>
                <w:szCs w:val="24"/>
              </w:rPr>
              <w:t>3.79</w:t>
            </w:r>
          </w:p>
        </w:tc>
        <w:tc>
          <w:tcPr>
            <w:tcW w:w="336" w:type="pct"/>
            <w:tcBorders>
              <w:top w:val="single" w:sz="4" w:space="0" w:color="auto"/>
              <w:left w:val="nil"/>
              <w:bottom w:val="nil"/>
              <w:right w:val="nil"/>
            </w:tcBorders>
            <w:vAlign w:val="center"/>
          </w:tcPr>
          <w:p w14:paraId="3677ECDB" w14:textId="77777777" w:rsidR="00023489" w:rsidRPr="00EE1660" w:rsidRDefault="00023489" w:rsidP="00023489">
            <w:pPr>
              <w:tabs>
                <w:tab w:val="left" w:pos="1134"/>
              </w:tabs>
              <w:jc w:val="center"/>
              <w:rPr>
                <w:rFonts w:cs="Arial"/>
                <w:szCs w:val="24"/>
              </w:rPr>
            </w:pPr>
            <w:r>
              <w:rPr>
                <w:rFonts w:cs="Arial"/>
                <w:szCs w:val="24"/>
              </w:rPr>
              <w:t>1.14</w:t>
            </w:r>
          </w:p>
        </w:tc>
        <w:tc>
          <w:tcPr>
            <w:tcW w:w="336" w:type="pct"/>
            <w:tcBorders>
              <w:top w:val="single" w:sz="4" w:space="0" w:color="auto"/>
              <w:left w:val="nil"/>
              <w:bottom w:val="nil"/>
              <w:right w:val="nil"/>
            </w:tcBorders>
            <w:vAlign w:val="center"/>
          </w:tcPr>
          <w:p w14:paraId="31C655DE" w14:textId="77777777" w:rsidR="00023489" w:rsidRPr="00EE1660" w:rsidRDefault="00023489" w:rsidP="00023489">
            <w:pPr>
              <w:tabs>
                <w:tab w:val="left" w:pos="1134"/>
              </w:tabs>
              <w:jc w:val="center"/>
              <w:rPr>
                <w:rFonts w:cs="Arial"/>
                <w:szCs w:val="24"/>
              </w:rPr>
            </w:pPr>
          </w:p>
        </w:tc>
        <w:tc>
          <w:tcPr>
            <w:tcW w:w="396" w:type="pct"/>
            <w:tcBorders>
              <w:top w:val="single" w:sz="4" w:space="0" w:color="auto"/>
              <w:left w:val="nil"/>
              <w:bottom w:val="nil"/>
              <w:right w:val="nil"/>
            </w:tcBorders>
            <w:vAlign w:val="center"/>
          </w:tcPr>
          <w:p w14:paraId="20D8E3FE" w14:textId="77777777" w:rsidR="00023489" w:rsidRPr="00EE1660" w:rsidRDefault="00023489" w:rsidP="00023489">
            <w:pPr>
              <w:tabs>
                <w:tab w:val="left" w:pos="1134"/>
              </w:tabs>
              <w:jc w:val="center"/>
              <w:rPr>
                <w:rFonts w:cs="Arial"/>
                <w:szCs w:val="24"/>
              </w:rPr>
            </w:pPr>
            <w:r>
              <w:rPr>
                <w:rFonts w:cs="Arial"/>
                <w:szCs w:val="24"/>
              </w:rPr>
              <w:t>.001</w:t>
            </w:r>
          </w:p>
        </w:tc>
        <w:tc>
          <w:tcPr>
            <w:tcW w:w="432" w:type="pct"/>
            <w:tcBorders>
              <w:top w:val="single" w:sz="4" w:space="0" w:color="auto"/>
              <w:left w:val="nil"/>
              <w:bottom w:val="nil"/>
              <w:right w:val="nil"/>
            </w:tcBorders>
            <w:vAlign w:val="center"/>
          </w:tcPr>
          <w:p w14:paraId="3BAF3F8C" w14:textId="77777777" w:rsidR="00023489" w:rsidRPr="00EE1660" w:rsidRDefault="00023489" w:rsidP="00023489">
            <w:pPr>
              <w:tabs>
                <w:tab w:val="left" w:pos="1134"/>
              </w:tabs>
              <w:jc w:val="center"/>
              <w:rPr>
                <w:rFonts w:cs="Arial"/>
                <w:szCs w:val="24"/>
              </w:rPr>
            </w:pPr>
            <w:r>
              <w:rPr>
                <w:rFonts w:cs="Arial"/>
                <w:szCs w:val="24"/>
              </w:rPr>
              <w:t>1.52</w:t>
            </w:r>
          </w:p>
        </w:tc>
        <w:tc>
          <w:tcPr>
            <w:tcW w:w="435" w:type="pct"/>
            <w:tcBorders>
              <w:top w:val="single" w:sz="4" w:space="0" w:color="auto"/>
              <w:left w:val="nil"/>
              <w:bottom w:val="nil"/>
              <w:right w:val="single" w:sz="4" w:space="0" w:color="auto"/>
            </w:tcBorders>
            <w:vAlign w:val="center"/>
          </w:tcPr>
          <w:p w14:paraId="4D25A125" w14:textId="77777777" w:rsidR="00023489" w:rsidRPr="00EE1660" w:rsidRDefault="00023489" w:rsidP="00023489">
            <w:pPr>
              <w:tabs>
                <w:tab w:val="left" w:pos="1134"/>
              </w:tabs>
              <w:jc w:val="center"/>
              <w:rPr>
                <w:rFonts w:cs="Arial"/>
                <w:szCs w:val="24"/>
              </w:rPr>
            </w:pPr>
            <w:r>
              <w:rPr>
                <w:rFonts w:cs="Arial"/>
                <w:szCs w:val="24"/>
              </w:rPr>
              <w:t>6.06</w:t>
            </w:r>
          </w:p>
        </w:tc>
        <w:tc>
          <w:tcPr>
            <w:tcW w:w="397" w:type="pct"/>
            <w:tcBorders>
              <w:top w:val="single" w:sz="4" w:space="0" w:color="auto"/>
              <w:left w:val="single" w:sz="4" w:space="0" w:color="auto"/>
              <w:bottom w:val="nil"/>
              <w:right w:val="nil"/>
            </w:tcBorders>
            <w:vAlign w:val="center"/>
          </w:tcPr>
          <w:p w14:paraId="37A3E6A1" w14:textId="77777777" w:rsidR="00023489" w:rsidRPr="00EE1660" w:rsidRDefault="00023489" w:rsidP="00023489">
            <w:pPr>
              <w:tabs>
                <w:tab w:val="left" w:pos="1134"/>
              </w:tabs>
              <w:jc w:val="center"/>
              <w:rPr>
                <w:rFonts w:cs="Arial"/>
                <w:szCs w:val="24"/>
              </w:rPr>
            </w:pPr>
            <w:r>
              <w:rPr>
                <w:rFonts w:cs="Arial"/>
                <w:szCs w:val="24"/>
              </w:rPr>
              <w:t>-.017</w:t>
            </w:r>
          </w:p>
        </w:tc>
        <w:tc>
          <w:tcPr>
            <w:tcW w:w="336" w:type="pct"/>
            <w:tcBorders>
              <w:top w:val="single" w:sz="4" w:space="0" w:color="auto"/>
              <w:left w:val="nil"/>
              <w:bottom w:val="nil"/>
              <w:right w:val="nil"/>
            </w:tcBorders>
            <w:vAlign w:val="center"/>
          </w:tcPr>
          <w:p w14:paraId="25D36E54" w14:textId="77777777" w:rsidR="00023489" w:rsidRPr="00EE1660" w:rsidRDefault="00023489" w:rsidP="00023489">
            <w:pPr>
              <w:tabs>
                <w:tab w:val="left" w:pos="1134"/>
              </w:tabs>
              <w:jc w:val="center"/>
              <w:rPr>
                <w:rFonts w:cs="Arial"/>
                <w:szCs w:val="24"/>
              </w:rPr>
            </w:pPr>
            <w:r>
              <w:rPr>
                <w:rFonts w:cs="Arial"/>
                <w:szCs w:val="24"/>
              </w:rPr>
              <w:t>.89</w:t>
            </w:r>
          </w:p>
        </w:tc>
        <w:tc>
          <w:tcPr>
            <w:tcW w:w="397" w:type="pct"/>
            <w:tcBorders>
              <w:top w:val="single" w:sz="4" w:space="0" w:color="auto"/>
              <w:left w:val="nil"/>
              <w:bottom w:val="nil"/>
              <w:right w:val="nil"/>
            </w:tcBorders>
            <w:vAlign w:val="center"/>
          </w:tcPr>
          <w:p w14:paraId="3B3C5D10" w14:textId="77777777" w:rsidR="00023489" w:rsidRPr="00EE1660" w:rsidRDefault="00023489" w:rsidP="00023489">
            <w:pPr>
              <w:tabs>
                <w:tab w:val="left" w:pos="1134"/>
              </w:tabs>
              <w:jc w:val="center"/>
              <w:rPr>
                <w:rFonts w:cs="Arial"/>
                <w:szCs w:val="24"/>
              </w:rPr>
            </w:pPr>
            <w:r>
              <w:rPr>
                <w:rFonts w:cs="Arial"/>
                <w:szCs w:val="24"/>
              </w:rPr>
              <w:t>&lt;.001</w:t>
            </w:r>
          </w:p>
        </w:tc>
        <w:tc>
          <w:tcPr>
            <w:tcW w:w="433" w:type="pct"/>
            <w:tcBorders>
              <w:top w:val="single" w:sz="4" w:space="0" w:color="auto"/>
              <w:left w:val="nil"/>
              <w:bottom w:val="nil"/>
              <w:right w:val="nil"/>
            </w:tcBorders>
            <w:vAlign w:val="center"/>
          </w:tcPr>
          <w:p w14:paraId="15CB12C5" w14:textId="77777777" w:rsidR="00023489" w:rsidRPr="00EE1660" w:rsidRDefault="00023489" w:rsidP="00023489">
            <w:pPr>
              <w:tabs>
                <w:tab w:val="left" w:pos="1134"/>
              </w:tabs>
              <w:jc w:val="center"/>
              <w:rPr>
                <w:rFonts w:cs="Arial"/>
                <w:szCs w:val="24"/>
              </w:rPr>
            </w:pPr>
            <w:r>
              <w:rPr>
                <w:rFonts w:cs="Arial"/>
                <w:szCs w:val="24"/>
              </w:rPr>
              <w:t>2.21</w:t>
            </w:r>
          </w:p>
        </w:tc>
        <w:tc>
          <w:tcPr>
            <w:tcW w:w="435" w:type="pct"/>
            <w:tcBorders>
              <w:top w:val="single" w:sz="4" w:space="0" w:color="auto"/>
              <w:left w:val="nil"/>
              <w:bottom w:val="nil"/>
              <w:right w:val="nil"/>
            </w:tcBorders>
            <w:vAlign w:val="center"/>
          </w:tcPr>
          <w:p w14:paraId="2A9BCEE2" w14:textId="77777777" w:rsidR="00023489" w:rsidRPr="00EE1660" w:rsidRDefault="00023489" w:rsidP="00023489">
            <w:pPr>
              <w:tabs>
                <w:tab w:val="left" w:pos="1134"/>
              </w:tabs>
              <w:jc w:val="center"/>
              <w:rPr>
                <w:rFonts w:cs="Arial"/>
                <w:szCs w:val="24"/>
              </w:rPr>
            </w:pPr>
            <w:r>
              <w:rPr>
                <w:rFonts w:cs="Arial"/>
                <w:szCs w:val="24"/>
              </w:rPr>
              <w:t>5.45</w:t>
            </w:r>
          </w:p>
        </w:tc>
      </w:tr>
      <w:tr w:rsidR="00023489" w:rsidRPr="00EE1660" w14:paraId="50EEC33E" w14:textId="77777777" w:rsidTr="00023489">
        <w:trPr>
          <w:trHeight w:val="704"/>
        </w:trPr>
        <w:tc>
          <w:tcPr>
            <w:tcW w:w="728" w:type="pct"/>
            <w:tcBorders>
              <w:top w:val="nil"/>
              <w:left w:val="nil"/>
              <w:bottom w:val="single" w:sz="4" w:space="0" w:color="auto"/>
              <w:right w:val="nil"/>
            </w:tcBorders>
            <w:vAlign w:val="center"/>
          </w:tcPr>
          <w:p w14:paraId="14CA2A3D" w14:textId="77777777" w:rsidR="00023489" w:rsidRPr="00EE1660" w:rsidRDefault="00023489" w:rsidP="00023489">
            <w:pPr>
              <w:tabs>
                <w:tab w:val="left" w:pos="1134"/>
              </w:tabs>
              <w:rPr>
                <w:rFonts w:cs="Arial"/>
                <w:b/>
                <w:bCs/>
                <w:szCs w:val="24"/>
              </w:rPr>
            </w:pPr>
            <w:r>
              <w:rPr>
                <w:rFonts w:cs="Arial"/>
                <w:b/>
                <w:bCs/>
                <w:szCs w:val="24"/>
              </w:rPr>
              <w:t>Depression (PHQ-9)</w:t>
            </w:r>
          </w:p>
        </w:tc>
        <w:tc>
          <w:tcPr>
            <w:tcW w:w="336" w:type="pct"/>
            <w:tcBorders>
              <w:top w:val="nil"/>
              <w:left w:val="nil"/>
              <w:bottom w:val="single" w:sz="4" w:space="0" w:color="auto"/>
              <w:right w:val="nil"/>
            </w:tcBorders>
            <w:vAlign w:val="center"/>
          </w:tcPr>
          <w:p w14:paraId="2AC322DB" w14:textId="77777777" w:rsidR="00023489" w:rsidRPr="00EE1660" w:rsidRDefault="00023489" w:rsidP="00023489">
            <w:pPr>
              <w:tabs>
                <w:tab w:val="left" w:pos="1134"/>
              </w:tabs>
              <w:jc w:val="center"/>
              <w:rPr>
                <w:rFonts w:cs="Arial"/>
                <w:szCs w:val="24"/>
              </w:rPr>
            </w:pPr>
            <w:r>
              <w:rPr>
                <w:rFonts w:cs="Arial"/>
                <w:szCs w:val="24"/>
              </w:rPr>
              <w:t>.54</w:t>
            </w:r>
          </w:p>
        </w:tc>
        <w:tc>
          <w:tcPr>
            <w:tcW w:w="336" w:type="pct"/>
            <w:tcBorders>
              <w:top w:val="nil"/>
              <w:left w:val="nil"/>
              <w:bottom w:val="single" w:sz="4" w:space="0" w:color="auto"/>
              <w:right w:val="nil"/>
            </w:tcBorders>
            <w:vAlign w:val="center"/>
          </w:tcPr>
          <w:p w14:paraId="1B1CE3FB" w14:textId="77777777" w:rsidR="00023489" w:rsidRPr="00EE1660" w:rsidRDefault="00023489" w:rsidP="00023489">
            <w:pPr>
              <w:tabs>
                <w:tab w:val="left" w:pos="1134"/>
              </w:tabs>
              <w:jc w:val="center"/>
              <w:rPr>
                <w:rFonts w:cs="Arial"/>
                <w:szCs w:val="24"/>
              </w:rPr>
            </w:pPr>
            <w:r>
              <w:rPr>
                <w:rFonts w:cs="Arial"/>
                <w:szCs w:val="24"/>
              </w:rPr>
              <w:t>.07</w:t>
            </w:r>
          </w:p>
        </w:tc>
        <w:tc>
          <w:tcPr>
            <w:tcW w:w="336" w:type="pct"/>
            <w:tcBorders>
              <w:top w:val="nil"/>
              <w:left w:val="nil"/>
              <w:bottom w:val="single" w:sz="4" w:space="0" w:color="auto"/>
              <w:right w:val="nil"/>
            </w:tcBorders>
            <w:vAlign w:val="center"/>
          </w:tcPr>
          <w:p w14:paraId="3E62E568" w14:textId="77777777" w:rsidR="00023489" w:rsidRPr="00EE1660" w:rsidRDefault="00023489" w:rsidP="00023489">
            <w:pPr>
              <w:tabs>
                <w:tab w:val="left" w:pos="1134"/>
              </w:tabs>
              <w:jc w:val="center"/>
              <w:rPr>
                <w:rFonts w:cs="Arial"/>
                <w:szCs w:val="24"/>
              </w:rPr>
            </w:pPr>
            <w:r>
              <w:rPr>
                <w:rFonts w:cs="Arial"/>
                <w:szCs w:val="24"/>
              </w:rPr>
              <w:t>0.64</w:t>
            </w:r>
          </w:p>
        </w:tc>
        <w:tc>
          <w:tcPr>
            <w:tcW w:w="396" w:type="pct"/>
            <w:tcBorders>
              <w:top w:val="nil"/>
              <w:left w:val="nil"/>
              <w:bottom w:val="single" w:sz="4" w:space="0" w:color="auto"/>
              <w:right w:val="nil"/>
            </w:tcBorders>
            <w:vAlign w:val="center"/>
          </w:tcPr>
          <w:p w14:paraId="73079CB9" w14:textId="77777777" w:rsidR="00023489" w:rsidRPr="00EE1660" w:rsidRDefault="00023489" w:rsidP="00023489">
            <w:pPr>
              <w:tabs>
                <w:tab w:val="left" w:pos="1134"/>
              </w:tabs>
              <w:jc w:val="center"/>
              <w:rPr>
                <w:rFonts w:cs="Arial"/>
                <w:szCs w:val="24"/>
              </w:rPr>
            </w:pPr>
            <w:r>
              <w:rPr>
                <w:rFonts w:cs="Arial"/>
                <w:szCs w:val="24"/>
              </w:rPr>
              <w:t>&lt;.001</w:t>
            </w:r>
          </w:p>
        </w:tc>
        <w:tc>
          <w:tcPr>
            <w:tcW w:w="432" w:type="pct"/>
            <w:tcBorders>
              <w:top w:val="nil"/>
              <w:left w:val="nil"/>
              <w:bottom w:val="single" w:sz="4" w:space="0" w:color="auto"/>
              <w:right w:val="nil"/>
            </w:tcBorders>
            <w:vAlign w:val="center"/>
          </w:tcPr>
          <w:p w14:paraId="06144C2A" w14:textId="77777777" w:rsidR="00023489" w:rsidRPr="00EE1660" w:rsidRDefault="00023489" w:rsidP="00023489">
            <w:pPr>
              <w:tabs>
                <w:tab w:val="left" w:pos="1134"/>
              </w:tabs>
              <w:jc w:val="center"/>
              <w:rPr>
                <w:rFonts w:cs="Arial"/>
                <w:szCs w:val="24"/>
              </w:rPr>
            </w:pPr>
            <w:r>
              <w:rPr>
                <w:rFonts w:cs="Arial"/>
                <w:szCs w:val="24"/>
              </w:rPr>
              <w:t>.41</w:t>
            </w:r>
          </w:p>
        </w:tc>
        <w:tc>
          <w:tcPr>
            <w:tcW w:w="435" w:type="pct"/>
            <w:tcBorders>
              <w:top w:val="nil"/>
              <w:left w:val="nil"/>
              <w:bottom w:val="single" w:sz="4" w:space="0" w:color="auto"/>
              <w:right w:val="single" w:sz="4" w:space="0" w:color="auto"/>
            </w:tcBorders>
            <w:vAlign w:val="center"/>
          </w:tcPr>
          <w:p w14:paraId="53BA8A8C" w14:textId="77777777" w:rsidR="00023489" w:rsidRPr="00EE1660" w:rsidRDefault="00023489" w:rsidP="00023489">
            <w:pPr>
              <w:tabs>
                <w:tab w:val="left" w:pos="1134"/>
              </w:tabs>
              <w:jc w:val="center"/>
              <w:rPr>
                <w:rFonts w:cs="Arial"/>
                <w:szCs w:val="24"/>
              </w:rPr>
            </w:pPr>
            <w:r>
              <w:rPr>
                <w:rFonts w:cs="Arial"/>
                <w:szCs w:val="24"/>
              </w:rPr>
              <w:t>.68</w:t>
            </w:r>
          </w:p>
        </w:tc>
        <w:tc>
          <w:tcPr>
            <w:tcW w:w="397" w:type="pct"/>
            <w:tcBorders>
              <w:top w:val="nil"/>
              <w:left w:val="single" w:sz="4" w:space="0" w:color="auto"/>
              <w:bottom w:val="single" w:sz="4" w:space="0" w:color="auto"/>
              <w:right w:val="nil"/>
            </w:tcBorders>
            <w:vAlign w:val="center"/>
          </w:tcPr>
          <w:p w14:paraId="36620BE7" w14:textId="77777777" w:rsidR="00023489" w:rsidRPr="00EE1660" w:rsidRDefault="00023489" w:rsidP="00023489">
            <w:pPr>
              <w:tabs>
                <w:tab w:val="left" w:pos="1134"/>
              </w:tabs>
              <w:jc w:val="center"/>
              <w:rPr>
                <w:rFonts w:cs="Arial"/>
                <w:szCs w:val="24"/>
              </w:rPr>
            </w:pPr>
            <w:r>
              <w:rPr>
                <w:rFonts w:cs="Arial"/>
                <w:szCs w:val="24"/>
              </w:rPr>
              <w:t>0.00</w:t>
            </w:r>
          </w:p>
        </w:tc>
        <w:tc>
          <w:tcPr>
            <w:tcW w:w="336" w:type="pct"/>
            <w:tcBorders>
              <w:top w:val="nil"/>
              <w:left w:val="nil"/>
              <w:bottom w:val="single" w:sz="4" w:space="0" w:color="auto"/>
              <w:right w:val="nil"/>
            </w:tcBorders>
            <w:vAlign w:val="center"/>
          </w:tcPr>
          <w:p w14:paraId="6A6F7E19" w14:textId="77777777" w:rsidR="00023489" w:rsidRPr="00EE1660" w:rsidRDefault="00023489" w:rsidP="00023489">
            <w:pPr>
              <w:tabs>
                <w:tab w:val="left" w:pos="1134"/>
              </w:tabs>
              <w:jc w:val="center"/>
              <w:rPr>
                <w:rFonts w:cs="Arial"/>
                <w:szCs w:val="24"/>
              </w:rPr>
            </w:pPr>
            <w:r>
              <w:rPr>
                <w:rFonts w:cs="Arial"/>
                <w:szCs w:val="24"/>
              </w:rPr>
              <w:t>0.07</w:t>
            </w:r>
          </w:p>
        </w:tc>
        <w:tc>
          <w:tcPr>
            <w:tcW w:w="397" w:type="pct"/>
            <w:tcBorders>
              <w:top w:val="nil"/>
              <w:left w:val="nil"/>
              <w:bottom w:val="single" w:sz="4" w:space="0" w:color="auto"/>
              <w:right w:val="nil"/>
            </w:tcBorders>
            <w:vAlign w:val="center"/>
          </w:tcPr>
          <w:p w14:paraId="52457579" w14:textId="77777777" w:rsidR="00023489" w:rsidRPr="00EE1660" w:rsidRDefault="00023489" w:rsidP="00023489">
            <w:pPr>
              <w:tabs>
                <w:tab w:val="left" w:pos="1134"/>
              </w:tabs>
              <w:jc w:val="center"/>
              <w:rPr>
                <w:rFonts w:cs="Arial"/>
                <w:szCs w:val="24"/>
              </w:rPr>
            </w:pPr>
            <w:r>
              <w:rPr>
                <w:rFonts w:cs="Arial"/>
                <w:szCs w:val="24"/>
              </w:rPr>
              <w:t>&lt;.001</w:t>
            </w:r>
          </w:p>
        </w:tc>
        <w:tc>
          <w:tcPr>
            <w:tcW w:w="433" w:type="pct"/>
            <w:tcBorders>
              <w:top w:val="nil"/>
              <w:left w:val="nil"/>
              <w:bottom w:val="single" w:sz="4" w:space="0" w:color="auto"/>
              <w:right w:val="nil"/>
            </w:tcBorders>
            <w:vAlign w:val="center"/>
          </w:tcPr>
          <w:p w14:paraId="4DB88E7B" w14:textId="77777777" w:rsidR="00023489" w:rsidRPr="00EE1660" w:rsidRDefault="00023489" w:rsidP="00023489">
            <w:pPr>
              <w:tabs>
                <w:tab w:val="left" w:pos="1134"/>
              </w:tabs>
              <w:jc w:val="center"/>
              <w:rPr>
                <w:rFonts w:cs="Arial"/>
                <w:szCs w:val="24"/>
              </w:rPr>
            </w:pPr>
            <w:r>
              <w:rPr>
                <w:rFonts w:cs="Arial"/>
                <w:szCs w:val="24"/>
              </w:rPr>
              <w:t>.41</w:t>
            </w:r>
          </w:p>
        </w:tc>
        <w:tc>
          <w:tcPr>
            <w:tcW w:w="435" w:type="pct"/>
            <w:tcBorders>
              <w:top w:val="nil"/>
              <w:left w:val="nil"/>
              <w:bottom w:val="single" w:sz="4" w:space="0" w:color="auto"/>
              <w:right w:val="nil"/>
            </w:tcBorders>
            <w:vAlign w:val="center"/>
          </w:tcPr>
          <w:p w14:paraId="3C3ED143" w14:textId="77777777" w:rsidR="00023489" w:rsidRPr="00EE1660" w:rsidRDefault="00023489" w:rsidP="00023489">
            <w:pPr>
              <w:tabs>
                <w:tab w:val="left" w:pos="1134"/>
              </w:tabs>
              <w:jc w:val="center"/>
              <w:rPr>
                <w:rFonts w:cs="Arial"/>
                <w:szCs w:val="24"/>
              </w:rPr>
            </w:pPr>
            <w:r>
              <w:rPr>
                <w:rFonts w:cs="Arial"/>
                <w:szCs w:val="24"/>
              </w:rPr>
              <w:t>0.67</w:t>
            </w:r>
          </w:p>
        </w:tc>
      </w:tr>
    </w:tbl>
    <w:p w14:paraId="72C4FB6F" w14:textId="77777777" w:rsidR="00023489" w:rsidRDefault="00023489" w:rsidP="00023489">
      <w:pPr>
        <w:pStyle w:val="NoSpacing"/>
      </w:pPr>
      <w:r>
        <w:rPr>
          <w:i/>
        </w:rPr>
        <w:t>Note. R</w:t>
      </w:r>
      <w:r>
        <w:rPr>
          <w:i/>
          <w:vertAlign w:val="superscript"/>
        </w:rPr>
        <w:t>2</w:t>
      </w:r>
      <w:r>
        <w:rPr>
          <w:i/>
        </w:rPr>
        <w:t xml:space="preserve"> </w:t>
      </w:r>
      <w:r w:rsidRPr="00BC2C78">
        <w:t xml:space="preserve">= 40.8%; Adjusted </w:t>
      </w:r>
      <w:r>
        <w:rPr>
          <w:i/>
        </w:rPr>
        <w:t>R</w:t>
      </w:r>
      <w:r>
        <w:rPr>
          <w:i/>
          <w:vertAlign w:val="superscript"/>
        </w:rPr>
        <w:t>2</w:t>
      </w:r>
      <w:r>
        <w:rPr>
          <w:i/>
        </w:rPr>
        <w:t xml:space="preserve"> </w:t>
      </w:r>
      <w:r w:rsidRPr="00BC2C78">
        <w:t>= 40.1%.</w:t>
      </w:r>
      <w:r>
        <w:rPr>
          <w:i/>
        </w:rPr>
        <w:t xml:space="preserve"> </w:t>
      </w:r>
      <w:r w:rsidRPr="00EE1660">
        <w:t>Unstandardised coefficient, standard error, standardised coefficient, significance values and confidence intervals are presented, along with the bootstrapped comparison including bias</w:t>
      </w:r>
      <w:r>
        <w:t>-</w:t>
      </w:r>
      <w:r w:rsidRPr="00EE1660">
        <w:t>corrected accelerated confidence intervals. Bootstrap results are based on 1000 bootstrapped samples.</w:t>
      </w:r>
    </w:p>
    <w:p w14:paraId="09EED055" w14:textId="77777777" w:rsidR="00023489" w:rsidRDefault="00023489" w:rsidP="00023489">
      <w:pPr>
        <w:pStyle w:val="NoSpacing"/>
      </w:pPr>
    </w:p>
    <w:p w14:paraId="29BAFBDC" w14:textId="77777777" w:rsidR="00023489" w:rsidRPr="00F22254" w:rsidRDefault="00023489" w:rsidP="00023489">
      <w:pPr>
        <w:pStyle w:val="NoSpacing"/>
        <w:rPr>
          <w:i/>
        </w:rPr>
      </w:pPr>
    </w:p>
    <w:p w14:paraId="055CFC7E" w14:textId="77777777" w:rsidR="00023489" w:rsidRPr="00E60A67" w:rsidRDefault="00023489" w:rsidP="00A53770">
      <w:pPr>
        <w:pStyle w:val="Heading2"/>
      </w:pPr>
      <w:bookmarkStart w:id="162" w:name="_Toc133487837"/>
      <w:r>
        <w:t>Multiple r</w:t>
      </w:r>
      <w:r w:rsidRPr="00E60A67">
        <w:t>egression</w:t>
      </w:r>
      <w:r>
        <w:t>: P</w:t>
      </w:r>
      <w:r w:rsidRPr="00E60A67">
        <w:t xml:space="preserve">redicting </w:t>
      </w:r>
      <w:r>
        <w:t>seizure frequency</w:t>
      </w:r>
      <w:bookmarkEnd w:id="162"/>
    </w:p>
    <w:p w14:paraId="5B4F31E2" w14:textId="77777777" w:rsidR="00023489" w:rsidRDefault="00023489" w:rsidP="00A53770">
      <w:pPr>
        <w:spacing w:line="360" w:lineRule="auto"/>
        <w:ind w:firstLine="720"/>
        <w:jc w:val="both"/>
      </w:pPr>
      <w:r>
        <w:t xml:space="preserve">The second multiple regression analysis was designed to assess whether seizure frequency was predicted by IU, AS, anxiety, depression and diagnosis of either epilepsy or DS. All of the predictor variables, were entered into the model at the same time using the enter method. </w:t>
      </w:r>
    </w:p>
    <w:p w14:paraId="08398937" w14:textId="439CB0F5" w:rsidR="00023489" w:rsidRDefault="00023489" w:rsidP="00A53770">
      <w:pPr>
        <w:spacing w:line="360" w:lineRule="auto"/>
        <w:ind w:firstLine="720"/>
        <w:jc w:val="both"/>
      </w:pPr>
      <w:r>
        <w:t>Due to concerns regarding the n</w:t>
      </w:r>
      <w:r w:rsidR="0026505B">
        <w:t>ormality of residuals and hetero</w:t>
      </w:r>
      <w:r>
        <w:t>scedasticity, bootstrapping was used. Differences between confidence intervals in bootstrapped and non-bootstrapped samples suggest that the pre-bootstrapped model did potentially violate assumptions meaning that results should be interpreted with caution because they may not be representative of populations with seizure conditions.</w:t>
      </w:r>
    </w:p>
    <w:p w14:paraId="2251BBDA" w14:textId="74E54CC2" w:rsidR="00023489" w:rsidRDefault="00023489" w:rsidP="00A53770">
      <w:pPr>
        <w:spacing w:line="360" w:lineRule="auto"/>
        <w:ind w:firstLine="720"/>
        <w:jc w:val="both"/>
      </w:pPr>
      <w:r>
        <w:t>Regr</w:t>
      </w:r>
      <w:r w:rsidR="007827F8">
        <w:t>ession output is summarised in t</w:t>
      </w:r>
      <w:r>
        <w:t>able 8 with the model proving not to be statistically significant F(5, 80) = 1.75, p = .13).  Neither IU (</w:t>
      </w:r>
      <w:r w:rsidRPr="00B07AE2">
        <w:t>β</w:t>
      </w:r>
      <w:r>
        <w:t xml:space="preserve"> = -.01, </w:t>
      </w:r>
      <w:r>
        <w:rPr>
          <w:i/>
        </w:rPr>
        <w:t xml:space="preserve">p </w:t>
      </w:r>
      <w:r>
        <w:t>= .98), AS (</w:t>
      </w:r>
      <w:r w:rsidRPr="00B07AE2">
        <w:t>β</w:t>
      </w:r>
      <w:r>
        <w:t xml:space="preserve"> = .20, </w:t>
      </w:r>
      <w:r>
        <w:rPr>
          <w:i/>
        </w:rPr>
        <w:t>p</w:t>
      </w:r>
      <w:r>
        <w:t xml:space="preserve"> = .32), anxiety (</w:t>
      </w:r>
      <w:r w:rsidRPr="00B07AE2">
        <w:t>β</w:t>
      </w:r>
      <w:r>
        <w:t xml:space="preserve"> = -.28, </w:t>
      </w:r>
      <w:r>
        <w:rPr>
          <w:i/>
        </w:rPr>
        <w:t>p</w:t>
      </w:r>
      <w:r>
        <w:t xml:space="preserve"> = .19), depression (</w:t>
      </w:r>
      <w:r w:rsidRPr="00B07AE2">
        <w:t>β</w:t>
      </w:r>
      <w:r>
        <w:t xml:space="preserve"> = .32, p = .10), or diagnosis (</w:t>
      </w:r>
      <w:r w:rsidRPr="00B07AE2">
        <w:t>β</w:t>
      </w:r>
      <w:r>
        <w:t xml:space="preserve"> = .12, </w:t>
      </w:r>
      <w:r>
        <w:rPr>
          <w:i/>
        </w:rPr>
        <w:t xml:space="preserve">p </w:t>
      </w:r>
      <w:r>
        <w:t xml:space="preserve"> = .29) significantly contributed to the model. Therefore, the model demonstrated that higher levels of IU, AS, anxiety, depression, and </w:t>
      </w:r>
      <w:r>
        <w:lastRenderedPageBreak/>
        <w:t>diagnosis of either epilepsy or DS did not predict increased seizure frequency. Concerns around violations of multiple regression assumptions suggest that this conclusion may not accurately represent these populations.</w:t>
      </w:r>
    </w:p>
    <w:p w14:paraId="34A06EDE" w14:textId="26E1D590" w:rsidR="00023489" w:rsidRPr="008C44C3" w:rsidRDefault="00023489" w:rsidP="00A53770">
      <w:pPr>
        <w:pStyle w:val="Heading2"/>
      </w:pPr>
      <w:bookmarkStart w:id="163" w:name="_Toc133487838"/>
      <w:r>
        <w:t>Table 8</w:t>
      </w:r>
      <w:bookmarkEnd w:id="163"/>
    </w:p>
    <w:p w14:paraId="09C9F7DE" w14:textId="77777777" w:rsidR="00023489" w:rsidRPr="008C44C3" w:rsidRDefault="00023489" w:rsidP="00A53770">
      <w:pPr>
        <w:spacing w:line="360" w:lineRule="auto"/>
        <w:rPr>
          <w:i/>
        </w:rPr>
      </w:pPr>
      <w:r>
        <w:rPr>
          <w:i/>
        </w:rPr>
        <w:t>Multiple regression analysis of IU, AS, anxiety, depression, and diagnosis as predictors of seizure frequency, with bootstrapping (n = 86).</w:t>
      </w:r>
    </w:p>
    <w:tbl>
      <w:tblPr>
        <w:tblW w:w="5561" w:type="pct"/>
        <w:tblInd w:w="-1155" w:type="dxa"/>
        <w:tblLook w:val="04A0" w:firstRow="1" w:lastRow="0" w:firstColumn="1" w:lastColumn="0" w:noHBand="0" w:noVBand="1"/>
      </w:tblPr>
      <w:tblGrid>
        <w:gridCol w:w="1383"/>
        <w:gridCol w:w="783"/>
        <w:gridCol w:w="785"/>
        <w:gridCol w:w="661"/>
        <w:gridCol w:w="783"/>
        <w:gridCol w:w="904"/>
        <w:gridCol w:w="865"/>
        <w:gridCol w:w="661"/>
        <w:gridCol w:w="725"/>
        <w:gridCol w:w="783"/>
        <w:gridCol w:w="849"/>
        <w:gridCol w:w="857"/>
      </w:tblGrid>
      <w:tr w:rsidR="00023489" w:rsidRPr="00EE1660" w14:paraId="0EABF4CC" w14:textId="77777777" w:rsidTr="003C319D">
        <w:trPr>
          <w:trHeight w:val="645"/>
        </w:trPr>
        <w:tc>
          <w:tcPr>
            <w:tcW w:w="689" w:type="pct"/>
            <w:tcBorders>
              <w:top w:val="single" w:sz="4" w:space="0" w:color="auto"/>
              <w:left w:val="nil"/>
              <w:bottom w:val="nil"/>
              <w:right w:val="nil"/>
            </w:tcBorders>
            <w:vAlign w:val="center"/>
          </w:tcPr>
          <w:p w14:paraId="2436C27D" w14:textId="77777777" w:rsidR="00023489" w:rsidRPr="00EE1660" w:rsidRDefault="00023489" w:rsidP="00023489">
            <w:pPr>
              <w:tabs>
                <w:tab w:val="left" w:pos="1134"/>
              </w:tabs>
              <w:jc w:val="center"/>
              <w:rPr>
                <w:rFonts w:cs="Arial"/>
                <w:szCs w:val="24"/>
              </w:rPr>
            </w:pPr>
          </w:p>
        </w:tc>
        <w:tc>
          <w:tcPr>
            <w:tcW w:w="2381" w:type="pct"/>
            <w:gridSpan w:val="6"/>
            <w:tcBorders>
              <w:top w:val="single" w:sz="4" w:space="0" w:color="auto"/>
              <w:left w:val="nil"/>
              <w:bottom w:val="single" w:sz="4" w:space="0" w:color="auto"/>
              <w:right w:val="single" w:sz="4" w:space="0" w:color="auto"/>
            </w:tcBorders>
            <w:vAlign w:val="center"/>
          </w:tcPr>
          <w:p w14:paraId="63CFE9C8" w14:textId="77777777" w:rsidR="00023489" w:rsidRPr="00EE1660" w:rsidRDefault="00023489" w:rsidP="00023489">
            <w:pPr>
              <w:tabs>
                <w:tab w:val="left" w:pos="1134"/>
              </w:tabs>
              <w:jc w:val="center"/>
              <w:rPr>
                <w:rFonts w:cs="Arial"/>
                <w:b/>
                <w:bCs/>
                <w:szCs w:val="24"/>
              </w:rPr>
            </w:pPr>
            <w:r w:rsidRPr="00EE1660">
              <w:rPr>
                <w:rFonts w:cs="Arial"/>
                <w:b/>
                <w:bCs/>
                <w:szCs w:val="24"/>
              </w:rPr>
              <w:t>Multiple Regression</w:t>
            </w:r>
          </w:p>
        </w:tc>
        <w:tc>
          <w:tcPr>
            <w:tcW w:w="1930" w:type="pct"/>
            <w:gridSpan w:val="5"/>
            <w:tcBorders>
              <w:top w:val="single" w:sz="4" w:space="0" w:color="auto"/>
              <w:left w:val="single" w:sz="4" w:space="0" w:color="auto"/>
              <w:bottom w:val="single" w:sz="4" w:space="0" w:color="auto"/>
              <w:right w:val="nil"/>
            </w:tcBorders>
            <w:vAlign w:val="center"/>
          </w:tcPr>
          <w:p w14:paraId="3A489C96" w14:textId="77777777" w:rsidR="00023489" w:rsidRPr="00EE1660" w:rsidRDefault="00023489" w:rsidP="00023489">
            <w:pPr>
              <w:tabs>
                <w:tab w:val="left" w:pos="1134"/>
              </w:tabs>
              <w:jc w:val="center"/>
              <w:rPr>
                <w:rFonts w:cs="Arial"/>
                <w:b/>
                <w:bCs/>
                <w:szCs w:val="24"/>
              </w:rPr>
            </w:pPr>
            <w:r w:rsidRPr="00EE1660">
              <w:rPr>
                <w:rFonts w:cs="Arial"/>
                <w:b/>
                <w:bCs/>
                <w:szCs w:val="24"/>
              </w:rPr>
              <w:t>Bootstrapping</w:t>
            </w:r>
          </w:p>
        </w:tc>
      </w:tr>
      <w:tr w:rsidR="00023489" w:rsidRPr="00EE1660" w14:paraId="458C73DA" w14:textId="77777777" w:rsidTr="003C319D">
        <w:trPr>
          <w:trHeight w:val="645"/>
        </w:trPr>
        <w:tc>
          <w:tcPr>
            <w:tcW w:w="689" w:type="pct"/>
            <w:vMerge w:val="restart"/>
            <w:tcBorders>
              <w:top w:val="nil"/>
              <w:left w:val="nil"/>
              <w:bottom w:val="nil"/>
              <w:right w:val="nil"/>
            </w:tcBorders>
            <w:vAlign w:val="center"/>
          </w:tcPr>
          <w:p w14:paraId="75DAE277" w14:textId="77777777" w:rsidR="00023489" w:rsidRPr="00EE1660" w:rsidRDefault="00023489" w:rsidP="00023489">
            <w:pPr>
              <w:tabs>
                <w:tab w:val="left" w:pos="1134"/>
              </w:tabs>
              <w:jc w:val="center"/>
              <w:rPr>
                <w:rFonts w:cs="Arial"/>
                <w:szCs w:val="24"/>
              </w:rPr>
            </w:pPr>
          </w:p>
        </w:tc>
        <w:tc>
          <w:tcPr>
            <w:tcW w:w="390" w:type="pct"/>
            <w:vMerge w:val="restart"/>
            <w:tcBorders>
              <w:top w:val="single" w:sz="4" w:space="0" w:color="auto"/>
              <w:left w:val="nil"/>
              <w:bottom w:val="nil"/>
              <w:right w:val="nil"/>
            </w:tcBorders>
            <w:vAlign w:val="center"/>
          </w:tcPr>
          <w:p w14:paraId="692EDD73" w14:textId="77777777" w:rsidR="00023489" w:rsidRPr="00EE1660" w:rsidRDefault="00023489" w:rsidP="00023489">
            <w:pPr>
              <w:tabs>
                <w:tab w:val="left" w:pos="1134"/>
              </w:tabs>
              <w:jc w:val="center"/>
              <w:rPr>
                <w:rFonts w:cs="Arial"/>
                <w:b/>
                <w:bCs/>
                <w:szCs w:val="24"/>
              </w:rPr>
            </w:pPr>
            <w:r w:rsidRPr="00EE1660">
              <w:rPr>
                <w:rFonts w:cs="Arial"/>
                <w:b/>
                <w:bCs/>
                <w:szCs w:val="24"/>
              </w:rPr>
              <w:t>B</w:t>
            </w:r>
          </w:p>
        </w:tc>
        <w:tc>
          <w:tcPr>
            <w:tcW w:w="391" w:type="pct"/>
            <w:vMerge w:val="restart"/>
            <w:tcBorders>
              <w:top w:val="single" w:sz="4" w:space="0" w:color="auto"/>
              <w:left w:val="nil"/>
              <w:bottom w:val="nil"/>
              <w:right w:val="nil"/>
            </w:tcBorders>
            <w:vAlign w:val="center"/>
          </w:tcPr>
          <w:p w14:paraId="45F2661C" w14:textId="77777777" w:rsidR="00023489" w:rsidRPr="00EE1660" w:rsidRDefault="00023489" w:rsidP="00023489">
            <w:pPr>
              <w:tabs>
                <w:tab w:val="left" w:pos="1134"/>
              </w:tabs>
              <w:jc w:val="center"/>
              <w:rPr>
                <w:rFonts w:cs="Arial"/>
                <w:b/>
                <w:bCs/>
                <w:szCs w:val="24"/>
              </w:rPr>
            </w:pPr>
            <w:r w:rsidRPr="00EE1660">
              <w:rPr>
                <w:rFonts w:cs="Arial"/>
                <w:b/>
                <w:bCs/>
                <w:szCs w:val="24"/>
              </w:rPr>
              <w:t>SE B</w:t>
            </w:r>
          </w:p>
        </w:tc>
        <w:tc>
          <w:tcPr>
            <w:tcW w:w="329" w:type="pct"/>
            <w:vMerge w:val="restart"/>
            <w:tcBorders>
              <w:top w:val="single" w:sz="4" w:space="0" w:color="auto"/>
              <w:left w:val="nil"/>
              <w:bottom w:val="nil"/>
              <w:right w:val="nil"/>
            </w:tcBorders>
            <w:vAlign w:val="center"/>
          </w:tcPr>
          <w:p w14:paraId="7F441822" w14:textId="77777777" w:rsidR="00023489" w:rsidRPr="00EE1660" w:rsidRDefault="00023489" w:rsidP="00023489">
            <w:pPr>
              <w:tabs>
                <w:tab w:val="left" w:pos="1134"/>
              </w:tabs>
              <w:jc w:val="center"/>
              <w:rPr>
                <w:rFonts w:cs="Arial"/>
                <w:b/>
                <w:bCs/>
                <w:szCs w:val="24"/>
              </w:rPr>
            </w:pPr>
            <w:r w:rsidRPr="00EE1660">
              <w:rPr>
                <w:rFonts w:cs="Arial"/>
                <w:b/>
                <w:bCs/>
                <w:szCs w:val="24"/>
                <w:lang w:val="el-GR"/>
              </w:rPr>
              <w:t>β</w:t>
            </w:r>
          </w:p>
        </w:tc>
        <w:tc>
          <w:tcPr>
            <w:tcW w:w="390" w:type="pct"/>
            <w:vMerge w:val="restart"/>
            <w:tcBorders>
              <w:top w:val="single" w:sz="4" w:space="0" w:color="auto"/>
              <w:left w:val="nil"/>
              <w:bottom w:val="nil"/>
              <w:right w:val="nil"/>
            </w:tcBorders>
            <w:vAlign w:val="center"/>
          </w:tcPr>
          <w:p w14:paraId="725ED9FE" w14:textId="77777777" w:rsidR="00023489" w:rsidRPr="00EE1660" w:rsidRDefault="00023489" w:rsidP="00023489">
            <w:pPr>
              <w:tabs>
                <w:tab w:val="left" w:pos="1134"/>
              </w:tabs>
              <w:jc w:val="center"/>
              <w:rPr>
                <w:rFonts w:cs="Arial"/>
                <w:b/>
                <w:bCs/>
                <w:szCs w:val="24"/>
              </w:rPr>
            </w:pPr>
            <w:r w:rsidRPr="00EE1660">
              <w:rPr>
                <w:rFonts w:cs="Arial"/>
                <w:b/>
                <w:bCs/>
                <w:szCs w:val="24"/>
              </w:rPr>
              <w:t>Sig.</w:t>
            </w:r>
          </w:p>
        </w:tc>
        <w:tc>
          <w:tcPr>
            <w:tcW w:w="881" w:type="pct"/>
            <w:gridSpan w:val="2"/>
            <w:tcBorders>
              <w:top w:val="single" w:sz="4" w:space="0" w:color="auto"/>
              <w:left w:val="nil"/>
              <w:bottom w:val="single" w:sz="4" w:space="0" w:color="auto"/>
              <w:right w:val="single" w:sz="4" w:space="0" w:color="auto"/>
            </w:tcBorders>
            <w:vAlign w:val="center"/>
          </w:tcPr>
          <w:p w14:paraId="3BDDD90A" w14:textId="77777777" w:rsidR="00023489" w:rsidRPr="00EE1660" w:rsidRDefault="00023489" w:rsidP="00023489">
            <w:pPr>
              <w:tabs>
                <w:tab w:val="left" w:pos="1134"/>
              </w:tabs>
              <w:jc w:val="center"/>
              <w:rPr>
                <w:rFonts w:cs="Arial"/>
                <w:b/>
                <w:bCs/>
                <w:szCs w:val="24"/>
              </w:rPr>
            </w:pPr>
            <w:r w:rsidRPr="00EE1660">
              <w:rPr>
                <w:rFonts w:cs="Arial"/>
                <w:b/>
                <w:bCs/>
                <w:szCs w:val="24"/>
              </w:rPr>
              <w:t>95% CI</w:t>
            </w:r>
          </w:p>
        </w:tc>
        <w:tc>
          <w:tcPr>
            <w:tcW w:w="329" w:type="pct"/>
            <w:vMerge w:val="restart"/>
            <w:tcBorders>
              <w:top w:val="single" w:sz="4" w:space="0" w:color="auto"/>
              <w:left w:val="single" w:sz="4" w:space="0" w:color="auto"/>
              <w:bottom w:val="nil"/>
              <w:right w:val="nil"/>
            </w:tcBorders>
            <w:vAlign w:val="center"/>
          </w:tcPr>
          <w:p w14:paraId="48DC2089" w14:textId="77777777" w:rsidR="00023489" w:rsidRPr="00EE1660" w:rsidRDefault="00023489" w:rsidP="00023489">
            <w:pPr>
              <w:tabs>
                <w:tab w:val="left" w:pos="1134"/>
              </w:tabs>
              <w:jc w:val="center"/>
              <w:rPr>
                <w:rFonts w:cs="Arial"/>
                <w:b/>
                <w:bCs/>
                <w:szCs w:val="24"/>
              </w:rPr>
            </w:pPr>
            <w:r w:rsidRPr="00EE1660">
              <w:rPr>
                <w:rFonts w:cs="Arial"/>
                <w:b/>
                <w:bCs/>
                <w:szCs w:val="24"/>
              </w:rPr>
              <w:t>Bias</w:t>
            </w:r>
          </w:p>
        </w:tc>
        <w:tc>
          <w:tcPr>
            <w:tcW w:w="361" w:type="pct"/>
            <w:vMerge w:val="restart"/>
            <w:tcBorders>
              <w:top w:val="single" w:sz="4" w:space="0" w:color="auto"/>
              <w:left w:val="nil"/>
              <w:bottom w:val="nil"/>
              <w:right w:val="nil"/>
            </w:tcBorders>
            <w:vAlign w:val="center"/>
          </w:tcPr>
          <w:p w14:paraId="3FD901AF" w14:textId="77777777" w:rsidR="00023489" w:rsidRPr="00EE1660" w:rsidRDefault="00023489" w:rsidP="00023489">
            <w:pPr>
              <w:tabs>
                <w:tab w:val="left" w:pos="1134"/>
              </w:tabs>
              <w:jc w:val="center"/>
              <w:rPr>
                <w:rFonts w:cs="Arial"/>
                <w:b/>
                <w:bCs/>
                <w:szCs w:val="24"/>
              </w:rPr>
            </w:pPr>
            <w:r w:rsidRPr="00EE1660">
              <w:rPr>
                <w:rFonts w:cs="Arial"/>
                <w:b/>
                <w:bCs/>
                <w:szCs w:val="24"/>
              </w:rPr>
              <w:t>SE B</w:t>
            </w:r>
          </w:p>
        </w:tc>
        <w:tc>
          <w:tcPr>
            <w:tcW w:w="390" w:type="pct"/>
            <w:vMerge w:val="restart"/>
            <w:tcBorders>
              <w:top w:val="single" w:sz="4" w:space="0" w:color="auto"/>
              <w:left w:val="nil"/>
              <w:bottom w:val="nil"/>
              <w:right w:val="nil"/>
            </w:tcBorders>
            <w:vAlign w:val="center"/>
          </w:tcPr>
          <w:p w14:paraId="03226F38" w14:textId="77777777" w:rsidR="00023489" w:rsidRPr="00EE1660" w:rsidRDefault="00023489" w:rsidP="00023489">
            <w:pPr>
              <w:tabs>
                <w:tab w:val="left" w:pos="1134"/>
              </w:tabs>
              <w:jc w:val="center"/>
              <w:rPr>
                <w:rFonts w:cs="Arial"/>
                <w:b/>
                <w:bCs/>
                <w:szCs w:val="24"/>
              </w:rPr>
            </w:pPr>
            <w:r w:rsidRPr="00EE1660">
              <w:rPr>
                <w:rFonts w:cs="Arial"/>
                <w:b/>
                <w:bCs/>
                <w:szCs w:val="24"/>
              </w:rPr>
              <w:t>Sig.</w:t>
            </w:r>
          </w:p>
        </w:tc>
        <w:tc>
          <w:tcPr>
            <w:tcW w:w="850" w:type="pct"/>
            <w:gridSpan w:val="2"/>
            <w:tcBorders>
              <w:top w:val="single" w:sz="4" w:space="0" w:color="auto"/>
              <w:left w:val="nil"/>
              <w:bottom w:val="single" w:sz="4" w:space="0" w:color="auto"/>
              <w:right w:val="nil"/>
            </w:tcBorders>
            <w:vAlign w:val="center"/>
          </w:tcPr>
          <w:p w14:paraId="5B11663F" w14:textId="77777777" w:rsidR="00023489" w:rsidRPr="00EE1660" w:rsidRDefault="00023489" w:rsidP="00023489">
            <w:pPr>
              <w:tabs>
                <w:tab w:val="left" w:pos="1134"/>
              </w:tabs>
              <w:jc w:val="center"/>
              <w:rPr>
                <w:rFonts w:cs="Arial"/>
                <w:b/>
                <w:bCs/>
                <w:szCs w:val="24"/>
              </w:rPr>
            </w:pPr>
            <w:r w:rsidRPr="00EE1660">
              <w:rPr>
                <w:rFonts w:cs="Arial"/>
                <w:b/>
                <w:bCs/>
                <w:szCs w:val="24"/>
              </w:rPr>
              <w:t>95% BCa CI</w:t>
            </w:r>
          </w:p>
        </w:tc>
      </w:tr>
      <w:tr w:rsidR="003C319D" w:rsidRPr="00EE1660" w14:paraId="0AB2874B" w14:textId="77777777" w:rsidTr="003C319D">
        <w:trPr>
          <w:trHeight w:val="645"/>
        </w:trPr>
        <w:tc>
          <w:tcPr>
            <w:tcW w:w="689" w:type="pct"/>
            <w:vMerge/>
            <w:tcBorders>
              <w:top w:val="nil"/>
              <w:left w:val="nil"/>
              <w:bottom w:val="single" w:sz="4" w:space="0" w:color="auto"/>
              <w:right w:val="nil"/>
            </w:tcBorders>
            <w:vAlign w:val="center"/>
          </w:tcPr>
          <w:p w14:paraId="3845516E" w14:textId="77777777" w:rsidR="00023489" w:rsidRPr="00EE1660" w:rsidRDefault="00023489" w:rsidP="00023489">
            <w:pPr>
              <w:tabs>
                <w:tab w:val="left" w:pos="1134"/>
              </w:tabs>
              <w:jc w:val="center"/>
              <w:rPr>
                <w:rFonts w:cs="Arial"/>
                <w:szCs w:val="24"/>
              </w:rPr>
            </w:pPr>
          </w:p>
        </w:tc>
        <w:tc>
          <w:tcPr>
            <w:tcW w:w="390" w:type="pct"/>
            <w:vMerge/>
            <w:tcBorders>
              <w:top w:val="nil"/>
              <w:left w:val="nil"/>
              <w:bottom w:val="single" w:sz="4" w:space="0" w:color="auto"/>
              <w:right w:val="nil"/>
            </w:tcBorders>
            <w:vAlign w:val="center"/>
          </w:tcPr>
          <w:p w14:paraId="5651BDA1" w14:textId="77777777" w:rsidR="00023489" w:rsidRPr="00EE1660" w:rsidRDefault="00023489" w:rsidP="00023489">
            <w:pPr>
              <w:tabs>
                <w:tab w:val="left" w:pos="1134"/>
              </w:tabs>
              <w:jc w:val="center"/>
              <w:rPr>
                <w:rFonts w:cs="Arial"/>
                <w:b/>
                <w:bCs/>
                <w:szCs w:val="24"/>
              </w:rPr>
            </w:pPr>
          </w:p>
        </w:tc>
        <w:tc>
          <w:tcPr>
            <w:tcW w:w="391" w:type="pct"/>
            <w:vMerge/>
            <w:tcBorders>
              <w:top w:val="nil"/>
              <w:left w:val="nil"/>
              <w:bottom w:val="single" w:sz="4" w:space="0" w:color="auto"/>
              <w:right w:val="nil"/>
            </w:tcBorders>
            <w:vAlign w:val="center"/>
          </w:tcPr>
          <w:p w14:paraId="18E4AD12" w14:textId="77777777" w:rsidR="00023489" w:rsidRPr="00EE1660" w:rsidRDefault="00023489" w:rsidP="00023489">
            <w:pPr>
              <w:tabs>
                <w:tab w:val="left" w:pos="1134"/>
              </w:tabs>
              <w:jc w:val="center"/>
              <w:rPr>
                <w:rFonts w:cs="Arial"/>
                <w:b/>
                <w:bCs/>
                <w:szCs w:val="24"/>
              </w:rPr>
            </w:pPr>
          </w:p>
        </w:tc>
        <w:tc>
          <w:tcPr>
            <w:tcW w:w="329" w:type="pct"/>
            <w:vMerge/>
            <w:tcBorders>
              <w:top w:val="nil"/>
              <w:left w:val="nil"/>
              <w:bottom w:val="single" w:sz="4" w:space="0" w:color="auto"/>
              <w:right w:val="nil"/>
            </w:tcBorders>
            <w:vAlign w:val="center"/>
          </w:tcPr>
          <w:p w14:paraId="17D04E61" w14:textId="77777777" w:rsidR="00023489" w:rsidRPr="00EE1660" w:rsidRDefault="00023489" w:rsidP="00023489">
            <w:pPr>
              <w:tabs>
                <w:tab w:val="left" w:pos="1134"/>
              </w:tabs>
              <w:jc w:val="center"/>
              <w:rPr>
                <w:rFonts w:cs="Arial"/>
                <w:b/>
                <w:bCs/>
                <w:szCs w:val="24"/>
              </w:rPr>
            </w:pPr>
          </w:p>
        </w:tc>
        <w:tc>
          <w:tcPr>
            <w:tcW w:w="390" w:type="pct"/>
            <w:vMerge/>
            <w:tcBorders>
              <w:top w:val="nil"/>
              <w:left w:val="nil"/>
              <w:bottom w:val="single" w:sz="4" w:space="0" w:color="auto"/>
              <w:right w:val="nil"/>
            </w:tcBorders>
            <w:vAlign w:val="center"/>
          </w:tcPr>
          <w:p w14:paraId="2D5B939D" w14:textId="77777777" w:rsidR="00023489" w:rsidRPr="00EE1660" w:rsidRDefault="00023489" w:rsidP="00023489">
            <w:pPr>
              <w:tabs>
                <w:tab w:val="left" w:pos="1134"/>
              </w:tabs>
              <w:jc w:val="center"/>
              <w:rPr>
                <w:rFonts w:cs="Arial"/>
                <w:b/>
                <w:bCs/>
                <w:szCs w:val="24"/>
              </w:rPr>
            </w:pPr>
          </w:p>
        </w:tc>
        <w:tc>
          <w:tcPr>
            <w:tcW w:w="450" w:type="pct"/>
            <w:tcBorders>
              <w:top w:val="single" w:sz="4" w:space="0" w:color="auto"/>
              <w:left w:val="nil"/>
              <w:bottom w:val="single" w:sz="4" w:space="0" w:color="auto"/>
              <w:right w:val="nil"/>
            </w:tcBorders>
            <w:vAlign w:val="center"/>
          </w:tcPr>
          <w:p w14:paraId="2D3AC69A" w14:textId="77777777" w:rsidR="00023489" w:rsidRPr="00EE1660" w:rsidRDefault="00023489" w:rsidP="00023489">
            <w:pPr>
              <w:tabs>
                <w:tab w:val="left" w:pos="1134"/>
              </w:tabs>
              <w:jc w:val="center"/>
              <w:rPr>
                <w:rFonts w:cs="Arial"/>
                <w:b/>
                <w:bCs/>
                <w:szCs w:val="24"/>
              </w:rPr>
            </w:pPr>
            <w:r w:rsidRPr="00EE1660">
              <w:rPr>
                <w:rFonts w:cs="Arial"/>
                <w:b/>
                <w:bCs/>
                <w:szCs w:val="24"/>
              </w:rPr>
              <w:t>Lower</w:t>
            </w:r>
          </w:p>
        </w:tc>
        <w:tc>
          <w:tcPr>
            <w:tcW w:w="431" w:type="pct"/>
            <w:tcBorders>
              <w:top w:val="single" w:sz="4" w:space="0" w:color="auto"/>
              <w:left w:val="nil"/>
              <w:bottom w:val="single" w:sz="4" w:space="0" w:color="auto"/>
              <w:right w:val="single" w:sz="4" w:space="0" w:color="auto"/>
            </w:tcBorders>
            <w:vAlign w:val="center"/>
          </w:tcPr>
          <w:p w14:paraId="42E1D03F" w14:textId="77777777" w:rsidR="00023489" w:rsidRPr="00EE1660" w:rsidRDefault="00023489" w:rsidP="00023489">
            <w:pPr>
              <w:tabs>
                <w:tab w:val="left" w:pos="1134"/>
              </w:tabs>
              <w:jc w:val="center"/>
              <w:rPr>
                <w:rFonts w:cs="Arial"/>
                <w:b/>
                <w:bCs/>
                <w:szCs w:val="24"/>
              </w:rPr>
            </w:pPr>
            <w:r w:rsidRPr="00EE1660">
              <w:rPr>
                <w:rFonts w:cs="Arial"/>
                <w:b/>
                <w:bCs/>
                <w:szCs w:val="24"/>
              </w:rPr>
              <w:t>Upper</w:t>
            </w:r>
          </w:p>
        </w:tc>
        <w:tc>
          <w:tcPr>
            <w:tcW w:w="329" w:type="pct"/>
            <w:vMerge/>
            <w:tcBorders>
              <w:top w:val="nil"/>
              <w:left w:val="single" w:sz="4" w:space="0" w:color="auto"/>
              <w:bottom w:val="single" w:sz="4" w:space="0" w:color="auto"/>
              <w:right w:val="nil"/>
            </w:tcBorders>
            <w:vAlign w:val="center"/>
          </w:tcPr>
          <w:p w14:paraId="6BFED39B" w14:textId="77777777" w:rsidR="00023489" w:rsidRPr="00EE1660" w:rsidRDefault="00023489" w:rsidP="00023489">
            <w:pPr>
              <w:tabs>
                <w:tab w:val="left" w:pos="1134"/>
              </w:tabs>
              <w:jc w:val="center"/>
              <w:rPr>
                <w:rFonts w:cs="Arial"/>
                <w:b/>
                <w:bCs/>
                <w:szCs w:val="24"/>
              </w:rPr>
            </w:pPr>
          </w:p>
        </w:tc>
        <w:tc>
          <w:tcPr>
            <w:tcW w:w="361" w:type="pct"/>
            <w:vMerge/>
            <w:tcBorders>
              <w:top w:val="nil"/>
              <w:left w:val="nil"/>
              <w:bottom w:val="single" w:sz="4" w:space="0" w:color="auto"/>
              <w:right w:val="nil"/>
            </w:tcBorders>
            <w:vAlign w:val="center"/>
          </w:tcPr>
          <w:p w14:paraId="2A08CF88" w14:textId="77777777" w:rsidR="00023489" w:rsidRPr="00EE1660" w:rsidRDefault="00023489" w:rsidP="00023489">
            <w:pPr>
              <w:tabs>
                <w:tab w:val="left" w:pos="1134"/>
              </w:tabs>
              <w:jc w:val="center"/>
              <w:rPr>
                <w:rFonts w:cs="Arial"/>
                <w:b/>
                <w:bCs/>
                <w:szCs w:val="24"/>
              </w:rPr>
            </w:pPr>
          </w:p>
        </w:tc>
        <w:tc>
          <w:tcPr>
            <w:tcW w:w="390" w:type="pct"/>
            <w:vMerge/>
            <w:tcBorders>
              <w:top w:val="nil"/>
              <w:left w:val="nil"/>
              <w:bottom w:val="single" w:sz="4" w:space="0" w:color="auto"/>
              <w:right w:val="nil"/>
            </w:tcBorders>
            <w:vAlign w:val="center"/>
          </w:tcPr>
          <w:p w14:paraId="2F0E4F60" w14:textId="77777777" w:rsidR="00023489" w:rsidRPr="00EE1660" w:rsidRDefault="00023489" w:rsidP="00023489">
            <w:pPr>
              <w:tabs>
                <w:tab w:val="left" w:pos="1134"/>
              </w:tabs>
              <w:jc w:val="center"/>
              <w:rPr>
                <w:rFonts w:cs="Arial"/>
                <w:b/>
                <w:bCs/>
                <w:szCs w:val="24"/>
              </w:rPr>
            </w:pPr>
          </w:p>
        </w:tc>
        <w:tc>
          <w:tcPr>
            <w:tcW w:w="423" w:type="pct"/>
            <w:tcBorders>
              <w:top w:val="single" w:sz="4" w:space="0" w:color="auto"/>
              <w:left w:val="nil"/>
              <w:bottom w:val="single" w:sz="4" w:space="0" w:color="auto"/>
              <w:right w:val="nil"/>
            </w:tcBorders>
            <w:vAlign w:val="center"/>
          </w:tcPr>
          <w:p w14:paraId="5307EDD7" w14:textId="77777777" w:rsidR="00023489" w:rsidRPr="00EE1660" w:rsidRDefault="00023489" w:rsidP="00023489">
            <w:pPr>
              <w:tabs>
                <w:tab w:val="left" w:pos="1134"/>
              </w:tabs>
              <w:jc w:val="center"/>
              <w:rPr>
                <w:rFonts w:cs="Arial"/>
                <w:b/>
                <w:bCs/>
                <w:szCs w:val="24"/>
              </w:rPr>
            </w:pPr>
            <w:r w:rsidRPr="00EE1660">
              <w:rPr>
                <w:rFonts w:cs="Arial"/>
                <w:b/>
                <w:bCs/>
                <w:szCs w:val="24"/>
              </w:rPr>
              <w:t>Lower</w:t>
            </w:r>
          </w:p>
        </w:tc>
        <w:tc>
          <w:tcPr>
            <w:tcW w:w="427" w:type="pct"/>
            <w:tcBorders>
              <w:top w:val="single" w:sz="4" w:space="0" w:color="auto"/>
              <w:left w:val="nil"/>
              <w:bottom w:val="single" w:sz="4" w:space="0" w:color="auto"/>
              <w:right w:val="nil"/>
            </w:tcBorders>
            <w:vAlign w:val="center"/>
          </w:tcPr>
          <w:p w14:paraId="723C3462" w14:textId="77777777" w:rsidR="00023489" w:rsidRPr="00EE1660" w:rsidRDefault="00023489" w:rsidP="00023489">
            <w:pPr>
              <w:tabs>
                <w:tab w:val="left" w:pos="1134"/>
              </w:tabs>
              <w:jc w:val="center"/>
              <w:rPr>
                <w:rFonts w:cs="Arial"/>
                <w:b/>
                <w:bCs/>
                <w:szCs w:val="24"/>
              </w:rPr>
            </w:pPr>
            <w:r w:rsidRPr="00EE1660">
              <w:rPr>
                <w:rFonts w:cs="Arial"/>
                <w:b/>
                <w:bCs/>
                <w:szCs w:val="24"/>
              </w:rPr>
              <w:t>Upper</w:t>
            </w:r>
          </w:p>
        </w:tc>
      </w:tr>
      <w:tr w:rsidR="003C319D" w:rsidRPr="00EE1660" w14:paraId="6C323117" w14:textId="77777777" w:rsidTr="003C319D">
        <w:trPr>
          <w:trHeight w:val="645"/>
        </w:trPr>
        <w:tc>
          <w:tcPr>
            <w:tcW w:w="689" w:type="pct"/>
            <w:tcBorders>
              <w:top w:val="single" w:sz="4" w:space="0" w:color="auto"/>
              <w:left w:val="nil"/>
              <w:bottom w:val="nil"/>
              <w:right w:val="nil"/>
            </w:tcBorders>
            <w:vAlign w:val="center"/>
          </w:tcPr>
          <w:p w14:paraId="7DFD0D1A" w14:textId="77777777" w:rsidR="00023489" w:rsidRPr="00EE1660" w:rsidRDefault="00023489" w:rsidP="00023489">
            <w:pPr>
              <w:tabs>
                <w:tab w:val="left" w:pos="1134"/>
              </w:tabs>
              <w:rPr>
                <w:rFonts w:cs="Arial"/>
                <w:b/>
                <w:bCs/>
                <w:szCs w:val="24"/>
              </w:rPr>
            </w:pPr>
            <w:r w:rsidRPr="00EE1660">
              <w:rPr>
                <w:rFonts w:cs="Arial"/>
                <w:b/>
                <w:bCs/>
                <w:szCs w:val="24"/>
              </w:rPr>
              <w:t xml:space="preserve">Constant </w:t>
            </w:r>
          </w:p>
        </w:tc>
        <w:tc>
          <w:tcPr>
            <w:tcW w:w="390" w:type="pct"/>
            <w:tcBorders>
              <w:top w:val="single" w:sz="4" w:space="0" w:color="auto"/>
              <w:left w:val="nil"/>
              <w:bottom w:val="nil"/>
              <w:right w:val="nil"/>
            </w:tcBorders>
            <w:vAlign w:val="center"/>
          </w:tcPr>
          <w:p w14:paraId="6FEC9BDF" w14:textId="77777777" w:rsidR="00023489" w:rsidRPr="00EE1660" w:rsidRDefault="00023489" w:rsidP="00023489">
            <w:pPr>
              <w:tabs>
                <w:tab w:val="left" w:pos="1134"/>
              </w:tabs>
              <w:jc w:val="center"/>
              <w:rPr>
                <w:rFonts w:cs="Arial"/>
                <w:szCs w:val="24"/>
              </w:rPr>
            </w:pPr>
            <w:r>
              <w:rPr>
                <w:rFonts w:cs="Arial"/>
                <w:szCs w:val="24"/>
              </w:rPr>
              <w:t>-75.20</w:t>
            </w:r>
          </w:p>
        </w:tc>
        <w:tc>
          <w:tcPr>
            <w:tcW w:w="391" w:type="pct"/>
            <w:tcBorders>
              <w:top w:val="single" w:sz="4" w:space="0" w:color="auto"/>
              <w:left w:val="nil"/>
              <w:bottom w:val="nil"/>
              <w:right w:val="nil"/>
            </w:tcBorders>
            <w:vAlign w:val="center"/>
          </w:tcPr>
          <w:p w14:paraId="6324BCE9" w14:textId="77777777" w:rsidR="00023489" w:rsidRPr="00EE1660" w:rsidRDefault="00023489" w:rsidP="00023489">
            <w:pPr>
              <w:tabs>
                <w:tab w:val="left" w:pos="1134"/>
              </w:tabs>
              <w:jc w:val="center"/>
              <w:rPr>
                <w:rFonts w:cs="Arial"/>
                <w:szCs w:val="24"/>
              </w:rPr>
            </w:pPr>
            <w:r>
              <w:rPr>
                <w:rFonts w:cs="Arial"/>
                <w:szCs w:val="24"/>
              </w:rPr>
              <w:t>69.71</w:t>
            </w:r>
          </w:p>
        </w:tc>
        <w:tc>
          <w:tcPr>
            <w:tcW w:w="329" w:type="pct"/>
            <w:tcBorders>
              <w:top w:val="single" w:sz="4" w:space="0" w:color="auto"/>
              <w:left w:val="nil"/>
              <w:bottom w:val="nil"/>
              <w:right w:val="nil"/>
            </w:tcBorders>
            <w:vAlign w:val="center"/>
          </w:tcPr>
          <w:p w14:paraId="13701D13" w14:textId="77777777" w:rsidR="00023489" w:rsidRPr="00EE1660" w:rsidRDefault="00023489" w:rsidP="00023489">
            <w:pPr>
              <w:tabs>
                <w:tab w:val="left" w:pos="1134"/>
              </w:tabs>
              <w:jc w:val="center"/>
              <w:rPr>
                <w:rFonts w:cs="Arial"/>
                <w:szCs w:val="24"/>
              </w:rPr>
            </w:pPr>
          </w:p>
        </w:tc>
        <w:tc>
          <w:tcPr>
            <w:tcW w:w="390" w:type="pct"/>
            <w:tcBorders>
              <w:top w:val="single" w:sz="4" w:space="0" w:color="auto"/>
              <w:left w:val="nil"/>
              <w:bottom w:val="nil"/>
              <w:right w:val="nil"/>
            </w:tcBorders>
            <w:vAlign w:val="center"/>
          </w:tcPr>
          <w:p w14:paraId="4F1820FE" w14:textId="77777777" w:rsidR="00023489" w:rsidRPr="00EE1660" w:rsidRDefault="00023489" w:rsidP="00023489">
            <w:pPr>
              <w:tabs>
                <w:tab w:val="left" w:pos="1134"/>
              </w:tabs>
              <w:jc w:val="center"/>
              <w:rPr>
                <w:rFonts w:cs="Arial"/>
                <w:szCs w:val="24"/>
              </w:rPr>
            </w:pPr>
            <w:r>
              <w:rPr>
                <w:rFonts w:cs="Arial"/>
                <w:szCs w:val="24"/>
              </w:rPr>
              <w:t>.28</w:t>
            </w:r>
          </w:p>
        </w:tc>
        <w:tc>
          <w:tcPr>
            <w:tcW w:w="450" w:type="pct"/>
            <w:tcBorders>
              <w:top w:val="single" w:sz="4" w:space="0" w:color="auto"/>
              <w:left w:val="nil"/>
              <w:bottom w:val="nil"/>
              <w:right w:val="nil"/>
            </w:tcBorders>
            <w:vAlign w:val="center"/>
          </w:tcPr>
          <w:p w14:paraId="6BB687DD" w14:textId="77777777" w:rsidR="00023489" w:rsidRPr="00EE1660" w:rsidRDefault="00023489" w:rsidP="00023489">
            <w:pPr>
              <w:tabs>
                <w:tab w:val="left" w:pos="1134"/>
              </w:tabs>
              <w:jc w:val="center"/>
              <w:rPr>
                <w:rFonts w:cs="Arial"/>
                <w:szCs w:val="24"/>
              </w:rPr>
            </w:pPr>
            <w:r>
              <w:rPr>
                <w:rFonts w:cs="Arial"/>
                <w:szCs w:val="24"/>
              </w:rPr>
              <w:t>-213.45</w:t>
            </w:r>
          </w:p>
        </w:tc>
        <w:tc>
          <w:tcPr>
            <w:tcW w:w="431" w:type="pct"/>
            <w:tcBorders>
              <w:top w:val="single" w:sz="4" w:space="0" w:color="auto"/>
              <w:left w:val="nil"/>
              <w:bottom w:val="nil"/>
              <w:right w:val="single" w:sz="4" w:space="0" w:color="auto"/>
            </w:tcBorders>
            <w:vAlign w:val="center"/>
          </w:tcPr>
          <w:p w14:paraId="54871016" w14:textId="77777777" w:rsidR="00023489" w:rsidRPr="00EE1660" w:rsidRDefault="00023489" w:rsidP="00023489">
            <w:pPr>
              <w:tabs>
                <w:tab w:val="left" w:pos="1134"/>
              </w:tabs>
              <w:jc w:val="center"/>
              <w:rPr>
                <w:rFonts w:cs="Arial"/>
                <w:szCs w:val="24"/>
              </w:rPr>
            </w:pPr>
            <w:r>
              <w:rPr>
                <w:rFonts w:cs="Arial"/>
                <w:szCs w:val="24"/>
              </w:rPr>
              <w:t>63.05</w:t>
            </w:r>
          </w:p>
        </w:tc>
        <w:tc>
          <w:tcPr>
            <w:tcW w:w="329" w:type="pct"/>
            <w:tcBorders>
              <w:top w:val="single" w:sz="4" w:space="0" w:color="auto"/>
              <w:left w:val="single" w:sz="4" w:space="0" w:color="auto"/>
              <w:bottom w:val="nil"/>
              <w:right w:val="nil"/>
            </w:tcBorders>
            <w:vAlign w:val="center"/>
          </w:tcPr>
          <w:p w14:paraId="5C80FDEC" w14:textId="77777777" w:rsidR="00023489" w:rsidRPr="00EE1660" w:rsidRDefault="00023489" w:rsidP="00023489">
            <w:pPr>
              <w:tabs>
                <w:tab w:val="left" w:pos="1134"/>
              </w:tabs>
              <w:jc w:val="center"/>
              <w:rPr>
                <w:rFonts w:cs="Arial"/>
                <w:szCs w:val="24"/>
              </w:rPr>
            </w:pPr>
            <w:r>
              <w:rPr>
                <w:rFonts w:cs="Arial"/>
                <w:szCs w:val="24"/>
              </w:rPr>
              <w:t>3.04</w:t>
            </w:r>
          </w:p>
        </w:tc>
        <w:tc>
          <w:tcPr>
            <w:tcW w:w="361" w:type="pct"/>
            <w:tcBorders>
              <w:top w:val="single" w:sz="4" w:space="0" w:color="auto"/>
              <w:left w:val="nil"/>
              <w:bottom w:val="nil"/>
              <w:right w:val="nil"/>
            </w:tcBorders>
            <w:vAlign w:val="center"/>
          </w:tcPr>
          <w:p w14:paraId="5B9A3015" w14:textId="77777777" w:rsidR="00023489" w:rsidRPr="00EE1660" w:rsidRDefault="00023489" w:rsidP="00023489">
            <w:pPr>
              <w:tabs>
                <w:tab w:val="left" w:pos="1134"/>
              </w:tabs>
              <w:jc w:val="center"/>
              <w:rPr>
                <w:rFonts w:cs="Arial"/>
                <w:szCs w:val="24"/>
              </w:rPr>
            </w:pPr>
            <w:r>
              <w:rPr>
                <w:rFonts w:cs="Arial"/>
                <w:szCs w:val="24"/>
              </w:rPr>
              <w:t>69.71</w:t>
            </w:r>
          </w:p>
        </w:tc>
        <w:tc>
          <w:tcPr>
            <w:tcW w:w="390" w:type="pct"/>
            <w:tcBorders>
              <w:top w:val="single" w:sz="4" w:space="0" w:color="auto"/>
              <w:left w:val="nil"/>
              <w:bottom w:val="nil"/>
              <w:right w:val="nil"/>
            </w:tcBorders>
            <w:vAlign w:val="center"/>
          </w:tcPr>
          <w:p w14:paraId="45337E4E" w14:textId="77777777" w:rsidR="00023489" w:rsidRPr="00EE1660" w:rsidRDefault="00023489" w:rsidP="00023489">
            <w:pPr>
              <w:tabs>
                <w:tab w:val="left" w:pos="1134"/>
              </w:tabs>
              <w:jc w:val="center"/>
              <w:rPr>
                <w:rFonts w:cs="Arial"/>
                <w:szCs w:val="24"/>
              </w:rPr>
            </w:pPr>
            <w:r>
              <w:rPr>
                <w:rFonts w:cs="Arial"/>
                <w:szCs w:val="24"/>
              </w:rPr>
              <w:t>.34</w:t>
            </w:r>
          </w:p>
        </w:tc>
        <w:tc>
          <w:tcPr>
            <w:tcW w:w="423" w:type="pct"/>
            <w:tcBorders>
              <w:top w:val="single" w:sz="4" w:space="0" w:color="auto"/>
              <w:left w:val="nil"/>
              <w:bottom w:val="nil"/>
              <w:right w:val="nil"/>
            </w:tcBorders>
            <w:vAlign w:val="center"/>
          </w:tcPr>
          <w:p w14:paraId="638146A8" w14:textId="77777777" w:rsidR="00023489" w:rsidRPr="00EE1660" w:rsidRDefault="00023489" w:rsidP="00023489">
            <w:pPr>
              <w:tabs>
                <w:tab w:val="left" w:pos="1134"/>
              </w:tabs>
              <w:jc w:val="center"/>
              <w:rPr>
                <w:rFonts w:cs="Arial"/>
                <w:szCs w:val="24"/>
              </w:rPr>
            </w:pPr>
            <w:r>
              <w:rPr>
                <w:rFonts w:cs="Arial"/>
                <w:szCs w:val="24"/>
              </w:rPr>
              <w:t>-260.66</w:t>
            </w:r>
          </w:p>
        </w:tc>
        <w:tc>
          <w:tcPr>
            <w:tcW w:w="427" w:type="pct"/>
            <w:tcBorders>
              <w:top w:val="single" w:sz="4" w:space="0" w:color="auto"/>
              <w:left w:val="nil"/>
              <w:bottom w:val="nil"/>
              <w:right w:val="nil"/>
            </w:tcBorders>
            <w:vAlign w:val="center"/>
          </w:tcPr>
          <w:p w14:paraId="71809071" w14:textId="77777777" w:rsidR="00023489" w:rsidRPr="00EE1660" w:rsidRDefault="00023489" w:rsidP="00023489">
            <w:pPr>
              <w:tabs>
                <w:tab w:val="left" w:pos="1134"/>
              </w:tabs>
              <w:jc w:val="center"/>
              <w:rPr>
                <w:rFonts w:cs="Arial"/>
                <w:szCs w:val="24"/>
              </w:rPr>
            </w:pPr>
            <w:r>
              <w:rPr>
                <w:rFonts w:cs="Arial"/>
                <w:szCs w:val="24"/>
              </w:rPr>
              <w:t>30.44</w:t>
            </w:r>
          </w:p>
        </w:tc>
      </w:tr>
      <w:tr w:rsidR="003C319D" w:rsidRPr="00EE1660" w14:paraId="084ED4DB" w14:textId="77777777" w:rsidTr="003C319D">
        <w:trPr>
          <w:trHeight w:val="645"/>
        </w:trPr>
        <w:tc>
          <w:tcPr>
            <w:tcW w:w="689" w:type="pct"/>
            <w:tcBorders>
              <w:top w:val="nil"/>
              <w:left w:val="nil"/>
              <w:bottom w:val="nil"/>
              <w:right w:val="nil"/>
            </w:tcBorders>
            <w:vAlign w:val="center"/>
          </w:tcPr>
          <w:p w14:paraId="5C922AE0" w14:textId="284A414B" w:rsidR="00023489" w:rsidRPr="00EE1660" w:rsidRDefault="00023489" w:rsidP="00023489">
            <w:pPr>
              <w:tabs>
                <w:tab w:val="left" w:pos="1134"/>
              </w:tabs>
              <w:rPr>
                <w:rFonts w:cs="Arial"/>
                <w:b/>
                <w:bCs/>
                <w:szCs w:val="24"/>
              </w:rPr>
            </w:pPr>
            <w:r>
              <w:rPr>
                <w:rFonts w:cs="Arial"/>
                <w:b/>
                <w:bCs/>
                <w:szCs w:val="24"/>
              </w:rPr>
              <w:t>Intolerance of uncertainty</w:t>
            </w:r>
            <w:r w:rsidR="003C319D">
              <w:rPr>
                <w:rFonts w:cs="Arial"/>
                <w:b/>
                <w:bCs/>
                <w:szCs w:val="24"/>
              </w:rPr>
              <w:t xml:space="preserve"> (IUS-12)</w:t>
            </w:r>
          </w:p>
        </w:tc>
        <w:tc>
          <w:tcPr>
            <w:tcW w:w="390" w:type="pct"/>
            <w:tcBorders>
              <w:top w:val="nil"/>
              <w:left w:val="nil"/>
              <w:bottom w:val="nil"/>
              <w:right w:val="nil"/>
            </w:tcBorders>
            <w:vAlign w:val="center"/>
          </w:tcPr>
          <w:p w14:paraId="6E83C663" w14:textId="77777777" w:rsidR="00023489" w:rsidRPr="00EE1660" w:rsidRDefault="00023489" w:rsidP="00023489">
            <w:pPr>
              <w:tabs>
                <w:tab w:val="left" w:pos="1134"/>
              </w:tabs>
              <w:jc w:val="center"/>
              <w:rPr>
                <w:rFonts w:cs="Arial"/>
                <w:szCs w:val="24"/>
              </w:rPr>
            </w:pPr>
            <w:r>
              <w:rPr>
                <w:rFonts w:cs="Arial"/>
                <w:szCs w:val="24"/>
              </w:rPr>
              <w:t>-.07</w:t>
            </w:r>
          </w:p>
        </w:tc>
        <w:tc>
          <w:tcPr>
            <w:tcW w:w="391" w:type="pct"/>
            <w:tcBorders>
              <w:top w:val="nil"/>
              <w:left w:val="nil"/>
              <w:bottom w:val="nil"/>
              <w:right w:val="nil"/>
            </w:tcBorders>
            <w:vAlign w:val="center"/>
          </w:tcPr>
          <w:p w14:paraId="505EBD33" w14:textId="77777777" w:rsidR="00023489" w:rsidRPr="00EE1660" w:rsidRDefault="00023489" w:rsidP="00023489">
            <w:pPr>
              <w:tabs>
                <w:tab w:val="left" w:pos="1134"/>
              </w:tabs>
              <w:jc w:val="center"/>
              <w:rPr>
                <w:rFonts w:cs="Arial"/>
                <w:szCs w:val="24"/>
              </w:rPr>
            </w:pPr>
            <w:r>
              <w:rPr>
                <w:rFonts w:cs="Arial"/>
                <w:szCs w:val="24"/>
              </w:rPr>
              <w:t>2.20</w:t>
            </w:r>
          </w:p>
        </w:tc>
        <w:tc>
          <w:tcPr>
            <w:tcW w:w="329" w:type="pct"/>
            <w:tcBorders>
              <w:top w:val="nil"/>
              <w:left w:val="nil"/>
              <w:bottom w:val="nil"/>
              <w:right w:val="nil"/>
            </w:tcBorders>
            <w:vAlign w:val="center"/>
          </w:tcPr>
          <w:p w14:paraId="5D8D2378" w14:textId="77777777" w:rsidR="00023489" w:rsidRPr="00EE1660" w:rsidRDefault="00023489" w:rsidP="00023489">
            <w:pPr>
              <w:tabs>
                <w:tab w:val="left" w:pos="1134"/>
              </w:tabs>
              <w:jc w:val="center"/>
              <w:rPr>
                <w:rFonts w:cs="Arial"/>
                <w:szCs w:val="24"/>
              </w:rPr>
            </w:pPr>
            <w:r>
              <w:rPr>
                <w:rFonts w:cs="Arial"/>
                <w:szCs w:val="24"/>
              </w:rPr>
              <w:t>-.01</w:t>
            </w:r>
          </w:p>
        </w:tc>
        <w:tc>
          <w:tcPr>
            <w:tcW w:w="390" w:type="pct"/>
            <w:tcBorders>
              <w:top w:val="nil"/>
              <w:left w:val="nil"/>
              <w:bottom w:val="nil"/>
              <w:right w:val="nil"/>
            </w:tcBorders>
            <w:vAlign w:val="center"/>
          </w:tcPr>
          <w:p w14:paraId="0A96998C" w14:textId="77777777" w:rsidR="00023489" w:rsidRPr="00EE1660" w:rsidRDefault="00023489" w:rsidP="00023489">
            <w:pPr>
              <w:tabs>
                <w:tab w:val="left" w:pos="1134"/>
              </w:tabs>
              <w:jc w:val="center"/>
              <w:rPr>
                <w:rFonts w:cs="Arial"/>
                <w:szCs w:val="24"/>
              </w:rPr>
            </w:pPr>
            <w:r>
              <w:rPr>
                <w:rFonts w:cs="Arial"/>
                <w:szCs w:val="24"/>
              </w:rPr>
              <w:t>.98</w:t>
            </w:r>
          </w:p>
        </w:tc>
        <w:tc>
          <w:tcPr>
            <w:tcW w:w="450" w:type="pct"/>
            <w:tcBorders>
              <w:top w:val="nil"/>
              <w:left w:val="nil"/>
              <w:bottom w:val="nil"/>
              <w:right w:val="nil"/>
            </w:tcBorders>
            <w:vAlign w:val="center"/>
          </w:tcPr>
          <w:p w14:paraId="4E8D595D" w14:textId="77777777" w:rsidR="00023489" w:rsidRPr="00EE1660" w:rsidRDefault="00023489" w:rsidP="00023489">
            <w:pPr>
              <w:tabs>
                <w:tab w:val="left" w:pos="1134"/>
              </w:tabs>
              <w:jc w:val="center"/>
              <w:rPr>
                <w:rFonts w:cs="Arial"/>
                <w:szCs w:val="24"/>
              </w:rPr>
            </w:pPr>
            <w:r>
              <w:rPr>
                <w:rFonts w:cs="Arial"/>
                <w:szCs w:val="24"/>
              </w:rPr>
              <w:t>-4.45</w:t>
            </w:r>
          </w:p>
        </w:tc>
        <w:tc>
          <w:tcPr>
            <w:tcW w:w="431" w:type="pct"/>
            <w:tcBorders>
              <w:top w:val="nil"/>
              <w:left w:val="nil"/>
              <w:bottom w:val="nil"/>
              <w:right w:val="single" w:sz="4" w:space="0" w:color="auto"/>
            </w:tcBorders>
            <w:vAlign w:val="center"/>
          </w:tcPr>
          <w:p w14:paraId="1FAA25E5" w14:textId="77777777" w:rsidR="00023489" w:rsidRPr="00EE1660" w:rsidRDefault="00023489" w:rsidP="00023489">
            <w:pPr>
              <w:tabs>
                <w:tab w:val="left" w:pos="1134"/>
              </w:tabs>
              <w:jc w:val="center"/>
              <w:rPr>
                <w:rFonts w:cs="Arial"/>
                <w:szCs w:val="24"/>
              </w:rPr>
            </w:pPr>
            <w:r>
              <w:rPr>
                <w:rFonts w:cs="Arial"/>
                <w:szCs w:val="24"/>
              </w:rPr>
              <w:t>4.32</w:t>
            </w:r>
          </w:p>
        </w:tc>
        <w:tc>
          <w:tcPr>
            <w:tcW w:w="329" w:type="pct"/>
            <w:tcBorders>
              <w:top w:val="nil"/>
              <w:left w:val="single" w:sz="4" w:space="0" w:color="auto"/>
              <w:bottom w:val="nil"/>
              <w:right w:val="nil"/>
            </w:tcBorders>
            <w:vAlign w:val="center"/>
          </w:tcPr>
          <w:p w14:paraId="5D7C8540" w14:textId="77777777" w:rsidR="00023489" w:rsidRPr="00EE1660" w:rsidRDefault="00023489" w:rsidP="00023489">
            <w:pPr>
              <w:tabs>
                <w:tab w:val="left" w:pos="1134"/>
              </w:tabs>
              <w:jc w:val="center"/>
              <w:rPr>
                <w:rFonts w:cs="Arial"/>
                <w:szCs w:val="24"/>
              </w:rPr>
            </w:pPr>
            <w:r>
              <w:rPr>
                <w:rFonts w:cs="Arial"/>
                <w:szCs w:val="24"/>
              </w:rPr>
              <w:t>-.06</w:t>
            </w:r>
          </w:p>
        </w:tc>
        <w:tc>
          <w:tcPr>
            <w:tcW w:w="361" w:type="pct"/>
            <w:tcBorders>
              <w:top w:val="nil"/>
              <w:left w:val="nil"/>
              <w:bottom w:val="nil"/>
              <w:right w:val="nil"/>
            </w:tcBorders>
            <w:vAlign w:val="center"/>
          </w:tcPr>
          <w:p w14:paraId="0D10D7E6" w14:textId="77777777" w:rsidR="00023489" w:rsidRPr="00EE1660" w:rsidRDefault="00023489" w:rsidP="00023489">
            <w:pPr>
              <w:tabs>
                <w:tab w:val="left" w:pos="1134"/>
              </w:tabs>
              <w:jc w:val="center"/>
              <w:rPr>
                <w:rFonts w:cs="Arial"/>
                <w:szCs w:val="24"/>
              </w:rPr>
            </w:pPr>
            <w:r>
              <w:rPr>
                <w:rFonts w:cs="Arial"/>
                <w:szCs w:val="24"/>
              </w:rPr>
              <w:t>1.70</w:t>
            </w:r>
          </w:p>
        </w:tc>
        <w:tc>
          <w:tcPr>
            <w:tcW w:w="390" w:type="pct"/>
            <w:tcBorders>
              <w:top w:val="nil"/>
              <w:left w:val="nil"/>
              <w:bottom w:val="nil"/>
              <w:right w:val="nil"/>
            </w:tcBorders>
            <w:vAlign w:val="center"/>
          </w:tcPr>
          <w:p w14:paraId="5A373864" w14:textId="77777777" w:rsidR="00023489" w:rsidRPr="00EE1660" w:rsidRDefault="00023489" w:rsidP="00023489">
            <w:pPr>
              <w:tabs>
                <w:tab w:val="left" w:pos="1134"/>
              </w:tabs>
              <w:jc w:val="center"/>
              <w:rPr>
                <w:rFonts w:cs="Arial"/>
                <w:szCs w:val="24"/>
              </w:rPr>
            </w:pPr>
            <w:r>
              <w:rPr>
                <w:rFonts w:cs="Arial"/>
                <w:szCs w:val="24"/>
              </w:rPr>
              <w:t>.97</w:t>
            </w:r>
          </w:p>
        </w:tc>
        <w:tc>
          <w:tcPr>
            <w:tcW w:w="423" w:type="pct"/>
            <w:tcBorders>
              <w:top w:val="nil"/>
              <w:left w:val="nil"/>
              <w:bottom w:val="nil"/>
              <w:right w:val="nil"/>
            </w:tcBorders>
            <w:vAlign w:val="center"/>
          </w:tcPr>
          <w:p w14:paraId="137B4A1E" w14:textId="77777777" w:rsidR="00023489" w:rsidRPr="00EE1660" w:rsidRDefault="00023489" w:rsidP="00023489">
            <w:pPr>
              <w:tabs>
                <w:tab w:val="left" w:pos="1134"/>
              </w:tabs>
              <w:jc w:val="center"/>
              <w:rPr>
                <w:rFonts w:cs="Arial"/>
                <w:szCs w:val="24"/>
              </w:rPr>
            </w:pPr>
            <w:r>
              <w:rPr>
                <w:rFonts w:cs="Arial"/>
                <w:szCs w:val="24"/>
              </w:rPr>
              <w:t>-3.28</w:t>
            </w:r>
          </w:p>
        </w:tc>
        <w:tc>
          <w:tcPr>
            <w:tcW w:w="427" w:type="pct"/>
            <w:tcBorders>
              <w:top w:val="nil"/>
              <w:left w:val="nil"/>
              <w:bottom w:val="nil"/>
              <w:right w:val="nil"/>
            </w:tcBorders>
            <w:vAlign w:val="center"/>
          </w:tcPr>
          <w:p w14:paraId="7BD7290D" w14:textId="77777777" w:rsidR="00023489" w:rsidRPr="00EE1660" w:rsidRDefault="00023489" w:rsidP="00023489">
            <w:pPr>
              <w:tabs>
                <w:tab w:val="left" w:pos="1134"/>
              </w:tabs>
              <w:jc w:val="center"/>
              <w:rPr>
                <w:rFonts w:cs="Arial"/>
                <w:szCs w:val="24"/>
              </w:rPr>
            </w:pPr>
            <w:r>
              <w:rPr>
                <w:rFonts w:cs="Arial"/>
                <w:szCs w:val="24"/>
              </w:rPr>
              <w:t>3.01</w:t>
            </w:r>
          </w:p>
        </w:tc>
      </w:tr>
      <w:tr w:rsidR="003C319D" w:rsidRPr="00EE1660" w14:paraId="12F10A37" w14:textId="77777777" w:rsidTr="003C319D">
        <w:trPr>
          <w:trHeight w:val="645"/>
        </w:trPr>
        <w:tc>
          <w:tcPr>
            <w:tcW w:w="689" w:type="pct"/>
            <w:tcBorders>
              <w:top w:val="nil"/>
              <w:left w:val="nil"/>
              <w:bottom w:val="nil"/>
              <w:right w:val="nil"/>
            </w:tcBorders>
            <w:vAlign w:val="center"/>
          </w:tcPr>
          <w:p w14:paraId="53489639" w14:textId="42036F21" w:rsidR="00023489" w:rsidRDefault="00023489" w:rsidP="00023489">
            <w:pPr>
              <w:tabs>
                <w:tab w:val="left" w:pos="1134"/>
              </w:tabs>
              <w:rPr>
                <w:rFonts w:cs="Arial"/>
                <w:b/>
                <w:bCs/>
                <w:szCs w:val="24"/>
              </w:rPr>
            </w:pPr>
            <w:r>
              <w:rPr>
                <w:rFonts w:cs="Arial"/>
                <w:b/>
                <w:bCs/>
                <w:szCs w:val="24"/>
              </w:rPr>
              <w:t>Anxiety sensitivity</w:t>
            </w:r>
            <w:r w:rsidR="003C319D">
              <w:rPr>
                <w:rFonts w:cs="Arial"/>
                <w:b/>
                <w:bCs/>
                <w:szCs w:val="24"/>
              </w:rPr>
              <w:t xml:space="preserve"> (ASI-3)</w:t>
            </w:r>
          </w:p>
        </w:tc>
        <w:tc>
          <w:tcPr>
            <w:tcW w:w="390" w:type="pct"/>
            <w:tcBorders>
              <w:top w:val="nil"/>
              <w:left w:val="nil"/>
              <w:bottom w:val="nil"/>
              <w:right w:val="nil"/>
            </w:tcBorders>
            <w:vAlign w:val="center"/>
          </w:tcPr>
          <w:p w14:paraId="22B7D92F" w14:textId="77777777" w:rsidR="00023489" w:rsidRDefault="00023489" w:rsidP="00023489">
            <w:pPr>
              <w:tabs>
                <w:tab w:val="left" w:pos="1134"/>
              </w:tabs>
              <w:jc w:val="center"/>
              <w:rPr>
                <w:rFonts w:cs="Arial"/>
                <w:szCs w:val="24"/>
              </w:rPr>
            </w:pPr>
            <w:r>
              <w:rPr>
                <w:rFonts w:cs="Arial"/>
                <w:szCs w:val="24"/>
              </w:rPr>
              <w:t>1.50</w:t>
            </w:r>
          </w:p>
        </w:tc>
        <w:tc>
          <w:tcPr>
            <w:tcW w:w="391" w:type="pct"/>
            <w:tcBorders>
              <w:top w:val="nil"/>
              <w:left w:val="nil"/>
              <w:bottom w:val="nil"/>
              <w:right w:val="nil"/>
            </w:tcBorders>
            <w:vAlign w:val="center"/>
          </w:tcPr>
          <w:p w14:paraId="021396B3" w14:textId="77777777" w:rsidR="00023489" w:rsidRDefault="00023489" w:rsidP="00023489">
            <w:pPr>
              <w:tabs>
                <w:tab w:val="left" w:pos="1134"/>
              </w:tabs>
              <w:jc w:val="center"/>
              <w:rPr>
                <w:rFonts w:cs="Arial"/>
                <w:szCs w:val="24"/>
              </w:rPr>
            </w:pPr>
            <w:r>
              <w:rPr>
                <w:rFonts w:cs="Arial"/>
                <w:szCs w:val="24"/>
              </w:rPr>
              <w:t>1.49</w:t>
            </w:r>
          </w:p>
        </w:tc>
        <w:tc>
          <w:tcPr>
            <w:tcW w:w="329" w:type="pct"/>
            <w:tcBorders>
              <w:top w:val="nil"/>
              <w:left w:val="nil"/>
              <w:bottom w:val="nil"/>
              <w:right w:val="nil"/>
            </w:tcBorders>
            <w:vAlign w:val="center"/>
          </w:tcPr>
          <w:p w14:paraId="44891476" w14:textId="77777777" w:rsidR="00023489" w:rsidRDefault="00023489" w:rsidP="00023489">
            <w:pPr>
              <w:tabs>
                <w:tab w:val="left" w:pos="1134"/>
              </w:tabs>
              <w:jc w:val="center"/>
              <w:rPr>
                <w:rFonts w:cs="Arial"/>
                <w:szCs w:val="24"/>
              </w:rPr>
            </w:pPr>
            <w:r>
              <w:rPr>
                <w:rFonts w:cs="Arial"/>
                <w:szCs w:val="24"/>
              </w:rPr>
              <w:t>.20</w:t>
            </w:r>
          </w:p>
        </w:tc>
        <w:tc>
          <w:tcPr>
            <w:tcW w:w="390" w:type="pct"/>
            <w:tcBorders>
              <w:top w:val="nil"/>
              <w:left w:val="nil"/>
              <w:bottom w:val="nil"/>
              <w:right w:val="nil"/>
            </w:tcBorders>
            <w:vAlign w:val="center"/>
          </w:tcPr>
          <w:p w14:paraId="59E2DEFD" w14:textId="77777777" w:rsidR="00023489" w:rsidRDefault="00023489" w:rsidP="00023489">
            <w:pPr>
              <w:tabs>
                <w:tab w:val="left" w:pos="1134"/>
              </w:tabs>
              <w:jc w:val="center"/>
              <w:rPr>
                <w:rFonts w:cs="Arial"/>
                <w:szCs w:val="24"/>
              </w:rPr>
            </w:pPr>
            <w:r>
              <w:rPr>
                <w:rFonts w:cs="Arial"/>
                <w:szCs w:val="24"/>
              </w:rPr>
              <w:t>.32</w:t>
            </w:r>
          </w:p>
        </w:tc>
        <w:tc>
          <w:tcPr>
            <w:tcW w:w="450" w:type="pct"/>
            <w:tcBorders>
              <w:top w:val="nil"/>
              <w:left w:val="nil"/>
              <w:bottom w:val="nil"/>
              <w:right w:val="nil"/>
            </w:tcBorders>
            <w:vAlign w:val="center"/>
          </w:tcPr>
          <w:p w14:paraId="6F9184DF" w14:textId="77777777" w:rsidR="00023489" w:rsidRDefault="00023489" w:rsidP="00023489">
            <w:pPr>
              <w:tabs>
                <w:tab w:val="left" w:pos="1134"/>
              </w:tabs>
              <w:jc w:val="center"/>
              <w:rPr>
                <w:rFonts w:cs="Arial"/>
                <w:szCs w:val="24"/>
              </w:rPr>
            </w:pPr>
            <w:r>
              <w:rPr>
                <w:rFonts w:cs="Arial"/>
                <w:szCs w:val="24"/>
              </w:rPr>
              <w:t>-1.46</w:t>
            </w:r>
          </w:p>
        </w:tc>
        <w:tc>
          <w:tcPr>
            <w:tcW w:w="431" w:type="pct"/>
            <w:tcBorders>
              <w:top w:val="nil"/>
              <w:left w:val="nil"/>
              <w:bottom w:val="nil"/>
              <w:right w:val="single" w:sz="4" w:space="0" w:color="auto"/>
            </w:tcBorders>
            <w:vAlign w:val="center"/>
          </w:tcPr>
          <w:p w14:paraId="3CA34D9B" w14:textId="77777777" w:rsidR="00023489" w:rsidRDefault="00023489" w:rsidP="00023489">
            <w:pPr>
              <w:tabs>
                <w:tab w:val="left" w:pos="1134"/>
              </w:tabs>
              <w:jc w:val="center"/>
              <w:rPr>
                <w:rFonts w:cs="Arial"/>
                <w:szCs w:val="24"/>
              </w:rPr>
            </w:pPr>
            <w:r>
              <w:rPr>
                <w:rFonts w:cs="Arial"/>
                <w:szCs w:val="24"/>
              </w:rPr>
              <w:t>4.46</w:t>
            </w:r>
          </w:p>
        </w:tc>
        <w:tc>
          <w:tcPr>
            <w:tcW w:w="329" w:type="pct"/>
            <w:tcBorders>
              <w:top w:val="nil"/>
              <w:left w:val="single" w:sz="4" w:space="0" w:color="auto"/>
              <w:bottom w:val="nil"/>
              <w:right w:val="nil"/>
            </w:tcBorders>
            <w:vAlign w:val="center"/>
          </w:tcPr>
          <w:p w14:paraId="5FE5110B" w14:textId="77777777" w:rsidR="00023489" w:rsidRDefault="00023489" w:rsidP="00023489">
            <w:pPr>
              <w:tabs>
                <w:tab w:val="left" w:pos="1134"/>
              </w:tabs>
              <w:jc w:val="center"/>
              <w:rPr>
                <w:rFonts w:cs="Arial"/>
                <w:szCs w:val="24"/>
              </w:rPr>
            </w:pPr>
            <w:r>
              <w:rPr>
                <w:rFonts w:cs="Arial"/>
                <w:szCs w:val="24"/>
              </w:rPr>
              <w:t>.03</w:t>
            </w:r>
          </w:p>
        </w:tc>
        <w:tc>
          <w:tcPr>
            <w:tcW w:w="361" w:type="pct"/>
            <w:tcBorders>
              <w:top w:val="nil"/>
              <w:left w:val="nil"/>
              <w:bottom w:val="nil"/>
              <w:right w:val="nil"/>
            </w:tcBorders>
            <w:vAlign w:val="center"/>
          </w:tcPr>
          <w:p w14:paraId="71CBB5C0" w14:textId="77777777" w:rsidR="00023489" w:rsidRDefault="00023489" w:rsidP="00023489">
            <w:pPr>
              <w:tabs>
                <w:tab w:val="left" w:pos="1134"/>
              </w:tabs>
              <w:jc w:val="center"/>
              <w:rPr>
                <w:rFonts w:cs="Arial"/>
                <w:szCs w:val="24"/>
              </w:rPr>
            </w:pPr>
            <w:r>
              <w:rPr>
                <w:rFonts w:cs="Arial"/>
                <w:szCs w:val="24"/>
              </w:rPr>
              <w:t>1.70</w:t>
            </w:r>
          </w:p>
        </w:tc>
        <w:tc>
          <w:tcPr>
            <w:tcW w:w="390" w:type="pct"/>
            <w:tcBorders>
              <w:top w:val="nil"/>
              <w:left w:val="nil"/>
              <w:bottom w:val="nil"/>
              <w:right w:val="nil"/>
            </w:tcBorders>
            <w:vAlign w:val="center"/>
          </w:tcPr>
          <w:p w14:paraId="2F087007" w14:textId="77777777" w:rsidR="00023489" w:rsidRDefault="00023489" w:rsidP="00023489">
            <w:pPr>
              <w:tabs>
                <w:tab w:val="left" w:pos="1134"/>
              </w:tabs>
              <w:jc w:val="center"/>
              <w:rPr>
                <w:rFonts w:cs="Arial"/>
                <w:szCs w:val="24"/>
              </w:rPr>
            </w:pPr>
            <w:r>
              <w:rPr>
                <w:rFonts w:cs="Arial"/>
                <w:szCs w:val="24"/>
              </w:rPr>
              <w:t>.25</w:t>
            </w:r>
          </w:p>
        </w:tc>
        <w:tc>
          <w:tcPr>
            <w:tcW w:w="423" w:type="pct"/>
            <w:tcBorders>
              <w:top w:val="nil"/>
              <w:left w:val="nil"/>
              <w:bottom w:val="nil"/>
              <w:right w:val="nil"/>
            </w:tcBorders>
            <w:vAlign w:val="center"/>
          </w:tcPr>
          <w:p w14:paraId="71BE77F5" w14:textId="77777777" w:rsidR="00023489" w:rsidRDefault="00023489" w:rsidP="00023489">
            <w:pPr>
              <w:tabs>
                <w:tab w:val="left" w:pos="1134"/>
              </w:tabs>
              <w:jc w:val="center"/>
              <w:rPr>
                <w:rFonts w:cs="Arial"/>
                <w:szCs w:val="24"/>
              </w:rPr>
            </w:pPr>
            <w:r>
              <w:rPr>
                <w:rFonts w:cs="Arial"/>
                <w:szCs w:val="24"/>
              </w:rPr>
              <w:t>-.06</w:t>
            </w:r>
          </w:p>
        </w:tc>
        <w:tc>
          <w:tcPr>
            <w:tcW w:w="427" w:type="pct"/>
            <w:tcBorders>
              <w:top w:val="nil"/>
              <w:left w:val="nil"/>
              <w:bottom w:val="nil"/>
              <w:right w:val="nil"/>
            </w:tcBorders>
            <w:vAlign w:val="center"/>
          </w:tcPr>
          <w:p w14:paraId="330CF3C8" w14:textId="77777777" w:rsidR="00023489" w:rsidRDefault="00023489" w:rsidP="00023489">
            <w:pPr>
              <w:tabs>
                <w:tab w:val="left" w:pos="1134"/>
              </w:tabs>
              <w:jc w:val="center"/>
              <w:rPr>
                <w:rFonts w:cs="Arial"/>
                <w:szCs w:val="24"/>
              </w:rPr>
            </w:pPr>
            <w:r>
              <w:rPr>
                <w:rFonts w:cs="Arial"/>
                <w:szCs w:val="24"/>
              </w:rPr>
              <w:t>3.95</w:t>
            </w:r>
          </w:p>
        </w:tc>
      </w:tr>
      <w:tr w:rsidR="003C319D" w:rsidRPr="00EE1660" w14:paraId="5DF53F60" w14:textId="77777777" w:rsidTr="003C319D">
        <w:trPr>
          <w:trHeight w:val="645"/>
        </w:trPr>
        <w:tc>
          <w:tcPr>
            <w:tcW w:w="689" w:type="pct"/>
            <w:tcBorders>
              <w:top w:val="nil"/>
              <w:left w:val="nil"/>
              <w:bottom w:val="nil"/>
              <w:right w:val="nil"/>
            </w:tcBorders>
            <w:vAlign w:val="center"/>
          </w:tcPr>
          <w:p w14:paraId="44218931" w14:textId="7FA95042" w:rsidR="00023489" w:rsidRDefault="00023489" w:rsidP="00023489">
            <w:pPr>
              <w:tabs>
                <w:tab w:val="left" w:pos="1134"/>
              </w:tabs>
              <w:rPr>
                <w:rFonts w:cs="Arial"/>
                <w:b/>
                <w:bCs/>
                <w:szCs w:val="24"/>
              </w:rPr>
            </w:pPr>
            <w:r>
              <w:rPr>
                <w:rFonts w:cs="Arial"/>
                <w:b/>
                <w:bCs/>
                <w:szCs w:val="24"/>
              </w:rPr>
              <w:t>Anxiety</w:t>
            </w:r>
            <w:r w:rsidR="003C319D">
              <w:rPr>
                <w:rFonts w:cs="Arial"/>
                <w:b/>
                <w:bCs/>
                <w:szCs w:val="24"/>
              </w:rPr>
              <w:t xml:space="preserve"> (GAD-7)</w:t>
            </w:r>
          </w:p>
        </w:tc>
        <w:tc>
          <w:tcPr>
            <w:tcW w:w="390" w:type="pct"/>
            <w:tcBorders>
              <w:top w:val="nil"/>
              <w:left w:val="nil"/>
              <w:bottom w:val="nil"/>
              <w:right w:val="nil"/>
            </w:tcBorders>
            <w:vAlign w:val="center"/>
          </w:tcPr>
          <w:p w14:paraId="5598F2E4" w14:textId="77777777" w:rsidR="00023489" w:rsidRDefault="00023489" w:rsidP="00023489">
            <w:pPr>
              <w:tabs>
                <w:tab w:val="left" w:pos="1134"/>
              </w:tabs>
              <w:jc w:val="center"/>
              <w:rPr>
                <w:rFonts w:cs="Arial"/>
                <w:szCs w:val="24"/>
              </w:rPr>
            </w:pPr>
            <w:r>
              <w:rPr>
                <w:rFonts w:cs="Arial"/>
                <w:szCs w:val="24"/>
              </w:rPr>
              <w:t>-5.67</w:t>
            </w:r>
          </w:p>
        </w:tc>
        <w:tc>
          <w:tcPr>
            <w:tcW w:w="391" w:type="pct"/>
            <w:tcBorders>
              <w:top w:val="nil"/>
              <w:left w:val="nil"/>
              <w:bottom w:val="nil"/>
              <w:right w:val="nil"/>
            </w:tcBorders>
            <w:vAlign w:val="center"/>
          </w:tcPr>
          <w:p w14:paraId="67AB09B7" w14:textId="77777777" w:rsidR="00023489" w:rsidRDefault="00023489" w:rsidP="00023489">
            <w:pPr>
              <w:tabs>
                <w:tab w:val="left" w:pos="1134"/>
              </w:tabs>
              <w:jc w:val="center"/>
              <w:rPr>
                <w:rFonts w:cs="Arial"/>
                <w:szCs w:val="24"/>
              </w:rPr>
            </w:pPr>
            <w:r>
              <w:rPr>
                <w:rFonts w:cs="Arial"/>
                <w:szCs w:val="24"/>
              </w:rPr>
              <w:t>4.33</w:t>
            </w:r>
          </w:p>
        </w:tc>
        <w:tc>
          <w:tcPr>
            <w:tcW w:w="329" w:type="pct"/>
            <w:tcBorders>
              <w:top w:val="nil"/>
              <w:left w:val="nil"/>
              <w:bottom w:val="nil"/>
              <w:right w:val="nil"/>
            </w:tcBorders>
            <w:vAlign w:val="center"/>
          </w:tcPr>
          <w:p w14:paraId="27A0991C" w14:textId="77777777" w:rsidR="00023489" w:rsidRDefault="00023489" w:rsidP="00023489">
            <w:pPr>
              <w:tabs>
                <w:tab w:val="left" w:pos="1134"/>
              </w:tabs>
              <w:jc w:val="center"/>
              <w:rPr>
                <w:rFonts w:cs="Arial"/>
                <w:szCs w:val="24"/>
              </w:rPr>
            </w:pPr>
            <w:r>
              <w:rPr>
                <w:rFonts w:cs="Arial"/>
                <w:szCs w:val="24"/>
              </w:rPr>
              <w:t>-.28</w:t>
            </w:r>
          </w:p>
        </w:tc>
        <w:tc>
          <w:tcPr>
            <w:tcW w:w="390" w:type="pct"/>
            <w:tcBorders>
              <w:top w:val="nil"/>
              <w:left w:val="nil"/>
              <w:bottom w:val="nil"/>
              <w:right w:val="nil"/>
            </w:tcBorders>
            <w:vAlign w:val="center"/>
          </w:tcPr>
          <w:p w14:paraId="571E82AA" w14:textId="77777777" w:rsidR="00023489" w:rsidRDefault="00023489" w:rsidP="00023489">
            <w:pPr>
              <w:tabs>
                <w:tab w:val="left" w:pos="1134"/>
              </w:tabs>
              <w:jc w:val="center"/>
              <w:rPr>
                <w:rFonts w:cs="Arial"/>
                <w:szCs w:val="24"/>
              </w:rPr>
            </w:pPr>
            <w:r>
              <w:rPr>
                <w:rFonts w:cs="Arial"/>
                <w:szCs w:val="24"/>
              </w:rPr>
              <w:t>.19</w:t>
            </w:r>
          </w:p>
        </w:tc>
        <w:tc>
          <w:tcPr>
            <w:tcW w:w="450" w:type="pct"/>
            <w:tcBorders>
              <w:top w:val="nil"/>
              <w:left w:val="nil"/>
              <w:bottom w:val="nil"/>
              <w:right w:val="nil"/>
            </w:tcBorders>
            <w:vAlign w:val="center"/>
          </w:tcPr>
          <w:p w14:paraId="48879623" w14:textId="77777777" w:rsidR="00023489" w:rsidRDefault="00023489" w:rsidP="00023489">
            <w:pPr>
              <w:tabs>
                <w:tab w:val="left" w:pos="1134"/>
              </w:tabs>
              <w:jc w:val="center"/>
              <w:rPr>
                <w:rFonts w:cs="Arial"/>
                <w:szCs w:val="24"/>
              </w:rPr>
            </w:pPr>
            <w:r>
              <w:rPr>
                <w:rFonts w:cs="Arial"/>
                <w:szCs w:val="24"/>
              </w:rPr>
              <w:t>-14.29</w:t>
            </w:r>
          </w:p>
        </w:tc>
        <w:tc>
          <w:tcPr>
            <w:tcW w:w="431" w:type="pct"/>
            <w:tcBorders>
              <w:top w:val="nil"/>
              <w:left w:val="nil"/>
              <w:bottom w:val="nil"/>
              <w:right w:val="single" w:sz="4" w:space="0" w:color="auto"/>
            </w:tcBorders>
            <w:vAlign w:val="center"/>
          </w:tcPr>
          <w:p w14:paraId="1497A984" w14:textId="77777777" w:rsidR="00023489" w:rsidRDefault="00023489" w:rsidP="00023489">
            <w:pPr>
              <w:tabs>
                <w:tab w:val="left" w:pos="1134"/>
              </w:tabs>
              <w:jc w:val="center"/>
              <w:rPr>
                <w:rFonts w:cs="Arial"/>
                <w:szCs w:val="24"/>
              </w:rPr>
            </w:pPr>
            <w:r>
              <w:rPr>
                <w:rFonts w:cs="Arial"/>
                <w:szCs w:val="24"/>
              </w:rPr>
              <w:t>2.95</w:t>
            </w:r>
          </w:p>
        </w:tc>
        <w:tc>
          <w:tcPr>
            <w:tcW w:w="329" w:type="pct"/>
            <w:tcBorders>
              <w:top w:val="nil"/>
              <w:left w:val="single" w:sz="4" w:space="0" w:color="auto"/>
              <w:bottom w:val="nil"/>
              <w:right w:val="nil"/>
            </w:tcBorders>
            <w:vAlign w:val="center"/>
          </w:tcPr>
          <w:p w14:paraId="194ED68B" w14:textId="77777777" w:rsidR="00023489" w:rsidRDefault="00023489" w:rsidP="00023489">
            <w:pPr>
              <w:tabs>
                <w:tab w:val="left" w:pos="1134"/>
              </w:tabs>
              <w:jc w:val="center"/>
              <w:rPr>
                <w:rFonts w:cs="Arial"/>
                <w:szCs w:val="24"/>
              </w:rPr>
            </w:pPr>
            <w:r>
              <w:rPr>
                <w:rFonts w:cs="Arial"/>
                <w:szCs w:val="24"/>
              </w:rPr>
              <w:t>-.08</w:t>
            </w:r>
          </w:p>
        </w:tc>
        <w:tc>
          <w:tcPr>
            <w:tcW w:w="361" w:type="pct"/>
            <w:tcBorders>
              <w:top w:val="nil"/>
              <w:left w:val="nil"/>
              <w:bottom w:val="nil"/>
              <w:right w:val="nil"/>
            </w:tcBorders>
            <w:vAlign w:val="center"/>
          </w:tcPr>
          <w:p w14:paraId="00893EB5" w14:textId="77777777" w:rsidR="00023489" w:rsidRDefault="00023489" w:rsidP="00023489">
            <w:pPr>
              <w:tabs>
                <w:tab w:val="left" w:pos="1134"/>
              </w:tabs>
              <w:jc w:val="center"/>
              <w:rPr>
                <w:rFonts w:cs="Arial"/>
                <w:szCs w:val="24"/>
              </w:rPr>
            </w:pPr>
            <w:r>
              <w:rPr>
                <w:rFonts w:cs="Arial"/>
                <w:szCs w:val="24"/>
              </w:rPr>
              <w:t>5.68</w:t>
            </w:r>
          </w:p>
        </w:tc>
        <w:tc>
          <w:tcPr>
            <w:tcW w:w="390" w:type="pct"/>
            <w:tcBorders>
              <w:top w:val="nil"/>
              <w:left w:val="nil"/>
              <w:bottom w:val="nil"/>
              <w:right w:val="nil"/>
            </w:tcBorders>
            <w:vAlign w:val="center"/>
          </w:tcPr>
          <w:p w14:paraId="2C375FAD" w14:textId="77777777" w:rsidR="00023489" w:rsidRDefault="00023489" w:rsidP="00023489">
            <w:pPr>
              <w:tabs>
                <w:tab w:val="left" w:pos="1134"/>
              </w:tabs>
              <w:jc w:val="center"/>
              <w:rPr>
                <w:rFonts w:cs="Arial"/>
                <w:szCs w:val="24"/>
              </w:rPr>
            </w:pPr>
            <w:r>
              <w:rPr>
                <w:rFonts w:cs="Arial"/>
                <w:szCs w:val="24"/>
              </w:rPr>
              <w:t>.40</w:t>
            </w:r>
          </w:p>
        </w:tc>
        <w:tc>
          <w:tcPr>
            <w:tcW w:w="423" w:type="pct"/>
            <w:tcBorders>
              <w:top w:val="nil"/>
              <w:left w:val="nil"/>
              <w:bottom w:val="nil"/>
              <w:right w:val="nil"/>
            </w:tcBorders>
            <w:vAlign w:val="center"/>
          </w:tcPr>
          <w:p w14:paraId="635E32FC" w14:textId="77777777" w:rsidR="00023489" w:rsidRDefault="00023489" w:rsidP="00023489">
            <w:pPr>
              <w:tabs>
                <w:tab w:val="left" w:pos="1134"/>
              </w:tabs>
              <w:jc w:val="center"/>
              <w:rPr>
                <w:rFonts w:cs="Arial"/>
                <w:szCs w:val="24"/>
              </w:rPr>
            </w:pPr>
            <w:r>
              <w:rPr>
                <w:rFonts w:cs="Arial"/>
                <w:szCs w:val="24"/>
              </w:rPr>
              <w:t>-21.06</w:t>
            </w:r>
          </w:p>
        </w:tc>
        <w:tc>
          <w:tcPr>
            <w:tcW w:w="427" w:type="pct"/>
            <w:tcBorders>
              <w:top w:val="nil"/>
              <w:left w:val="nil"/>
              <w:bottom w:val="nil"/>
              <w:right w:val="nil"/>
            </w:tcBorders>
            <w:vAlign w:val="center"/>
          </w:tcPr>
          <w:p w14:paraId="2FD6C94C" w14:textId="77777777" w:rsidR="00023489" w:rsidRDefault="00023489" w:rsidP="00023489">
            <w:pPr>
              <w:tabs>
                <w:tab w:val="left" w:pos="1134"/>
              </w:tabs>
              <w:jc w:val="center"/>
              <w:rPr>
                <w:rFonts w:cs="Arial"/>
                <w:szCs w:val="24"/>
              </w:rPr>
            </w:pPr>
            <w:r>
              <w:rPr>
                <w:rFonts w:cs="Arial"/>
                <w:szCs w:val="24"/>
              </w:rPr>
              <w:t>1.46</w:t>
            </w:r>
          </w:p>
        </w:tc>
      </w:tr>
      <w:tr w:rsidR="003C319D" w:rsidRPr="00EE1660" w14:paraId="447B2DF2" w14:textId="77777777" w:rsidTr="003C319D">
        <w:trPr>
          <w:trHeight w:val="645"/>
        </w:trPr>
        <w:tc>
          <w:tcPr>
            <w:tcW w:w="689" w:type="pct"/>
            <w:tcBorders>
              <w:top w:val="nil"/>
              <w:left w:val="nil"/>
              <w:bottom w:val="nil"/>
              <w:right w:val="nil"/>
            </w:tcBorders>
            <w:vAlign w:val="center"/>
          </w:tcPr>
          <w:p w14:paraId="248D2CC1" w14:textId="0E0CF459" w:rsidR="00023489" w:rsidRDefault="00023489" w:rsidP="00023489">
            <w:pPr>
              <w:tabs>
                <w:tab w:val="left" w:pos="1134"/>
              </w:tabs>
              <w:rPr>
                <w:rFonts w:cs="Arial"/>
                <w:b/>
                <w:bCs/>
                <w:szCs w:val="24"/>
              </w:rPr>
            </w:pPr>
            <w:r>
              <w:rPr>
                <w:rFonts w:cs="Arial"/>
                <w:b/>
                <w:bCs/>
                <w:szCs w:val="24"/>
              </w:rPr>
              <w:t>Depression</w:t>
            </w:r>
            <w:r w:rsidR="003C319D">
              <w:rPr>
                <w:rFonts w:cs="Arial"/>
                <w:b/>
                <w:bCs/>
                <w:szCs w:val="24"/>
              </w:rPr>
              <w:t xml:space="preserve"> (PHQ-9)</w:t>
            </w:r>
          </w:p>
        </w:tc>
        <w:tc>
          <w:tcPr>
            <w:tcW w:w="390" w:type="pct"/>
            <w:tcBorders>
              <w:top w:val="nil"/>
              <w:left w:val="nil"/>
              <w:bottom w:val="nil"/>
              <w:right w:val="nil"/>
            </w:tcBorders>
            <w:vAlign w:val="center"/>
          </w:tcPr>
          <w:p w14:paraId="56FAAAA6" w14:textId="77777777" w:rsidR="00023489" w:rsidRDefault="00023489" w:rsidP="00023489">
            <w:pPr>
              <w:tabs>
                <w:tab w:val="left" w:pos="1134"/>
              </w:tabs>
              <w:jc w:val="center"/>
              <w:rPr>
                <w:rFonts w:cs="Arial"/>
                <w:szCs w:val="24"/>
              </w:rPr>
            </w:pPr>
            <w:r>
              <w:rPr>
                <w:rFonts w:cs="Arial"/>
                <w:szCs w:val="24"/>
              </w:rPr>
              <w:t>5.73</w:t>
            </w:r>
          </w:p>
        </w:tc>
        <w:tc>
          <w:tcPr>
            <w:tcW w:w="391" w:type="pct"/>
            <w:tcBorders>
              <w:top w:val="nil"/>
              <w:left w:val="nil"/>
              <w:bottom w:val="nil"/>
              <w:right w:val="nil"/>
            </w:tcBorders>
            <w:vAlign w:val="center"/>
          </w:tcPr>
          <w:p w14:paraId="69718788" w14:textId="77777777" w:rsidR="00023489" w:rsidRDefault="00023489" w:rsidP="00023489">
            <w:pPr>
              <w:tabs>
                <w:tab w:val="left" w:pos="1134"/>
              </w:tabs>
              <w:jc w:val="center"/>
              <w:rPr>
                <w:rFonts w:cs="Arial"/>
                <w:szCs w:val="24"/>
              </w:rPr>
            </w:pPr>
            <w:r>
              <w:rPr>
                <w:rFonts w:cs="Arial"/>
                <w:szCs w:val="24"/>
              </w:rPr>
              <w:t>3.42</w:t>
            </w:r>
          </w:p>
        </w:tc>
        <w:tc>
          <w:tcPr>
            <w:tcW w:w="329" w:type="pct"/>
            <w:tcBorders>
              <w:top w:val="nil"/>
              <w:left w:val="nil"/>
              <w:bottom w:val="nil"/>
              <w:right w:val="nil"/>
            </w:tcBorders>
            <w:vAlign w:val="center"/>
          </w:tcPr>
          <w:p w14:paraId="43695575" w14:textId="77777777" w:rsidR="00023489" w:rsidRDefault="00023489" w:rsidP="00023489">
            <w:pPr>
              <w:tabs>
                <w:tab w:val="left" w:pos="1134"/>
              </w:tabs>
              <w:jc w:val="center"/>
              <w:rPr>
                <w:rFonts w:cs="Arial"/>
                <w:szCs w:val="24"/>
              </w:rPr>
            </w:pPr>
            <w:r>
              <w:rPr>
                <w:rFonts w:cs="Arial"/>
                <w:szCs w:val="24"/>
              </w:rPr>
              <w:t>.32</w:t>
            </w:r>
          </w:p>
        </w:tc>
        <w:tc>
          <w:tcPr>
            <w:tcW w:w="390" w:type="pct"/>
            <w:tcBorders>
              <w:top w:val="nil"/>
              <w:left w:val="nil"/>
              <w:bottom w:val="nil"/>
              <w:right w:val="nil"/>
            </w:tcBorders>
            <w:vAlign w:val="center"/>
          </w:tcPr>
          <w:p w14:paraId="3B00364E" w14:textId="77777777" w:rsidR="00023489" w:rsidRDefault="00023489" w:rsidP="00023489">
            <w:pPr>
              <w:tabs>
                <w:tab w:val="left" w:pos="1134"/>
              </w:tabs>
              <w:jc w:val="center"/>
              <w:rPr>
                <w:rFonts w:cs="Arial"/>
                <w:szCs w:val="24"/>
              </w:rPr>
            </w:pPr>
            <w:r>
              <w:rPr>
                <w:rFonts w:cs="Arial"/>
                <w:szCs w:val="24"/>
              </w:rPr>
              <w:t>.10</w:t>
            </w:r>
          </w:p>
        </w:tc>
        <w:tc>
          <w:tcPr>
            <w:tcW w:w="450" w:type="pct"/>
            <w:tcBorders>
              <w:top w:val="nil"/>
              <w:left w:val="nil"/>
              <w:bottom w:val="nil"/>
              <w:right w:val="nil"/>
            </w:tcBorders>
            <w:vAlign w:val="center"/>
          </w:tcPr>
          <w:p w14:paraId="12302F25" w14:textId="77777777" w:rsidR="00023489" w:rsidRDefault="00023489" w:rsidP="00023489">
            <w:pPr>
              <w:tabs>
                <w:tab w:val="left" w:pos="1134"/>
              </w:tabs>
              <w:jc w:val="center"/>
              <w:rPr>
                <w:rFonts w:cs="Arial"/>
                <w:szCs w:val="24"/>
              </w:rPr>
            </w:pPr>
            <w:r>
              <w:rPr>
                <w:rFonts w:cs="Arial"/>
                <w:szCs w:val="24"/>
              </w:rPr>
              <w:t>-1.08</w:t>
            </w:r>
          </w:p>
        </w:tc>
        <w:tc>
          <w:tcPr>
            <w:tcW w:w="431" w:type="pct"/>
            <w:tcBorders>
              <w:top w:val="nil"/>
              <w:left w:val="nil"/>
              <w:bottom w:val="nil"/>
              <w:right w:val="single" w:sz="4" w:space="0" w:color="auto"/>
            </w:tcBorders>
            <w:vAlign w:val="center"/>
          </w:tcPr>
          <w:p w14:paraId="5D8D6BFE" w14:textId="77777777" w:rsidR="00023489" w:rsidRDefault="00023489" w:rsidP="00023489">
            <w:pPr>
              <w:tabs>
                <w:tab w:val="left" w:pos="1134"/>
              </w:tabs>
              <w:jc w:val="center"/>
              <w:rPr>
                <w:rFonts w:cs="Arial"/>
                <w:szCs w:val="24"/>
              </w:rPr>
            </w:pPr>
            <w:r>
              <w:rPr>
                <w:rFonts w:cs="Arial"/>
                <w:szCs w:val="24"/>
              </w:rPr>
              <w:t>12.54</w:t>
            </w:r>
          </w:p>
        </w:tc>
        <w:tc>
          <w:tcPr>
            <w:tcW w:w="329" w:type="pct"/>
            <w:tcBorders>
              <w:top w:val="nil"/>
              <w:left w:val="single" w:sz="4" w:space="0" w:color="auto"/>
              <w:bottom w:val="nil"/>
              <w:right w:val="nil"/>
            </w:tcBorders>
            <w:vAlign w:val="center"/>
          </w:tcPr>
          <w:p w14:paraId="1574C90A" w14:textId="77777777" w:rsidR="00023489" w:rsidRDefault="00023489" w:rsidP="00023489">
            <w:pPr>
              <w:tabs>
                <w:tab w:val="left" w:pos="1134"/>
              </w:tabs>
              <w:jc w:val="center"/>
              <w:rPr>
                <w:rFonts w:cs="Arial"/>
                <w:szCs w:val="24"/>
              </w:rPr>
            </w:pPr>
            <w:r>
              <w:rPr>
                <w:rFonts w:cs="Arial"/>
                <w:szCs w:val="24"/>
              </w:rPr>
              <w:t>.04</w:t>
            </w:r>
          </w:p>
        </w:tc>
        <w:tc>
          <w:tcPr>
            <w:tcW w:w="361" w:type="pct"/>
            <w:tcBorders>
              <w:top w:val="nil"/>
              <w:left w:val="nil"/>
              <w:bottom w:val="nil"/>
              <w:right w:val="nil"/>
            </w:tcBorders>
            <w:vAlign w:val="center"/>
          </w:tcPr>
          <w:p w14:paraId="3C514F56" w14:textId="77777777" w:rsidR="00023489" w:rsidRDefault="00023489" w:rsidP="00023489">
            <w:pPr>
              <w:tabs>
                <w:tab w:val="left" w:pos="1134"/>
              </w:tabs>
              <w:jc w:val="center"/>
              <w:rPr>
                <w:rFonts w:cs="Arial"/>
                <w:szCs w:val="24"/>
              </w:rPr>
            </w:pPr>
            <w:r>
              <w:rPr>
                <w:rFonts w:cs="Arial"/>
                <w:szCs w:val="24"/>
              </w:rPr>
              <w:t>3.89</w:t>
            </w:r>
          </w:p>
        </w:tc>
        <w:tc>
          <w:tcPr>
            <w:tcW w:w="390" w:type="pct"/>
            <w:tcBorders>
              <w:top w:val="nil"/>
              <w:left w:val="nil"/>
              <w:bottom w:val="nil"/>
              <w:right w:val="nil"/>
            </w:tcBorders>
            <w:vAlign w:val="center"/>
          </w:tcPr>
          <w:p w14:paraId="165D73C1" w14:textId="77777777" w:rsidR="00023489" w:rsidRDefault="00023489" w:rsidP="00023489">
            <w:pPr>
              <w:tabs>
                <w:tab w:val="left" w:pos="1134"/>
              </w:tabs>
              <w:jc w:val="center"/>
              <w:rPr>
                <w:rFonts w:cs="Arial"/>
                <w:szCs w:val="24"/>
              </w:rPr>
            </w:pPr>
            <w:r>
              <w:rPr>
                <w:rFonts w:cs="Arial"/>
                <w:szCs w:val="24"/>
              </w:rPr>
              <w:t>.20</w:t>
            </w:r>
          </w:p>
        </w:tc>
        <w:tc>
          <w:tcPr>
            <w:tcW w:w="423" w:type="pct"/>
            <w:tcBorders>
              <w:top w:val="nil"/>
              <w:left w:val="nil"/>
              <w:bottom w:val="nil"/>
              <w:right w:val="nil"/>
            </w:tcBorders>
            <w:vAlign w:val="center"/>
          </w:tcPr>
          <w:p w14:paraId="1A2E80F7" w14:textId="77777777" w:rsidR="00023489" w:rsidRDefault="00023489" w:rsidP="00023489">
            <w:pPr>
              <w:tabs>
                <w:tab w:val="left" w:pos="1134"/>
              </w:tabs>
              <w:jc w:val="center"/>
              <w:rPr>
                <w:rFonts w:cs="Arial"/>
                <w:szCs w:val="24"/>
              </w:rPr>
            </w:pPr>
            <w:r>
              <w:rPr>
                <w:rFonts w:cs="Arial"/>
                <w:szCs w:val="24"/>
              </w:rPr>
              <w:t>.24</w:t>
            </w:r>
          </w:p>
        </w:tc>
        <w:tc>
          <w:tcPr>
            <w:tcW w:w="427" w:type="pct"/>
            <w:tcBorders>
              <w:top w:val="nil"/>
              <w:left w:val="nil"/>
              <w:bottom w:val="nil"/>
              <w:right w:val="nil"/>
            </w:tcBorders>
            <w:vAlign w:val="center"/>
          </w:tcPr>
          <w:p w14:paraId="05165302" w14:textId="77777777" w:rsidR="00023489" w:rsidRDefault="00023489" w:rsidP="00023489">
            <w:pPr>
              <w:tabs>
                <w:tab w:val="left" w:pos="1134"/>
              </w:tabs>
              <w:jc w:val="center"/>
              <w:rPr>
                <w:rFonts w:cs="Arial"/>
                <w:szCs w:val="24"/>
              </w:rPr>
            </w:pPr>
            <w:r>
              <w:rPr>
                <w:rFonts w:cs="Arial"/>
                <w:szCs w:val="24"/>
              </w:rPr>
              <w:t>13.49</w:t>
            </w:r>
          </w:p>
        </w:tc>
      </w:tr>
      <w:tr w:rsidR="003C319D" w:rsidRPr="00EE1660" w14:paraId="298F374C" w14:textId="77777777" w:rsidTr="003C319D">
        <w:trPr>
          <w:trHeight w:val="645"/>
        </w:trPr>
        <w:tc>
          <w:tcPr>
            <w:tcW w:w="689" w:type="pct"/>
            <w:tcBorders>
              <w:top w:val="nil"/>
              <w:left w:val="nil"/>
              <w:bottom w:val="single" w:sz="4" w:space="0" w:color="auto"/>
              <w:right w:val="nil"/>
            </w:tcBorders>
            <w:vAlign w:val="center"/>
          </w:tcPr>
          <w:p w14:paraId="449E7BEC" w14:textId="77777777" w:rsidR="00023489" w:rsidRDefault="00023489" w:rsidP="00023489">
            <w:pPr>
              <w:tabs>
                <w:tab w:val="left" w:pos="1134"/>
              </w:tabs>
              <w:rPr>
                <w:rFonts w:cs="Arial"/>
                <w:b/>
                <w:bCs/>
                <w:szCs w:val="24"/>
              </w:rPr>
            </w:pPr>
            <w:r>
              <w:rPr>
                <w:rFonts w:cs="Arial"/>
                <w:b/>
                <w:bCs/>
                <w:szCs w:val="24"/>
              </w:rPr>
              <w:t>Diagnosis of epilepsy or DS</w:t>
            </w:r>
          </w:p>
        </w:tc>
        <w:tc>
          <w:tcPr>
            <w:tcW w:w="390" w:type="pct"/>
            <w:tcBorders>
              <w:top w:val="nil"/>
              <w:left w:val="nil"/>
              <w:bottom w:val="single" w:sz="4" w:space="0" w:color="auto"/>
              <w:right w:val="nil"/>
            </w:tcBorders>
            <w:vAlign w:val="center"/>
          </w:tcPr>
          <w:p w14:paraId="0F04F2DD" w14:textId="77777777" w:rsidR="00023489" w:rsidRDefault="00023489" w:rsidP="00023489">
            <w:pPr>
              <w:tabs>
                <w:tab w:val="left" w:pos="1134"/>
              </w:tabs>
              <w:jc w:val="center"/>
              <w:rPr>
                <w:rFonts w:cs="Arial"/>
                <w:szCs w:val="24"/>
              </w:rPr>
            </w:pPr>
            <w:r>
              <w:rPr>
                <w:rFonts w:cs="Arial"/>
                <w:szCs w:val="24"/>
              </w:rPr>
              <w:t>32.01</w:t>
            </w:r>
          </w:p>
        </w:tc>
        <w:tc>
          <w:tcPr>
            <w:tcW w:w="391" w:type="pct"/>
            <w:tcBorders>
              <w:top w:val="nil"/>
              <w:left w:val="nil"/>
              <w:bottom w:val="single" w:sz="4" w:space="0" w:color="auto"/>
              <w:right w:val="nil"/>
            </w:tcBorders>
            <w:vAlign w:val="center"/>
          </w:tcPr>
          <w:p w14:paraId="4BE5D1DD" w14:textId="77777777" w:rsidR="00023489" w:rsidRDefault="00023489" w:rsidP="00023489">
            <w:pPr>
              <w:tabs>
                <w:tab w:val="left" w:pos="1134"/>
              </w:tabs>
              <w:jc w:val="center"/>
              <w:rPr>
                <w:rFonts w:cs="Arial"/>
                <w:szCs w:val="24"/>
              </w:rPr>
            </w:pPr>
            <w:r>
              <w:rPr>
                <w:rFonts w:cs="Arial"/>
                <w:szCs w:val="24"/>
              </w:rPr>
              <w:t>30.04</w:t>
            </w:r>
          </w:p>
        </w:tc>
        <w:tc>
          <w:tcPr>
            <w:tcW w:w="329" w:type="pct"/>
            <w:tcBorders>
              <w:top w:val="nil"/>
              <w:left w:val="nil"/>
              <w:bottom w:val="single" w:sz="4" w:space="0" w:color="auto"/>
              <w:right w:val="nil"/>
            </w:tcBorders>
            <w:vAlign w:val="center"/>
          </w:tcPr>
          <w:p w14:paraId="4AB0F35C" w14:textId="77777777" w:rsidR="00023489" w:rsidRDefault="00023489" w:rsidP="00023489">
            <w:pPr>
              <w:tabs>
                <w:tab w:val="left" w:pos="1134"/>
              </w:tabs>
              <w:jc w:val="center"/>
              <w:rPr>
                <w:rFonts w:cs="Arial"/>
                <w:szCs w:val="24"/>
              </w:rPr>
            </w:pPr>
            <w:r>
              <w:rPr>
                <w:rFonts w:cs="Arial"/>
                <w:szCs w:val="24"/>
              </w:rPr>
              <w:t>.12</w:t>
            </w:r>
          </w:p>
        </w:tc>
        <w:tc>
          <w:tcPr>
            <w:tcW w:w="390" w:type="pct"/>
            <w:tcBorders>
              <w:top w:val="nil"/>
              <w:left w:val="nil"/>
              <w:bottom w:val="single" w:sz="4" w:space="0" w:color="auto"/>
              <w:right w:val="nil"/>
            </w:tcBorders>
            <w:vAlign w:val="center"/>
          </w:tcPr>
          <w:p w14:paraId="0174F5BB" w14:textId="77777777" w:rsidR="00023489" w:rsidRDefault="00023489" w:rsidP="00023489">
            <w:pPr>
              <w:tabs>
                <w:tab w:val="left" w:pos="1134"/>
              </w:tabs>
              <w:jc w:val="center"/>
              <w:rPr>
                <w:rFonts w:cs="Arial"/>
                <w:szCs w:val="24"/>
              </w:rPr>
            </w:pPr>
            <w:r>
              <w:rPr>
                <w:rFonts w:cs="Arial"/>
                <w:szCs w:val="24"/>
              </w:rPr>
              <w:t>.29</w:t>
            </w:r>
          </w:p>
        </w:tc>
        <w:tc>
          <w:tcPr>
            <w:tcW w:w="450" w:type="pct"/>
            <w:tcBorders>
              <w:top w:val="nil"/>
              <w:left w:val="nil"/>
              <w:bottom w:val="single" w:sz="4" w:space="0" w:color="auto"/>
              <w:right w:val="nil"/>
            </w:tcBorders>
            <w:vAlign w:val="center"/>
          </w:tcPr>
          <w:p w14:paraId="7F03AA39" w14:textId="77777777" w:rsidR="00023489" w:rsidRDefault="00023489" w:rsidP="00023489">
            <w:pPr>
              <w:tabs>
                <w:tab w:val="left" w:pos="1134"/>
              </w:tabs>
              <w:jc w:val="center"/>
              <w:rPr>
                <w:rFonts w:cs="Arial"/>
                <w:szCs w:val="24"/>
              </w:rPr>
            </w:pPr>
            <w:r>
              <w:rPr>
                <w:rFonts w:cs="Arial"/>
                <w:szCs w:val="24"/>
              </w:rPr>
              <w:t>-27.77</w:t>
            </w:r>
          </w:p>
        </w:tc>
        <w:tc>
          <w:tcPr>
            <w:tcW w:w="431" w:type="pct"/>
            <w:tcBorders>
              <w:top w:val="nil"/>
              <w:left w:val="nil"/>
              <w:bottom w:val="single" w:sz="4" w:space="0" w:color="auto"/>
              <w:right w:val="single" w:sz="4" w:space="0" w:color="auto"/>
            </w:tcBorders>
            <w:vAlign w:val="center"/>
          </w:tcPr>
          <w:p w14:paraId="4AA63BC0" w14:textId="77777777" w:rsidR="00023489" w:rsidRDefault="00023489" w:rsidP="00023489">
            <w:pPr>
              <w:tabs>
                <w:tab w:val="left" w:pos="1134"/>
              </w:tabs>
              <w:jc w:val="center"/>
              <w:rPr>
                <w:rFonts w:cs="Arial"/>
                <w:szCs w:val="24"/>
              </w:rPr>
            </w:pPr>
            <w:r>
              <w:rPr>
                <w:rFonts w:cs="Arial"/>
                <w:szCs w:val="24"/>
              </w:rPr>
              <w:t>91.79</w:t>
            </w:r>
          </w:p>
        </w:tc>
        <w:tc>
          <w:tcPr>
            <w:tcW w:w="329" w:type="pct"/>
            <w:tcBorders>
              <w:top w:val="nil"/>
              <w:left w:val="single" w:sz="4" w:space="0" w:color="auto"/>
              <w:bottom w:val="single" w:sz="4" w:space="0" w:color="auto"/>
              <w:right w:val="nil"/>
            </w:tcBorders>
            <w:vAlign w:val="center"/>
          </w:tcPr>
          <w:p w14:paraId="664F2178" w14:textId="77777777" w:rsidR="00023489" w:rsidRDefault="00023489" w:rsidP="00023489">
            <w:pPr>
              <w:tabs>
                <w:tab w:val="left" w:pos="1134"/>
              </w:tabs>
              <w:jc w:val="center"/>
              <w:rPr>
                <w:rFonts w:cs="Arial"/>
                <w:szCs w:val="24"/>
              </w:rPr>
            </w:pPr>
            <w:r>
              <w:rPr>
                <w:rFonts w:cs="Arial"/>
                <w:szCs w:val="24"/>
              </w:rPr>
              <w:t>-1.18</w:t>
            </w:r>
          </w:p>
        </w:tc>
        <w:tc>
          <w:tcPr>
            <w:tcW w:w="361" w:type="pct"/>
            <w:tcBorders>
              <w:top w:val="nil"/>
              <w:left w:val="nil"/>
              <w:bottom w:val="single" w:sz="4" w:space="0" w:color="auto"/>
              <w:right w:val="nil"/>
            </w:tcBorders>
            <w:vAlign w:val="center"/>
          </w:tcPr>
          <w:p w14:paraId="04C3E7F1" w14:textId="77777777" w:rsidR="00023489" w:rsidRDefault="00023489" w:rsidP="00023489">
            <w:pPr>
              <w:tabs>
                <w:tab w:val="left" w:pos="1134"/>
              </w:tabs>
              <w:jc w:val="center"/>
              <w:rPr>
                <w:rFonts w:cs="Arial"/>
                <w:szCs w:val="24"/>
              </w:rPr>
            </w:pPr>
            <w:r>
              <w:rPr>
                <w:rFonts w:cs="Arial"/>
                <w:szCs w:val="24"/>
              </w:rPr>
              <w:t>21.51</w:t>
            </w:r>
          </w:p>
        </w:tc>
        <w:tc>
          <w:tcPr>
            <w:tcW w:w="390" w:type="pct"/>
            <w:tcBorders>
              <w:top w:val="nil"/>
              <w:left w:val="nil"/>
              <w:bottom w:val="single" w:sz="4" w:space="0" w:color="auto"/>
              <w:right w:val="nil"/>
            </w:tcBorders>
            <w:vAlign w:val="center"/>
          </w:tcPr>
          <w:p w14:paraId="6AA5B8E1" w14:textId="77777777" w:rsidR="00023489" w:rsidRDefault="00023489" w:rsidP="00023489">
            <w:pPr>
              <w:tabs>
                <w:tab w:val="left" w:pos="1134"/>
              </w:tabs>
              <w:jc w:val="center"/>
              <w:rPr>
                <w:rFonts w:cs="Arial"/>
                <w:szCs w:val="24"/>
              </w:rPr>
            </w:pPr>
            <w:r>
              <w:rPr>
                <w:rFonts w:cs="Arial"/>
                <w:szCs w:val="24"/>
              </w:rPr>
              <w:t>.21</w:t>
            </w:r>
          </w:p>
        </w:tc>
        <w:tc>
          <w:tcPr>
            <w:tcW w:w="423" w:type="pct"/>
            <w:tcBorders>
              <w:top w:val="nil"/>
              <w:left w:val="nil"/>
              <w:bottom w:val="single" w:sz="4" w:space="0" w:color="auto"/>
              <w:right w:val="nil"/>
            </w:tcBorders>
            <w:vAlign w:val="center"/>
          </w:tcPr>
          <w:p w14:paraId="72B26FA5" w14:textId="77777777" w:rsidR="00023489" w:rsidRDefault="00023489" w:rsidP="00023489">
            <w:pPr>
              <w:tabs>
                <w:tab w:val="left" w:pos="1134"/>
              </w:tabs>
              <w:jc w:val="center"/>
              <w:rPr>
                <w:rFonts w:cs="Arial"/>
                <w:szCs w:val="24"/>
              </w:rPr>
            </w:pPr>
            <w:r>
              <w:rPr>
                <w:rFonts w:cs="Arial"/>
                <w:szCs w:val="24"/>
              </w:rPr>
              <w:t>1.73</w:t>
            </w:r>
          </w:p>
        </w:tc>
        <w:tc>
          <w:tcPr>
            <w:tcW w:w="427" w:type="pct"/>
            <w:tcBorders>
              <w:top w:val="nil"/>
              <w:left w:val="nil"/>
              <w:bottom w:val="single" w:sz="4" w:space="0" w:color="auto"/>
              <w:right w:val="nil"/>
            </w:tcBorders>
            <w:vAlign w:val="center"/>
          </w:tcPr>
          <w:p w14:paraId="4271F9F6" w14:textId="77777777" w:rsidR="00023489" w:rsidRDefault="00023489" w:rsidP="00023489">
            <w:pPr>
              <w:tabs>
                <w:tab w:val="left" w:pos="1134"/>
              </w:tabs>
              <w:jc w:val="center"/>
              <w:rPr>
                <w:rFonts w:cs="Arial"/>
                <w:szCs w:val="24"/>
              </w:rPr>
            </w:pPr>
            <w:r>
              <w:rPr>
                <w:rFonts w:cs="Arial"/>
                <w:szCs w:val="24"/>
              </w:rPr>
              <w:t>67.55</w:t>
            </w:r>
          </w:p>
        </w:tc>
      </w:tr>
    </w:tbl>
    <w:p w14:paraId="76492BC8" w14:textId="77777777" w:rsidR="00023489" w:rsidRDefault="00023489" w:rsidP="00023489">
      <w:pPr>
        <w:pStyle w:val="NoSpacing"/>
      </w:pPr>
      <w:r>
        <w:rPr>
          <w:i/>
        </w:rPr>
        <w:t>Note. R</w:t>
      </w:r>
      <w:r>
        <w:rPr>
          <w:i/>
          <w:vertAlign w:val="superscript"/>
        </w:rPr>
        <w:t>2</w:t>
      </w:r>
      <w:r>
        <w:rPr>
          <w:i/>
        </w:rPr>
        <w:t xml:space="preserve"> </w:t>
      </w:r>
      <w:r>
        <w:t xml:space="preserve">= </w:t>
      </w:r>
      <w:r w:rsidRPr="00BC2C78">
        <w:t>.</w:t>
      </w:r>
      <w:r>
        <w:t>1</w:t>
      </w:r>
      <w:r w:rsidRPr="00BC2C78">
        <w:t xml:space="preserve">%; Adjusted </w:t>
      </w:r>
      <w:r>
        <w:rPr>
          <w:i/>
        </w:rPr>
        <w:t>R</w:t>
      </w:r>
      <w:r>
        <w:rPr>
          <w:i/>
          <w:vertAlign w:val="superscript"/>
        </w:rPr>
        <w:t>2</w:t>
      </w:r>
      <w:r>
        <w:rPr>
          <w:i/>
        </w:rPr>
        <w:t xml:space="preserve"> </w:t>
      </w:r>
      <w:r>
        <w:t>= .04</w:t>
      </w:r>
      <w:r w:rsidRPr="00BC2C78">
        <w:t>%.</w:t>
      </w:r>
      <w:r>
        <w:rPr>
          <w:i/>
        </w:rPr>
        <w:t xml:space="preserve"> </w:t>
      </w:r>
      <w:r w:rsidRPr="00EE1660">
        <w:t>Unstandardised coefficient, standard error, standardised coefficient, significance values and confidence intervals are presented, along with the bootstrapped comparison including bias</w:t>
      </w:r>
      <w:r>
        <w:t>-</w:t>
      </w:r>
      <w:r w:rsidRPr="00EE1660">
        <w:t>corrected accelerated confidence intervals. Bootstrap results are bas</w:t>
      </w:r>
      <w:r>
        <w:t>ed on 1000 bootstrapped samples</w:t>
      </w:r>
    </w:p>
    <w:p w14:paraId="6EEF2AC1" w14:textId="77777777" w:rsidR="00A53770" w:rsidRDefault="00A53770">
      <w:pPr>
        <w:rPr>
          <w:rFonts w:eastAsiaTheme="majorEastAsia" w:cstheme="minorHAnsi"/>
          <w:b/>
        </w:rPr>
      </w:pPr>
      <w:r>
        <w:br w:type="page"/>
      </w:r>
    </w:p>
    <w:p w14:paraId="70219B4D" w14:textId="7887059C" w:rsidR="00023489" w:rsidRPr="00A53770" w:rsidRDefault="00023489" w:rsidP="00027769">
      <w:pPr>
        <w:pStyle w:val="Heading1"/>
      </w:pPr>
      <w:bookmarkStart w:id="164" w:name="_Toc133487839"/>
      <w:r w:rsidRPr="00A53770">
        <w:lastRenderedPageBreak/>
        <w:t>Discussion</w:t>
      </w:r>
      <w:bookmarkEnd w:id="164"/>
    </w:p>
    <w:p w14:paraId="54AC4A04" w14:textId="77777777" w:rsidR="007827F8" w:rsidRDefault="00240AD5" w:rsidP="00A53770">
      <w:pPr>
        <w:spacing w:line="360" w:lineRule="auto"/>
        <w:ind w:firstLine="720"/>
        <w:jc w:val="both"/>
      </w:pPr>
      <w:r>
        <w:t xml:space="preserve">This study explored the relationship between psychological factors and seizure conditions. It investigated whether there would be differences in measures of IU, AS, anxiety, depression, and somatisation between PWE and PWDS. Further analysis was carried out to assess whether IU, AS, anxiety, depression, or diagnosis of epilepsy or DS predicted somatisation or seizure frequency. </w:t>
      </w:r>
      <w:r w:rsidR="00023489">
        <w:t>The first hypothesis was partially met, with mean scores on all measures being non-significantly higher for PWDS than PWE. Whilst it was hypothesized that scores would be significantly higher for PWDS, they were representative of moderate to high values on all measures for both.</w:t>
      </w:r>
    </w:p>
    <w:p w14:paraId="544FDEB8" w14:textId="4D7D22C9" w:rsidR="00023489" w:rsidRDefault="00023489" w:rsidP="00A53770">
      <w:pPr>
        <w:spacing w:line="360" w:lineRule="auto"/>
        <w:ind w:firstLine="720"/>
        <w:jc w:val="both"/>
      </w:pPr>
      <w:r>
        <w:t xml:space="preserve"> In the original validation of the IUS-12, the sample mean total score was 25.85 (SD= 9.45) and the cut-off score for the top 10% of cases was 39 (Carleton et al., 2007, Chen et al.</w:t>
      </w:r>
      <w:r w:rsidR="003C319D">
        <w:t>,</w:t>
      </w:r>
      <w:r>
        <w:t xml:space="preserve"> 2016).  A more recent study identified IUS-12 scores of 36 as a cut-off for identifying high scorers in a student sample </w:t>
      </w:r>
      <w:r w:rsidR="003C319D">
        <w:t xml:space="preserve">(Innes et al., 2017). Wilson et al., 2020 </w:t>
      </w:r>
      <w:r>
        <w:t>found that a cut-off score of 28 on the IUS-12 differentiated between individuals with and without GAD. Therefore, group means of 37 for PWE and 39 for PWDS found in this study, suggest high levels of IU in both groups, rather than just PWDS as expected.</w:t>
      </w:r>
    </w:p>
    <w:p w14:paraId="17201B87" w14:textId="77777777" w:rsidR="00023489" w:rsidRDefault="00023489" w:rsidP="00A53770">
      <w:pPr>
        <w:spacing w:line="360" w:lineRule="auto"/>
        <w:ind w:firstLine="720"/>
        <w:jc w:val="both"/>
      </w:pPr>
      <w:r>
        <w:t xml:space="preserve">Initial validation of the ASI-3 included a range of samples from different populations. Non-clinical group means ranged from 12.8 to 16.4 and clinical group means ranged from 26.3 to 32.6 </w:t>
      </w:r>
      <w:r w:rsidRPr="00D20001">
        <w:t>(Taylor et al., 2007</w:t>
      </w:r>
      <w:r>
        <w:t xml:space="preserve">). A number of further studies identified mean scores ranging from 10.7 to 16.7 in undergraduate samples </w:t>
      </w:r>
      <w:r w:rsidRPr="00885F3B">
        <w:t>(Ghisi et al., 2016)</w:t>
      </w:r>
      <w:r>
        <w:t>. Therefore, mean scores of 26.5 for PWE and 32.3 for PWDS in this study are suggestive of high AS in both samples. The only previous study of AS in PWE reported mean AS scores of 10.23 (Johnson et al., 2018). This suggests potential variability of AS amongst PWE.</w:t>
      </w:r>
    </w:p>
    <w:p w14:paraId="1AC8229C" w14:textId="7DEEAD3F" w:rsidR="0022654D" w:rsidRDefault="00023489" w:rsidP="0055208E">
      <w:pPr>
        <w:spacing w:line="360" w:lineRule="auto"/>
        <w:ind w:firstLine="720"/>
        <w:jc w:val="both"/>
      </w:pPr>
      <w:r>
        <w:t xml:space="preserve">For somatisation and anxiety (GAD-7) mean scores for both PWDS and PWE were in the moderate symptom ranges. For depression, mean scores were at the top of the moderate range for PWE group and the bottom of the moderately severe range for the PWDS group. </w:t>
      </w:r>
      <w:r w:rsidR="0022654D">
        <w:t xml:space="preserve">Moderate range somatisation symptoms have been reported in studies of both PWDS and PWE </w:t>
      </w:r>
      <w:r w:rsidR="0022654D" w:rsidRPr="003370EF">
        <w:t>(Baslet et al., 2010</w:t>
      </w:r>
      <w:r w:rsidR="0022654D">
        <w:t xml:space="preserve">, </w:t>
      </w:r>
      <w:r w:rsidR="0022654D" w:rsidRPr="00F52573">
        <w:t>Das et al., 2022)</w:t>
      </w:r>
      <w:r w:rsidR="0022654D">
        <w:t xml:space="preserve">.  One previous paper found significantly higher levels of somatisation in PWDS than PWE, however, it relied on a somatic symptoms subscale of a broader trauma measure, rather than a validated somatisation specific measure as in the current study </w:t>
      </w:r>
      <w:r w:rsidR="0022654D" w:rsidRPr="00B55941">
        <w:t>(Myers et al., 2019)</w:t>
      </w:r>
      <w:r w:rsidR="0022654D">
        <w:t>.</w:t>
      </w:r>
      <w:r w:rsidR="0055208E">
        <w:t xml:space="preserve"> </w:t>
      </w:r>
      <w:r w:rsidR="00240AD5">
        <w:t>A</w:t>
      </w:r>
      <w:r>
        <w:t xml:space="preserve"> review of 32 studies comparing psychological difficulties between PWE and PWDS demonstrated higher rates of depression and anxiety for PWDS, however, when results were combined for meta-analysis, only anxiety scores were significantly higher in PWDS populations</w:t>
      </w:r>
      <w:r w:rsidR="00240AD5">
        <w:t xml:space="preserve"> (</w:t>
      </w:r>
      <w:r w:rsidR="00240AD5" w:rsidRPr="00D0194D">
        <w:t>Diprose et al., 2016)</w:t>
      </w:r>
      <w:r>
        <w:t>.</w:t>
      </w:r>
      <w:r w:rsidR="0022654D">
        <w:t xml:space="preserve"> However, in the review anxiety scores included a range of anxiety conditions such as PTSD and OCD. When individual studies looked specifically at levels of generalized anxiety, PWE scored non-significantly higher than PWE, as found in this the current study </w:t>
      </w:r>
      <w:r w:rsidR="0022654D" w:rsidRPr="0022654D">
        <w:t>(Galimberti et al., 2003)</w:t>
      </w:r>
      <w:r w:rsidR="0022654D">
        <w:t>.</w:t>
      </w:r>
      <w:r>
        <w:t xml:space="preserve"> </w:t>
      </w:r>
    </w:p>
    <w:p w14:paraId="5BD43A60" w14:textId="245E3782" w:rsidR="00023489" w:rsidRDefault="00023489" w:rsidP="00A53770">
      <w:pPr>
        <w:spacing w:line="360" w:lineRule="auto"/>
        <w:ind w:firstLine="720"/>
        <w:jc w:val="both"/>
      </w:pPr>
      <w:r>
        <w:lastRenderedPageBreak/>
        <w:t xml:space="preserve">The finding of high levels on scores of psychological difficulties in PWE and PWDS in the current study can be explained by multiple possible factors. Living with seizure conditions can be unpredictable and is associated with stigma, economic costs, reduced employment, and relational stress which are all social determinants of mental health </w:t>
      </w:r>
      <w:r w:rsidRPr="00B65DC9">
        <w:t>(Alegría et al., 2018)</w:t>
      </w:r>
      <w:r>
        <w:t>. Models of seizure conditions, such as the integrated cognitive model of DS, suggest that psychological factors can contribute to seizure conditions by preventing the body from disinhibiting arousal and seizure activation (Brown &amp; Reuber, 2016). It is possible that underlying biological and psychological processes that dispose people to elevated psychological difficulties, could also contribute to the development and severity of seizure conditions. Increasingly, this hypothesis is supported by evidence for the bi-directional relationship between psychological and seizure condition factor severity (Mula, 2012).</w:t>
      </w:r>
      <w:r w:rsidR="006F0558">
        <w:t xml:space="preserve"> </w:t>
      </w:r>
    </w:p>
    <w:p w14:paraId="77D048F1" w14:textId="77777777" w:rsidR="00023489" w:rsidRDefault="00023489" w:rsidP="00A53770">
      <w:pPr>
        <w:spacing w:line="360" w:lineRule="auto"/>
        <w:ind w:firstLine="720"/>
        <w:jc w:val="both"/>
      </w:pPr>
      <w:r>
        <w:t xml:space="preserve">The second hypothesis was that higher levels of IU, AS, anxiety, depression along with having a diagnosis of DS rather than epilepsy, would predict higher levels of somatisation. Moderate positive correlations were found between somatisation, IU, AS, and anxiety, and a stronger positive correlation was found between somatisation and depression. Only depression was a significant predictor of increased somatisation. There was no effect of diagnosis in the analysis suggesting that diagnosis of DS relative to epilepsy was not a predictor of somatisation as expected. </w:t>
      </w:r>
      <w:r w:rsidR="00440E91">
        <w:t>O</w:t>
      </w:r>
      <w:r>
        <w:t>nly one published study has considered IU as a potential predictor</w:t>
      </w:r>
      <w:r w:rsidR="00440E91">
        <w:t xml:space="preserve"> of somatisation</w:t>
      </w:r>
      <w:r>
        <w:t xml:space="preserve">, finding it to do so significantly in an autistic population </w:t>
      </w:r>
      <w:r w:rsidRPr="008B066E">
        <w:t>(Larkin et al., 2022)</w:t>
      </w:r>
      <w:r>
        <w:t xml:space="preserve">. Prior research has found AS to predict somatisation in primary care, black adults, and people with diagnoses of fibromyalgia, and obesity </w:t>
      </w:r>
      <w:r w:rsidRPr="00F607B0">
        <w:t>(Avishai Cohen &amp; Zerac</w:t>
      </w:r>
      <w:r>
        <w:t xml:space="preserve">h, 2020, Fergus et al., 2017, </w:t>
      </w:r>
      <w:r w:rsidRPr="00F607B0">
        <w:t>Zvolensky et al., 2022)</w:t>
      </w:r>
      <w:r>
        <w:t xml:space="preserve">. Depression and Generalized Anxiety (GAD) have been previously shown to predict somatisation, for example, in studies of people with medically unexplained symptoms, refugees, and breast cancer patients </w:t>
      </w:r>
      <w:r w:rsidRPr="00257C98">
        <w:t>(</w:t>
      </w:r>
      <w:r>
        <w:t xml:space="preserve">Borho et al., 2021, Leonhart et al., 2016, </w:t>
      </w:r>
      <w:r w:rsidRPr="00257C98">
        <w:t>Rady et al., 2021)</w:t>
      </w:r>
      <w:r>
        <w:t xml:space="preserve">. Depression tends to be a stronger predictor, remaining significant when anxiety does not, such as in another primary care population study </w:t>
      </w:r>
      <w:r w:rsidRPr="00257C98">
        <w:t>(Piontek et al., 2018)</w:t>
      </w:r>
      <w:r>
        <w:t xml:space="preserve">. </w:t>
      </w:r>
    </w:p>
    <w:p w14:paraId="0C8B3E1D" w14:textId="77777777" w:rsidR="00023489" w:rsidRDefault="00023489" w:rsidP="00A53770">
      <w:pPr>
        <w:spacing w:line="360" w:lineRule="auto"/>
        <w:ind w:firstLine="720"/>
        <w:jc w:val="both"/>
      </w:pPr>
      <w:r>
        <w:t xml:space="preserve">Somatisation is associated with a range of psychological and physical factors and therefore positive correlations with main study variables are in keeping with the evidence-base. Being associated but not predicted by IU, AS, and anxiety suggests that other variables have an influence on all four outcomes. One such variable suggested by this study is depression, which was found to predict somatisation and be associated with higher IU, AS, and anxiety. Somatisation is a poorly understood concept with a variety of explanatory models </w:t>
      </w:r>
      <w:r w:rsidRPr="00FE7045">
        <w:t>(De Gucht &amp; Fischler, 2002)</w:t>
      </w:r>
      <w:r>
        <w:t xml:space="preserve">. Psycho-social approaches may consider somatisation to be a conversion of unacceptable feelings, or response to stigmatisation of mental health difficulties, adapting them to what may be perceived as more socially acceptable physical complaints. Neuro-biological approaches point towards stress responses and inflammation of the nervous system as key triggers. Depression has been argued to contribute to both psycho-social </w:t>
      </w:r>
      <w:r>
        <w:lastRenderedPageBreak/>
        <w:t xml:space="preserve">and neurobiological pathways that could elevate somatisation symptoms </w:t>
      </w:r>
      <w:r w:rsidRPr="006D5983">
        <w:t>(Rief et al., 2010)</w:t>
      </w:r>
      <w:r>
        <w:t xml:space="preserve">. In seizure conditions, this relationship is likely to be particularly complex due to the previously discussed potential bi-directionality of psychological and organic factors. </w:t>
      </w:r>
    </w:p>
    <w:p w14:paraId="54DA9C0D" w14:textId="77777777" w:rsidR="00023489" w:rsidRDefault="00023489" w:rsidP="00A53770">
      <w:pPr>
        <w:spacing w:line="360" w:lineRule="auto"/>
        <w:ind w:firstLine="720"/>
        <w:jc w:val="both"/>
      </w:pPr>
      <w:r>
        <w:t xml:space="preserve">The third hypothesis was that higher levels of IU, AS, anxiety, depression, along with having a diagnosis of DS rather than epilepsy would predict increased seizure frequency. No significant correlations or predictions were found for any of the proposed variables and seizure frequency, leading to the rejection of the third hypothesis. Previous studies have found psychological factors to predict seizure frequency in PWE and PWDS (Cullingham et al., 2020, Thapar et al., 2009, Whitfield et al., 2020). Nevertheless, the literature is inconclusive and this is reflected in meta-analyses, finding significant seizure reduction following psychotherapy in some studies and not others </w:t>
      </w:r>
      <w:r w:rsidRPr="00330E36">
        <w:t>(</w:t>
      </w:r>
      <w:r w:rsidRPr="006C082D">
        <w:t>Carlson &amp; Nicholson Perry, 2017</w:t>
      </w:r>
      <w:r>
        <w:t>, Michaelis et al., 2020</w:t>
      </w:r>
      <w:r w:rsidRPr="006C082D">
        <w:t>)</w:t>
      </w:r>
      <w:r>
        <w:t xml:space="preserve">. Formerly, DS was considered as a purely psychosomatic condition, entirely attributable to psychological causes </w:t>
      </w:r>
      <w:r w:rsidRPr="00E00E93">
        <w:t>(Karakis et al., 2020)</w:t>
      </w:r>
      <w:r>
        <w:t xml:space="preserve">. Increasingly, research points towards PWDS clustering into groups based on the experience of greater and fewer psychological difficulties, with the latter tending to report organic triggers for onset and severity </w:t>
      </w:r>
      <w:r w:rsidRPr="006D5983">
        <w:t>(Uliaszek et al., 2012)</w:t>
      </w:r>
      <w:r>
        <w:t xml:space="preserve">.  Increasingly, PWE and co-occurring psychological problems are being identified as having distinct treatment needs from PWE for whom psychological difficulties are less relevant </w:t>
      </w:r>
      <w:r w:rsidRPr="006D5983">
        <w:t>(Josephson &amp; Jetté, 2017)</w:t>
      </w:r>
      <w:r>
        <w:t>. Variability in outcomes for studies assessing the effect of psychological factors on people with seizure conditions could be partially explained by psychological factors playing a more significant role in condition severity for some and not for others. All seizure frequency results in this study need to be considered in light of the data having violated multiple regression assumptions and thus possibly misrepresenting the sample.</w:t>
      </w:r>
    </w:p>
    <w:p w14:paraId="61A17D6E" w14:textId="77777777" w:rsidR="00023489" w:rsidRPr="00B65DC9" w:rsidRDefault="00023489" w:rsidP="00A53770">
      <w:pPr>
        <w:pStyle w:val="Heading2"/>
      </w:pPr>
      <w:bookmarkStart w:id="165" w:name="_Toc133487840"/>
      <w:r w:rsidRPr="00B65DC9">
        <w:t>Limitations</w:t>
      </w:r>
      <w:bookmarkEnd w:id="165"/>
    </w:p>
    <w:p w14:paraId="0B55D595" w14:textId="77777777" w:rsidR="00023489" w:rsidRDefault="00023489" w:rsidP="00A53770">
      <w:pPr>
        <w:spacing w:line="360" w:lineRule="auto"/>
        <w:ind w:firstLine="720"/>
        <w:jc w:val="both"/>
      </w:pPr>
      <w:r>
        <w:t xml:space="preserve">A key limitation in the current study was the quality of seizure frequency data. When self-reporting there is considerable subjectivity about what constitutes a seizure or episode, for example, absence seizures might last seconds and go unnoticed, whereas tonic-clonic seizures can last minutes and be very severe </w:t>
      </w:r>
      <w:r w:rsidRPr="005849B0">
        <w:t>(Ulate-Campos et al., 2016)</w:t>
      </w:r>
      <w:r>
        <w:t xml:space="preserve">. The problem is compounded in PWDS for whom episodes can </w:t>
      </w:r>
      <w:r w:rsidR="00950673">
        <w:t>last</w:t>
      </w:r>
      <w:r>
        <w:t xml:space="preserve"> seconds, </w:t>
      </w:r>
      <w:r w:rsidR="00950673">
        <w:t>or</w:t>
      </w:r>
      <w:r>
        <w:t xml:space="preserve"> for multiple minutes or longer (Hubsch et al., 2011). In light of reporting challenges, some studies have preferentially adopted standardized measures of seizure severity as </w:t>
      </w:r>
      <w:r w:rsidR="00950673">
        <w:t>a key outcome</w:t>
      </w:r>
      <w:r>
        <w:t xml:space="preserve">, such as the Liverpool Seizure Severity Scale (LSSS; </w:t>
      </w:r>
      <w:r w:rsidRPr="00537DC3">
        <w:t>Scott-Lennox et al., 2001)</w:t>
      </w:r>
      <w:r>
        <w:t xml:space="preserve">. This scale was designed for people with epilepsy and includes questions relating to self-injury, tongue-biting, and incontinence which are much more commonly associated with PWE than PWDS. Therefore, whilst this and similar scales have been used with PWDS, they are not ideal for comparisons of seizure outcome between PWE and PWDS </w:t>
      </w:r>
      <w:r w:rsidRPr="00F55625">
        <w:t>(Senf-Beckenbach et al., 2022)</w:t>
      </w:r>
      <w:r>
        <w:t xml:space="preserve">. Moreover, use of these scales makes comparison with previous research that reported seizure frequency without scales difficult. A </w:t>
      </w:r>
      <w:r>
        <w:lastRenderedPageBreak/>
        <w:t>previous study collected seizure frequency data in categories such as daily and weekly. Whilst this helped data meet statistical assumptions for regression analysis, it limited the model’s effectiveness in picking up subtle effects (Cullingham et al. 2020). Therefore, the problems associated with collecting seizure frequency data in the study reflect wider difficulties in the literature.</w:t>
      </w:r>
    </w:p>
    <w:p w14:paraId="76EF68D4" w14:textId="77777777" w:rsidR="00023489" w:rsidRDefault="00023489" w:rsidP="00A53770">
      <w:pPr>
        <w:spacing w:line="360" w:lineRule="auto"/>
        <w:ind w:firstLine="720"/>
        <w:jc w:val="both"/>
      </w:pPr>
      <w:r>
        <w:t xml:space="preserve">A further limitation was that it was not possible to discern with certainty the diagnosis of each participant beyond self-report. </w:t>
      </w:r>
      <w:r w:rsidRPr="00816F79">
        <w:t xml:space="preserve">The gold-standard approach to distinguishing between epilepsy and DS involves use of video-EEG to monitor potential seizure activity (Bodde et al., 2009). Distinguishing between epileptic and dissociative seizures can be difficult and therefore some previous studies have excluded participants without confirmed v-EEG diagnoses (D’Alessio et al., 2006). Diagnosis without v-EEG is, however, not uncommon and research increasingly includes participants without (Cullingham et al., 2020, Uliaszek et al., 2012).  </w:t>
      </w:r>
      <w:r>
        <w:t xml:space="preserve">Diagnostic certainty was also affected by the inclusion of a minority of participants with co-existing neurological conditions. It should be noted that neurological and psychiatric comorbidity is common in both epilepsy and DS and therefore involving these participants could potentially have improved the study’s ecological validity in terms of how representative the sample was (Gaitatzis et al., 2004, </w:t>
      </w:r>
      <w:r w:rsidRPr="00A35DEA">
        <w:t>Williams et al., 2022)</w:t>
      </w:r>
      <w:r>
        <w:t xml:space="preserve">. To allow for direct comparison of PWE and PWDS, participants with diagnoses of both conditions were not recruited for this study. Prevalence of mixed diagnosis is around 10-20% and therefore represents an important demographic for future consideration </w:t>
      </w:r>
      <w:r w:rsidRPr="002302AA">
        <w:t>(Cuthill &amp; Espie, 2005)</w:t>
      </w:r>
      <w:r>
        <w:t>.</w:t>
      </w:r>
    </w:p>
    <w:p w14:paraId="59957397" w14:textId="76DBDB3F" w:rsidR="00023489" w:rsidRDefault="00023489" w:rsidP="00A53770">
      <w:pPr>
        <w:spacing w:line="360" w:lineRule="auto"/>
        <w:ind w:firstLine="720"/>
        <w:jc w:val="both"/>
      </w:pPr>
      <w:r>
        <w:t>As a result of voluntary response sampling, the majority of the study population identified as white, female. Whilst the female majority reflects current trends in PWDS demographics, it is not representative of gender ratios in PWE. Moreover, continued emphasis of white experience contributes to s</w:t>
      </w:r>
      <w:r w:rsidR="00C46947">
        <w:t>ystemi</w:t>
      </w:r>
      <w:r>
        <w:t xml:space="preserve">c racial bias in health research </w:t>
      </w:r>
      <w:r w:rsidRPr="00E75593">
        <w:t>(Williams &amp; Wyatt, 2015)</w:t>
      </w:r>
      <w:r>
        <w:t xml:space="preserve">. </w:t>
      </w:r>
    </w:p>
    <w:p w14:paraId="55805B52" w14:textId="7E87EBCA" w:rsidR="00023489" w:rsidRDefault="00A53770" w:rsidP="00A53770">
      <w:pPr>
        <w:pStyle w:val="Heading2"/>
      </w:pPr>
      <w:bookmarkStart w:id="166" w:name="_Toc133487841"/>
      <w:r>
        <w:t xml:space="preserve">Clinical </w:t>
      </w:r>
      <w:r w:rsidR="00023489" w:rsidRPr="00F11B51">
        <w:t>Implications</w:t>
      </w:r>
      <w:bookmarkEnd w:id="166"/>
    </w:p>
    <w:p w14:paraId="383C2F1B" w14:textId="77777777" w:rsidR="00023489" w:rsidRDefault="00023489" w:rsidP="00A53770">
      <w:pPr>
        <w:spacing w:line="360" w:lineRule="auto"/>
        <w:ind w:firstLine="720"/>
        <w:jc w:val="both"/>
        <w:rPr>
          <w:rFonts w:ascii="Calibri" w:hAnsi="Calibri" w:cs="Calibri"/>
          <w:color w:val="000000"/>
        </w:rPr>
      </w:pPr>
      <w:r>
        <w:t>IU has not been measured in PWDS before and AS has only been measured in adolescent PWDS. Finding high levels of these two constructs in people with seizure conditions is an important outcome for a number of reasons. Firstly, their prevalence has been associated with mental health conditions, such as depression, anxiety, and OCD</w:t>
      </w:r>
      <w:r w:rsidRPr="00D82F0C">
        <w:t xml:space="preserve"> </w:t>
      </w:r>
      <w:r>
        <w:t xml:space="preserve">(Boswell et. al. 2013). Moreover, their elevated presence in individuals has been shown to predict poorer outcomes regardless of co-occurring problems (Carleton, 2012, Johnson et al., 2018). Tentatively, this suggests that clinicians working therapeutically with people with seizure conditions, may benefit from assessing levels of IU and AS and considering targeted therapeutic support if found. Furthermore, results add to evidence that people with seizure conditions commonly report anxiety and depression, suggesting heightened need for intervention in these populations. To the author’s best knowledge, no previous studies have </w:t>
      </w:r>
      <w:r>
        <w:lastRenderedPageBreak/>
        <w:t xml:space="preserve">directly considered depression as a predictor of somatisation in seizure conditions. </w:t>
      </w:r>
      <w:r>
        <w:rPr>
          <w:rFonts w:ascii="Calibri" w:hAnsi="Calibri" w:cs="Calibri"/>
          <w:color w:val="000000"/>
        </w:rPr>
        <w:t>Traditionally, NICE guidelines have recommended that in the presence of both depression and anxiety symptoms, the former should be treated first (NICE</w:t>
      </w:r>
      <w:r w:rsidRPr="00DC73C1">
        <w:rPr>
          <w:rFonts w:ascii="Calibri" w:hAnsi="Calibri" w:cs="Calibri"/>
          <w:color w:val="000000"/>
        </w:rPr>
        <w:t>, 2022)</w:t>
      </w:r>
      <w:r>
        <w:rPr>
          <w:rFonts w:ascii="Calibri" w:hAnsi="Calibri" w:cs="Calibri"/>
          <w:color w:val="000000"/>
        </w:rPr>
        <w:t>. This study adds support for doing so when people with seizure conditions are seeking support for somatisation related problems.</w:t>
      </w:r>
    </w:p>
    <w:p w14:paraId="77E8023C" w14:textId="77777777" w:rsidR="00023489" w:rsidRPr="006C058F" w:rsidRDefault="00023489" w:rsidP="00A53770">
      <w:pPr>
        <w:spacing w:line="360" w:lineRule="auto"/>
        <w:ind w:firstLine="720"/>
        <w:jc w:val="both"/>
      </w:pPr>
      <w:r>
        <w:t xml:space="preserve">There is a common conception that psychological characteristics define differences between PWE and PWDS. In the current study whilst scores were higher in the latter group, the lack of a statistically significant difference across all psychological measures adds to the evidence that the two conditions cannot be easily distinguished by mental health factors alone </w:t>
      </w:r>
      <w:r w:rsidRPr="00D0194D">
        <w:t>(Diprose et al., 2016)</w:t>
      </w:r>
      <w:r>
        <w:t>. Therefore, the current study adds support for thinking proactively about psychological intervention in both populations.</w:t>
      </w:r>
    </w:p>
    <w:p w14:paraId="1AAAB96D" w14:textId="77777777" w:rsidR="00023489" w:rsidRPr="007C37A4" w:rsidRDefault="00023489" w:rsidP="00A53770">
      <w:pPr>
        <w:pStyle w:val="Heading2"/>
      </w:pPr>
      <w:bookmarkStart w:id="167" w:name="_Toc133487842"/>
      <w:r w:rsidRPr="007C37A4">
        <w:t>Future Research</w:t>
      </w:r>
      <w:bookmarkEnd w:id="167"/>
      <w:r w:rsidRPr="007C37A4">
        <w:t xml:space="preserve"> </w:t>
      </w:r>
    </w:p>
    <w:p w14:paraId="2298475E" w14:textId="77777777" w:rsidR="00023489" w:rsidRDefault="00023489" w:rsidP="00A53770">
      <w:pPr>
        <w:spacing w:line="360" w:lineRule="auto"/>
        <w:ind w:firstLine="720"/>
        <w:jc w:val="both"/>
      </w:pPr>
      <w:r>
        <w:t>The current study was cross-sectional and therefore cannot identify causal relationships. Longitudinal research of study variables, particularly the predictive role of depression on somatisation for people with seizure conditions, would be valuable. If a causal relationship were to be found, this would provide a clear rationale for identifying improvements in intervention.</w:t>
      </w:r>
    </w:p>
    <w:p w14:paraId="46F6A08A" w14:textId="73DB4EE5" w:rsidR="00023489" w:rsidRDefault="00023489" w:rsidP="00A53770">
      <w:pPr>
        <w:spacing w:line="360" w:lineRule="auto"/>
        <w:ind w:firstLine="720"/>
        <w:jc w:val="both"/>
      </w:pPr>
      <w:r>
        <w:t>This study expectedly did not find depression to account for all variance in somatisation levels and therefore examination of other potential predictors in this population would be worthwhile.</w:t>
      </w:r>
      <w:r w:rsidR="00ED052B" w:rsidRPr="00ED052B">
        <w:t xml:space="preserve"> </w:t>
      </w:r>
      <w:r w:rsidR="00ED052B">
        <w:t xml:space="preserve">Previous research into predictors of somatisation suggests that alexithymia, which is characterised by difficulties feeling and describing emotions, may be worth further investigation in this population. Levels of alexithymia have been reported as similar in a study comparing PWE and PWDS and it has been shown to predict somatisation in a community sample </w:t>
      </w:r>
      <w:r w:rsidR="00ED052B" w:rsidRPr="004334BE">
        <w:t>(Bailey &amp; Henry, 2007</w:t>
      </w:r>
      <w:r w:rsidR="00ED052B">
        <w:t>, Green et al., 2017</w:t>
      </w:r>
      <w:r w:rsidR="00ED052B" w:rsidRPr="004334BE">
        <w:t>)</w:t>
      </w:r>
      <w:r w:rsidR="00ED052B">
        <w:t xml:space="preserve">. </w:t>
      </w:r>
      <w:r>
        <w:t xml:space="preserve"> IU, AS, and anxiety were not found to be significant predictors of somatisation. It may therefore be useful for future research to consider the potential predictive role of these factors for other outcomes in seizure conditions. Provisionally, outcomes suggested as important by people </w:t>
      </w:r>
      <w:r w:rsidR="00ED052B">
        <w:t>with seizure conditions include</w:t>
      </w:r>
      <w:r>
        <w:t xml:space="preserve"> feelings of burdensomeness, and fear of seizures</w:t>
      </w:r>
      <w:r w:rsidRPr="00CC2BA2">
        <w:t xml:space="preserve"> (Fisher et al., 2000</w:t>
      </w:r>
      <w:r>
        <w:t xml:space="preserve">, </w:t>
      </w:r>
      <w:r w:rsidRPr="00CC2BA2">
        <w:t>Rawlings &amp; Reuber, 2016)</w:t>
      </w:r>
      <w:r>
        <w:t>.</w:t>
      </w:r>
    </w:p>
    <w:p w14:paraId="7E799B3B" w14:textId="77777777" w:rsidR="00023489" w:rsidRDefault="00023489" w:rsidP="00A53770">
      <w:pPr>
        <w:spacing w:line="360" w:lineRule="auto"/>
        <w:ind w:firstLine="720"/>
        <w:jc w:val="both"/>
      </w:pPr>
      <w:r>
        <w:t xml:space="preserve"> A recent paper identified that a common measure of generalized anxiety (GAD) was unreliable for PWE </w:t>
      </w:r>
      <w:r w:rsidRPr="0085692C">
        <w:t>(Gandy et al., 2015)</w:t>
      </w:r>
      <w:r>
        <w:t xml:space="preserve">. With IU and AS being so closely related to GAD and much less frequently considered for both PWE and PWDS, it is possible measures of these constructs need similar attention in regard to population specificity. </w:t>
      </w:r>
    </w:p>
    <w:p w14:paraId="1A45231E" w14:textId="77777777" w:rsidR="00023489" w:rsidRDefault="00023489" w:rsidP="00A53770">
      <w:pPr>
        <w:spacing w:line="360" w:lineRule="auto"/>
        <w:ind w:firstLine="720"/>
        <w:jc w:val="both"/>
      </w:pPr>
      <w:r>
        <w:t xml:space="preserve">Improvements in methods for measuring seizure frequency across groups of PWE and PWDS are needed to improve the accuracy and reliability of reporting and analysis. One promising avenue of </w:t>
      </w:r>
      <w:r>
        <w:lastRenderedPageBreak/>
        <w:t xml:space="preserve">research is the use of assistive recording technologies, which could have positive clinical and research implications </w:t>
      </w:r>
      <w:r w:rsidR="00950673">
        <w:t xml:space="preserve">by allowing for more objectivity in reporting </w:t>
      </w:r>
      <w:r w:rsidRPr="002302AA">
        <w:t>(Ulate-Campos et al., 2016)</w:t>
      </w:r>
      <w:r>
        <w:t>.</w:t>
      </w:r>
    </w:p>
    <w:p w14:paraId="6960F2F6" w14:textId="77777777" w:rsidR="00023489" w:rsidRDefault="00023489" w:rsidP="00A53770">
      <w:pPr>
        <w:pStyle w:val="Heading2"/>
      </w:pPr>
      <w:bookmarkStart w:id="168" w:name="_Toc133487843"/>
      <w:r w:rsidRPr="00C6633B">
        <w:t>Conclusion</w:t>
      </w:r>
      <w:bookmarkEnd w:id="168"/>
    </w:p>
    <w:p w14:paraId="4755C8FE" w14:textId="77777777" w:rsidR="00A379D0" w:rsidRDefault="00023489" w:rsidP="00A53770">
      <w:pPr>
        <w:spacing w:line="360" w:lineRule="auto"/>
        <w:ind w:firstLine="720"/>
        <w:jc w:val="both"/>
        <w:rPr>
          <w:rFonts w:ascii="Calibri" w:hAnsi="Calibri" w:cs="Calibri"/>
          <w:color w:val="000000"/>
        </w:rPr>
      </w:pPr>
      <w:r>
        <w:rPr>
          <w:rFonts w:ascii="Calibri" w:hAnsi="Calibri" w:cs="Calibri"/>
          <w:color w:val="000000"/>
        </w:rPr>
        <w:t>This study adds novel evidence to research into IU, AS, anxiety, depression and somatisation in PWE and PWDS. Associations were found between all of these psychological factors, for both populations. Mean differences on measures were not statistically significantly different between groups, highlighting their potential importance in both populations. Findings demonstrated that only depression proved to be a significant predictor of somatisation. This suggests that understanding and treatment of depression in seizure conditions could be particularly important for people experiencing somatisation. Data for seizure frequency did not prove very robust to statistical assumptions, suggesting that future research into ways of collecting and reporting this would be beneficial.</w:t>
      </w:r>
    </w:p>
    <w:p w14:paraId="410C9B41" w14:textId="77777777" w:rsidR="00747028" w:rsidRDefault="00747028" w:rsidP="00436994">
      <w:pPr>
        <w:spacing w:line="360" w:lineRule="auto"/>
        <w:ind w:firstLine="720"/>
        <w:rPr>
          <w:rFonts w:ascii="Calibri" w:hAnsi="Calibri" w:cs="Calibri"/>
          <w:color w:val="000000"/>
        </w:rPr>
      </w:pPr>
    </w:p>
    <w:p w14:paraId="1BACE46F" w14:textId="77777777" w:rsidR="00747028" w:rsidRDefault="00747028" w:rsidP="00436994">
      <w:pPr>
        <w:spacing w:line="360" w:lineRule="auto"/>
        <w:ind w:firstLine="720"/>
        <w:rPr>
          <w:rFonts w:ascii="Calibri" w:hAnsi="Calibri" w:cs="Calibri"/>
          <w:color w:val="000000"/>
        </w:rPr>
      </w:pPr>
    </w:p>
    <w:p w14:paraId="52C4254E" w14:textId="77777777" w:rsidR="00747028" w:rsidRDefault="00747028" w:rsidP="00436994">
      <w:pPr>
        <w:spacing w:line="360" w:lineRule="auto"/>
        <w:ind w:firstLine="720"/>
        <w:rPr>
          <w:rFonts w:ascii="Calibri" w:hAnsi="Calibri" w:cs="Calibri"/>
          <w:color w:val="000000"/>
        </w:rPr>
      </w:pPr>
    </w:p>
    <w:p w14:paraId="49D7F6E7" w14:textId="77777777" w:rsidR="00747028" w:rsidRDefault="00747028" w:rsidP="00436994">
      <w:pPr>
        <w:spacing w:line="360" w:lineRule="auto"/>
        <w:ind w:firstLine="720"/>
        <w:rPr>
          <w:rFonts w:ascii="Calibri" w:hAnsi="Calibri" w:cs="Calibri"/>
          <w:color w:val="000000"/>
        </w:rPr>
      </w:pPr>
    </w:p>
    <w:p w14:paraId="7D27E663" w14:textId="77777777" w:rsidR="00747028" w:rsidRDefault="00747028" w:rsidP="00436994">
      <w:pPr>
        <w:spacing w:line="360" w:lineRule="auto"/>
        <w:ind w:firstLine="720"/>
        <w:rPr>
          <w:rFonts w:ascii="Calibri" w:hAnsi="Calibri" w:cs="Calibri"/>
          <w:color w:val="000000"/>
        </w:rPr>
      </w:pPr>
    </w:p>
    <w:p w14:paraId="7EBE686F" w14:textId="77777777" w:rsidR="00747028" w:rsidRDefault="00747028" w:rsidP="00436994">
      <w:pPr>
        <w:spacing w:line="360" w:lineRule="auto"/>
        <w:ind w:firstLine="720"/>
        <w:rPr>
          <w:rFonts w:ascii="Calibri" w:hAnsi="Calibri" w:cs="Calibri"/>
          <w:color w:val="000000"/>
        </w:rPr>
      </w:pPr>
    </w:p>
    <w:p w14:paraId="69B96FEB" w14:textId="77777777" w:rsidR="00747028" w:rsidRDefault="00747028" w:rsidP="00436994">
      <w:pPr>
        <w:spacing w:line="360" w:lineRule="auto"/>
        <w:ind w:firstLine="720"/>
        <w:rPr>
          <w:rFonts w:ascii="Calibri" w:hAnsi="Calibri" w:cs="Calibri"/>
          <w:color w:val="000000"/>
        </w:rPr>
      </w:pPr>
    </w:p>
    <w:p w14:paraId="0A07857B" w14:textId="77777777" w:rsidR="00747028" w:rsidRDefault="00747028" w:rsidP="00436994">
      <w:pPr>
        <w:spacing w:line="360" w:lineRule="auto"/>
        <w:ind w:firstLine="720"/>
        <w:rPr>
          <w:rFonts w:ascii="Calibri" w:hAnsi="Calibri" w:cs="Calibri"/>
          <w:color w:val="000000"/>
        </w:rPr>
      </w:pPr>
    </w:p>
    <w:p w14:paraId="5D9883DE" w14:textId="77777777" w:rsidR="00747028" w:rsidRDefault="00747028" w:rsidP="00436994">
      <w:pPr>
        <w:spacing w:line="360" w:lineRule="auto"/>
        <w:ind w:firstLine="720"/>
        <w:rPr>
          <w:rFonts w:ascii="Calibri" w:hAnsi="Calibri" w:cs="Calibri"/>
          <w:color w:val="000000"/>
        </w:rPr>
      </w:pPr>
    </w:p>
    <w:p w14:paraId="3F07C0BA" w14:textId="77777777" w:rsidR="00747028" w:rsidRDefault="00747028" w:rsidP="00436994">
      <w:pPr>
        <w:spacing w:line="360" w:lineRule="auto"/>
        <w:ind w:firstLine="720"/>
        <w:rPr>
          <w:rFonts w:ascii="Calibri" w:hAnsi="Calibri" w:cs="Calibri"/>
          <w:color w:val="000000"/>
        </w:rPr>
      </w:pPr>
    </w:p>
    <w:p w14:paraId="27797AAF" w14:textId="77777777" w:rsidR="00747028" w:rsidRDefault="00747028" w:rsidP="00436994">
      <w:pPr>
        <w:spacing w:line="360" w:lineRule="auto"/>
        <w:ind w:firstLine="720"/>
        <w:rPr>
          <w:rFonts w:ascii="Calibri" w:hAnsi="Calibri" w:cs="Calibri"/>
          <w:color w:val="000000"/>
        </w:rPr>
      </w:pPr>
    </w:p>
    <w:p w14:paraId="7A64609D" w14:textId="1D6EA535" w:rsidR="00747028" w:rsidRDefault="00747028" w:rsidP="00436994">
      <w:pPr>
        <w:spacing w:line="360" w:lineRule="auto"/>
        <w:ind w:firstLine="720"/>
        <w:rPr>
          <w:rFonts w:ascii="Calibri" w:hAnsi="Calibri" w:cs="Calibri"/>
          <w:color w:val="000000"/>
        </w:rPr>
      </w:pPr>
    </w:p>
    <w:p w14:paraId="38C49E33" w14:textId="335AB698" w:rsidR="0055208E" w:rsidRDefault="0055208E" w:rsidP="00436994">
      <w:pPr>
        <w:spacing w:line="360" w:lineRule="auto"/>
        <w:ind w:firstLine="720"/>
        <w:rPr>
          <w:rFonts w:ascii="Calibri" w:hAnsi="Calibri" w:cs="Calibri"/>
          <w:color w:val="000000"/>
        </w:rPr>
      </w:pPr>
    </w:p>
    <w:p w14:paraId="3A1BB95D" w14:textId="5ACC9903" w:rsidR="0055208E" w:rsidRDefault="0055208E" w:rsidP="00436994">
      <w:pPr>
        <w:spacing w:line="360" w:lineRule="auto"/>
        <w:ind w:firstLine="720"/>
        <w:rPr>
          <w:rFonts w:ascii="Calibri" w:hAnsi="Calibri" w:cs="Calibri"/>
          <w:color w:val="000000"/>
        </w:rPr>
      </w:pPr>
    </w:p>
    <w:p w14:paraId="7616FDF3" w14:textId="77777777" w:rsidR="0055208E" w:rsidRDefault="0055208E" w:rsidP="00436994">
      <w:pPr>
        <w:spacing w:line="360" w:lineRule="auto"/>
        <w:ind w:firstLine="720"/>
        <w:rPr>
          <w:rFonts w:ascii="Calibri" w:hAnsi="Calibri" w:cs="Calibri"/>
          <w:color w:val="000000"/>
        </w:rPr>
      </w:pPr>
    </w:p>
    <w:p w14:paraId="0E9890D0" w14:textId="4E6F8BFA" w:rsidR="00747028" w:rsidRDefault="00747028" w:rsidP="0022654D">
      <w:pPr>
        <w:spacing w:line="360" w:lineRule="auto"/>
        <w:rPr>
          <w:rFonts w:ascii="Calibri" w:hAnsi="Calibri" w:cs="Calibri"/>
          <w:color w:val="000000"/>
        </w:rPr>
      </w:pPr>
    </w:p>
    <w:p w14:paraId="0DF82706" w14:textId="77777777" w:rsidR="00023489" w:rsidRDefault="009C3C86" w:rsidP="00027769">
      <w:pPr>
        <w:pStyle w:val="Heading1"/>
      </w:pPr>
      <w:bookmarkStart w:id="169" w:name="_Toc133487844"/>
      <w:r>
        <w:lastRenderedPageBreak/>
        <w:t>References</w:t>
      </w:r>
      <w:bookmarkEnd w:id="169"/>
    </w:p>
    <w:p w14:paraId="03FDD226" w14:textId="77777777" w:rsidR="00023489" w:rsidRPr="00BC1C17" w:rsidRDefault="00023489" w:rsidP="00023489">
      <w:pPr>
        <w:rPr>
          <w:rFonts w:cs="Calibri"/>
          <w:color w:val="000000"/>
        </w:rPr>
      </w:pPr>
    </w:p>
    <w:p w14:paraId="3B739B6D"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Abe, C., Denney, D., Doyle, A., Cullum, M., Adams, J., Perven, G., Dave, H., Dieppa, M., Hays, R., Agostini, M., &amp; Ding, K. (2020). Comparison of psychiatric comorbidities and impact on quality of life in patients with epilepsy or psychogenic nonepileptic spells. </w:t>
      </w:r>
      <w:r w:rsidRPr="00BC1C17">
        <w:rPr>
          <w:rFonts w:asciiTheme="minorHAnsi" w:hAnsiTheme="minorHAnsi" w:cstheme="minorHAnsi"/>
          <w:i/>
          <w:iCs/>
          <w:sz w:val="22"/>
          <w:szCs w:val="22"/>
        </w:rPr>
        <w:t>Epilepsy &amp; Behavior</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102</w:t>
      </w:r>
      <w:r w:rsidRPr="00BC1C17">
        <w:rPr>
          <w:rFonts w:asciiTheme="minorHAnsi" w:hAnsiTheme="minorHAnsi" w:cstheme="minorHAnsi"/>
          <w:sz w:val="22"/>
          <w:szCs w:val="22"/>
        </w:rPr>
        <w:t xml:space="preserve">, 106649. </w:t>
      </w:r>
      <w:hyperlink r:id="rId95" w:history="1">
        <w:r w:rsidRPr="00BC1C17">
          <w:rPr>
            <w:rStyle w:val="Hyperlink"/>
            <w:rFonts w:asciiTheme="minorHAnsi" w:hAnsiTheme="minorHAnsi" w:cstheme="minorHAnsi"/>
            <w:sz w:val="22"/>
            <w:szCs w:val="22"/>
          </w:rPr>
          <w:t>https://doi.org/10.1016/j.yebeh.2019.106649</w:t>
        </w:r>
      </w:hyperlink>
    </w:p>
    <w:p w14:paraId="5D1E7119"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Alegría, M., NeMoyer, A., Falgàs Bagué, I., Wang, Y., &amp; Alvarez, K. (2018). Social Determinants of Mental Health: Where We Are and Where We Need to Go. </w:t>
      </w:r>
      <w:r w:rsidRPr="00BC1C17">
        <w:rPr>
          <w:rFonts w:asciiTheme="minorHAnsi" w:hAnsiTheme="minorHAnsi" w:cstheme="minorHAnsi"/>
          <w:i/>
          <w:iCs/>
          <w:sz w:val="22"/>
          <w:szCs w:val="22"/>
        </w:rPr>
        <w:t>Current Psychiatry Reports</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20</w:t>
      </w:r>
      <w:r w:rsidRPr="00BC1C17">
        <w:rPr>
          <w:rFonts w:asciiTheme="minorHAnsi" w:hAnsiTheme="minorHAnsi" w:cstheme="minorHAnsi"/>
          <w:sz w:val="22"/>
          <w:szCs w:val="22"/>
        </w:rPr>
        <w:t>(11), 1-20. https://doi.org/10.1007/s11920-018-0969-9</w:t>
      </w:r>
    </w:p>
    <w:p w14:paraId="73E5B760"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Almwled, A. S., Almuhaydili, A. O., Altamimi, S. M., Alzahrani, M. A., Alnahdi, R. K., Almotairi, S. B., Aljafen, B. N., &amp; Alosaimi, F. D. (2022). Prevalence and biopsychosocial factors associated with treatment adherence among people with epilepsy in a tertiary care hospital in Riyadh, Saudi Arabia. </w:t>
      </w:r>
      <w:r w:rsidRPr="00BC1C17">
        <w:rPr>
          <w:rFonts w:asciiTheme="minorHAnsi" w:hAnsiTheme="minorHAnsi" w:cstheme="minorHAnsi"/>
          <w:i/>
          <w:iCs/>
          <w:sz w:val="22"/>
          <w:szCs w:val="22"/>
        </w:rPr>
        <w:t>Neurosciences</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27</w:t>
      </w:r>
      <w:r w:rsidRPr="00BC1C17">
        <w:rPr>
          <w:rFonts w:asciiTheme="minorHAnsi" w:hAnsiTheme="minorHAnsi" w:cstheme="minorHAnsi"/>
          <w:sz w:val="22"/>
          <w:szCs w:val="22"/>
        </w:rPr>
        <w:t xml:space="preserve">(2), 94–103. </w:t>
      </w:r>
      <w:hyperlink r:id="rId96" w:history="1">
        <w:r w:rsidRPr="00BC1C17">
          <w:rPr>
            <w:rStyle w:val="Hyperlink"/>
            <w:rFonts w:asciiTheme="minorHAnsi" w:hAnsiTheme="minorHAnsi" w:cstheme="minorHAnsi"/>
            <w:sz w:val="22"/>
            <w:szCs w:val="22"/>
          </w:rPr>
          <w:t>https://doi.org/10.17712/nsj.2022.2.20210142</w:t>
        </w:r>
      </w:hyperlink>
    </w:p>
    <w:p w14:paraId="4EB8E246"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Avishai Cohen, H., &amp; Zerach, G. (2020). Associations Between Posttraumatic Stress Symptoms, Anxiety Sensitivity, Socially Prescribed Perfectionism, and Severity of Somatic Symptoms Among Individuals with Fibromyalgia. </w:t>
      </w:r>
      <w:r w:rsidRPr="00BC1C17">
        <w:rPr>
          <w:rFonts w:asciiTheme="minorHAnsi" w:hAnsiTheme="minorHAnsi" w:cstheme="minorHAnsi"/>
          <w:i/>
          <w:iCs/>
          <w:sz w:val="22"/>
          <w:szCs w:val="22"/>
        </w:rPr>
        <w:t>Pain Medicine</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22</w:t>
      </w:r>
      <w:r w:rsidRPr="00BC1C17">
        <w:rPr>
          <w:rFonts w:asciiTheme="minorHAnsi" w:hAnsiTheme="minorHAnsi" w:cstheme="minorHAnsi"/>
          <w:sz w:val="22"/>
          <w:szCs w:val="22"/>
        </w:rPr>
        <w:t>(2), 363-371. https://doi.org/10.1093/pm/pnaa327</w:t>
      </w:r>
    </w:p>
    <w:p w14:paraId="25CD6FC6" w14:textId="2A333BC1" w:rsidR="00023489"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American Psychiatric Association. (2013). </w:t>
      </w:r>
      <w:r w:rsidRPr="00BC1C17">
        <w:rPr>
          <w:rFonts w:asciiTheme="minorHAnsi" w:hAnsiTheme="minorHAnsi" w:cstheme="minorHAnsi"/>
          <w:i/>
          <w:iCs/>
          <w:sz w:val="22"/>
          <w:szCs w:val="22"/>
        </w:rPr>
        <w:t>Diagnostic and statistical manual of mental disorders</w:t>
      </w:r>
      <w:r w:rsidRPr="00BC1C17">
        <w:rPr>
          <w:rFonts w:asciiTheme="minorHAnsi" w:hAnsiTheme="minorHAnsi" w:cstheme="minorHAnsi"/>
          <w:sz w:val="22"/>
          <w:szCs w:val="22"/>
        </w:rPr>
        <w:t xml:space="preserve"> (5th ed.). American Psychiatric Association.</w:t>
      </w:r>
    </w:p>
    <w:p w14:paraId="0A881D6E" w14:textId="746B87A5" w:rsidR="00ED052B" w:rsidRPr="00BC1C17" w:rsidRDefault="00ED052B"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ED052B">
        <w:rPr>
          <w:rFonts w:asciiTheme="minorHAnsi" w:hAnsiTheme="minorHAnsi" w:cstheme="minorHAnsi"/>
          <w:sz w:val="22"/>
          <w:szCs w:val="22"/>
        </w:rPr>
        <w:t>Bailey, P. E., &amp; Henry, J. D. (2007). Alexithymia, somatization and negative affect in</w:t>
      </w:r>
      <w:r>
        <w:rPr>
          <w:rFonts w:asciiTheme="minorHAnsi" w:hAnsiTheme="minorHAnsi" w:cstheme="minorHAnsi"/>
          <w:sz w:val="22"/>
          <w:szCs w:val="22"/>
        </w:rPr>
        <w:t xml:space="preserve"> a community sample. Psychiatry </w:t>
      </w:r>
      <w:r w:rsidRPr="00ED052B">
        <w:rPr>
          <w:rFonts w:asciiTheme="minorHAnsi" w:hAnsiTheme="minorHAnsi" w:cstheme="minorHAnsi"/>
          <w:sz w:val="22"/>
          <w:szCs w:val="22"/>
        </w:rPr>
        <w:t>Research, 150(1), 13–20. https://doi.org/10.1016/j.psychres.2006.05.024</w:t>
      </w:r>
    </w:p>
    <w:p w14:paraId="5545B853"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Baldellou Lopez, M., Goldstein, L. H., Robinson, E. J., Vitoratou, S., Chalder, T., Carson, A., Stone, J., &amp; Reuber, M. (2021). Validation of the PHQ-9 in adults with dissociative seizures. </w:t>
      </w:r>
      <w:r w:rsidRPr="00BC1C17">
        <w:rPr>
          <w:rFonts w:asciiTheme="minorHAnsi" w:hAnsiTheme="minorHAnsi" w:cstheme="minorHAnsi"/>
          <w:i/>
          <w:iCs/>
          <w:sz w:val="22"/>
          <w:szCs w:val="22"/>
        </w:rPr>
        <w:t>Journal of Psychosomatic Research</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146</w:t>
      </w:r>
      <w:r w:rsidRPr="00BC1C17">
        <w:rPr>
          <w:rFonts w:asciiTheme="minorHAnsi" w:hAnsiTheme="minorHAnsi" w:cstheme="minorHAnsi"/>
          <w:sz w:val="22"/>
          <w:szCs w:val="22"/>
        </w:rPr>
        <w:t>, 110487. https://doi.org/10.1016/j.jpsychores.2021.110487</w:t>
      </w:r>
    </w:p>
    <w:p w14:paraId="6EBD273C"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Barahmand, U., &amp; Haji, A. (2014). The impact of a, worry and irritability on quality of life in persons with epilepsy: Irritability as mediator. </w:t>
      </w:r>
      <w:r w:rsidRPr="00BC1C17">
        <w:rPr>
          <w:rFonts w:asciiTheme="minorHAnsi" w:hAnsiTheme="minorHAnsi" w:cstheme="minorHAnsi"/>
          <w:i/>
          <w:iCs/>
          <w:sz w:val="22"/>
          <w:szCs w:val="22"/>
        </w:rPr>
        <w:t>Epilepsy Research</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108</w:t>
      </w:r>
      <w:r w:rsidRPr="00BC1C17">
        <w:rPr>
          <w:rFonts w:asciiTheme="minorHAnsi" w:hAnsiTheme="minorHAnsi" w:cstheme="minorHAnsi"/>
          <w:sz w:val="22"/>
          <w:szCs w:val="22"/>
        </w:rPr>
        <w:t xml:space="preserve">(8), 1335–1344. </w:t>
      </w:r>
      <w:hyperlink r:id="rId97" w:history="1">
        <w:r w:rsidRPr="00BC1C17">
          <w:rPr>
            <w:rStyle w:val="Hyperlink"/>
            <w:rFonts w:asciiTheme="minorHAnsi" w:hAnsiTheme="minorHAnsi" w:cstheme="minorHAnsi"/>
            <w:sz w:val="22"/>
            <w:szCs w:val="22"/>
          </w:rPr>
          <w:t>https://doi.org/10.1016/j.eplepsyres.2014.07.002</w:t>
        </w:r>
      </w:hyperlink>
    </w:p>
    <w:p w14:paraId="699715E4"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Baslet, G., Roiko, A., &amp; Prensky, E. (2010). Heterogeneity in psychogenic nonepileptic seizures: Understanding the role of psychiatric and neurological factors. </w:t>
      </w:r>
      <w:r w:rsidRPr="00BC1C17">
        <w:rPr>
          <w:rFonts w:asciiTheme="minorHAnsi" w:hAnsiTheme="minorHAnsi" w:cstheme="minorHAnsi"/>
          <w:i/>
          <w:iCs/>
          <w:sz w:val="22"/>
          <w:szCs w:val="22"/>
        </w:rPr>
        <w:t>Epilepsy &amp; Behavior</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17</w:t>
      </w:r>
      <w:r w:rsidRPr="00BC1C17">
        <w:rPr>
          <w:rFonts w:asciiTheme="minorHAnsi" w:hAnsiTheme="minorHAnsi" w:cstheme="minorHAnsi"/>
          <w:sz w:val="22"/>
          <w:szCs w:val="22"/>
        </w:rPr>
        <w:t>(2), 236–241. https://doi.org/10.1016/j.yebeh.2009.12.008</w:t>
      </w:r>
    </w:p>
    <w:p w14:paraId="642FB7A6"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lastRenderedPageBreak/>
        <w:t xml:space="preserve">Beyenburg, S., Mitchell, A. J., Schmidt, D., Elger, C. E., &amp; Reuber, M. (2005). Anxiety in patients with epilepsy: Systematic review and suggestions for clinical management. </w:t>
      </w:r>
      <w:r w:rsidRPr="00BC1C17">
        <w:rPr>
          <w:rFonts w:asciiTheme="minorHAnsi" w:hAnsiTheme="minorHAnsi" w:cstheme="minorHAnsi"/>
          <w:i/>
          <w:iCs/>
          <w:sz w:val="22"/>
          <w:szCs w:val="22"/>
        </w:rPr>
        <w:t>Epilepsy &amp; Behavior</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7</w:t>
      </w:r>
      <w:r w:rsidRPr="00BC1C17">
        <w:rPr>
          <w:rFonts w:asciiTheme="minorHAnsi" w:hAnsiTheme="minorHAnsi" w:cstheme="minorHAnsi"/>
          <w:sz w:val="22"/>
          <w:szCs w:val="22"/>
        </w:rPr>
        <w:t xml:space="preserve">(2), 161–171. </w:t>
      </w:r>
      <w:hyperlink r:id="rId98" w:history="1">
        <w:r w:rsidRPr="00BC1C17">
          <w:rPr>
            <w:rStyle w:val="Hyperlink"/>
            <w:rFonts w:asciiTheme="minorHAnsi" w:hAnsiTheme="minorHAnsi" w:cstheme="minorHAnsi"/>
            <w:sz w:val="22"/>
            <w:szCs w:val="22"/>
          </w:rPr>
          <w:t>https://doi.org/10.1016/j.yebeh.2005.05.014</w:t>
        </w:r>
      </w:hyperlink>
    </w:p>
    <w:p w14:paraId="15A543C2" w14:textId="77777777" w:rsidR="00023489" w:rsidRPr="00BC1C17" w:rsidRDefault="00023489" w:rsidP="00A53770">
      <w:pPr>
        <w:spacing w:after="0" w:line="360" w:lineRule="auto"/>
        <w:ind w:left="720" w:firstLine="720"/>
        <w:jc w:val="both"/>
        <w:rPr>
          <w:rFonts w:eastAsia="Times New Roman" w:cstheme="minorHAnsi"/>
          <w:lang w:eastAsia="en-GB"/>
        </w:rPr>
      </w:pPr>
      <w:r w:rsidRPr="00BC1C17">
        <w:rPr>
          <w:rFonts w:eastAsia="Times New Roman" w:cstheme="minorHAnsi"/>
          <w:lang w:eastAsia="en-GB"/>
        </w:rPr>
        <w:t xml:space="preserve">Bodde, N. M. G., Brooks, J. L., Baker, G. A., Boon, P. A. J. M., Hendriksen, J. G. M., &amp; Aldenkamp, A. P. (2009). Psychogenic non-epileptic seizures—Diagnostic issues: A critical review. </w:t>
      </w:r>
      <w:r w:rsidRPr="00BC1C17">
        <w:rPr>
          <w:rFonts w:eastAsia="Times New Roman" w:cstheme="minorHAnsi"/>
          <w:i/>
          <w:iCs/>
          <w:lang w:eastAsia="en-GB"/>
        </w:rPr>
        <w:t>Clinical Neurology and Neurosurgery</w:t>
      </w:r>
      <w:r w:rsidRPr="00BC1C17">
        <w:rPr>
          <w:rFonts w:eastAsia="Times New Roman" w:cstheme="minorHAnsi"/>
          <w:lang w:eastAsia="en-GB"/>
        </w:rPr>
        <w:t xml:space="preserve">, </w:t>
      </w:r>
      <w:r w:rsidRPr="00BC1C17">
        <w:rPr>
          <w:rFonts w:eastAsia="Times New Roman" w:cstheme="minorHAnsi"/>
          <w:i/>
          <w:iCs/>
          <w:lang w:eastAsia="en-GB"/>
        </w:rPr>
        <w:t>111</w:t>
      </w:r>
      <w:r w:rsidRPr="00BC1C17">
        <w:rPr>
          <w:rFonts w:eastAsia="Times New Roman" w:cstheme="minorHAnsi"/>
          <w:lang w:eastAsia="en-GB"/>
        </w:rPr>
        <w:t>(1), 1–9. https://doi.org/10.1016/j.clineuro.2008.09.028</w:t>
      </w:r>
    </w:p>
    <w:p w14:paraId="002524E6"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Boswell, J. F., Thompson-Hollands, J., Farchione, T. J., &amp; Barlow, D. H. (2013). Intolerance of Uncertainty: A Common Factor in the Treatment of Emotional Disorders. </w:t>
      </w:r>
      <w:r w:rsidRPr="00BC1C17">
        <w:rPr>
          <w:rFonts w:asciiTheme="minorHAnsi" w:hAnsiTheme="minorHAnsi" w:cstheme="minorHAnsi"/>
          <w:i/>
          <w:iCs/>
          <w:sz w:val="22"/>
          <w:szCs w:val="22"/>
        </w:rPr>
        <w:t>Journal of Clinical Psychology</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69</w:t>
      </w:r>
      <w:r w:rsidRPr="00BC1C17">
        <w:rPr>
          <w:rFonts w:asciiTheme="minorHAnsi" w:hAnsiTheme="minorHAnsi" w:cstheme="minorHAnsi"/>
          <w:sz w:val="22"/>
          <w:szCs w:val="22"/>
        </w:rPr>
        <w:t>(6), 630–645. https://doi.org/10.1002/jclp.21965</w:t>
      </w:r>
    </w:p>
    <w:p w14:paraId="2C05409B"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Brandt, C., &amp; Mula, M. (2016). Anxiety disorders in people with epilepsy. </w:t>
      </w:r>
      <w:r w:rsidRPr="00BC1C17">
        <w:rPr>
          <w:rFonts w:asciiTheme="minorHAnsi" w:hAnsiTheme="minorHAnsi" w:cstheme="minorHAnsi"/>
          <w:i/>
          <w:iCs/>
          <w:sz w:val="22"/>
          <w:szCs w:val="22"/>
        </w:rPr>
        <w:t>Epilepsy &amp; Behavior</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59</w:t>
      </w:r>
      <w:r w:rsidRPr="00BC1C17">
        <w:rPr>
          <w:rFonts w:asciiTheme="minorHAnsi" w:hAnsiTheme="minorHAnsi" w:cstheme="minorHAnsi"/>
          <w:sz w:val="22"/>
          <w:szCs w:val="22"/>
        </w:rPr>
        <w:t>, 87–91. https://doi.org/10.1016/j.yebeh.2016.03.020</w:t>
      </w:r>
    </w:p>
    <w:p w14:paraId="608C44DD"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Brown, R. J., Bouska, J. F., Frow, A., Kirkby, A., Baker, G. A., Kemp, S., Burness, C., &amp; Reuber, M. (2013). Emotional dysregulation, alexithymia, and attachment in psychogenic nonepileptic seizures. </w:t>
      </w:r>
      <w:r w:rsidRPr="00BC1C17">
        <w:rPr>
          <w:rFonts w:asciiTheme="minorHAnsi" w:hAnsiTheme="minorHAnsi" w:cstheme="minorHAnsi"/>
          <w:i/>
          <w:iCs/>
          <w:sz w:val="22"/>
          <w:szCs w:val="22"/>
        </w:rPr>
        <w:t>Epilepsy &amp; Behavior</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29</w:t>
      </w:r>
      <w:r w:rsidRPr="00BC1C17">
        <w:rPr>
          <w:rFonts w:asciiTheme="minorHAnsi" w:hAnsiTheme="minorHAnsi" w:cstheme="minorHAnsi"/>
          <w:sz w:val="22"/>
          <w:szCs w:val="22"/>
        </w:rPr>
        <w:t>(1), 178–183. https://doi.org/10.1016/j.yebeh.2013.07.019</w:t>
      </w:r>
    </w:p>
    <w:p w14:paraId="003AB040"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Brown, R. J., &amp; Reuber, M. (2016). Towards an integrative theory of psychogenic non-epileptic seizures (PNES). </w:t>
      </w:r>
      <w:r w:rsidRPr="00BC1C17">
        <w:rPr>
          <w:rFonts w:asciiTheme="minorHAnsi" w:hAnsiTheme="minorHAnsi" w:cstheme="minorHAnsi"/>
          <w:i/>
          <w:iCs/>
          <w:sz w:val="22"/>
          <w:szCs w:val="22"/>
        </w:rPr>
        <w:t>Clinical Psychology Review</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47</w:t>
      </w:r>
      <w:r w:rsidRPr="00BC1C17">
        <w:rPr>
          <w:rFonts w:asciiTheme="minorHAnsi" w:hAnsiTheme="minorHAnsi" w:cstheme="minorHAnsi"/>
          <w:sz w:val="22"/>
          <w:szCs w:val="22"/>
        </w:rPr>
        <w:t>, 55–70. https://doi.org/10.1016/j.cpr.2016.06.003</w:t>
      </w:r>
    </w:p>
    <w:p w14:paraId="6688322F"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Buhr, K., &amp; Dugas, M. J. (2002). The intolerance of uncertainty scale: psychometric properties of the English version. </w:t>
      </w:r>
      <w:r w:rsidRPr="00BC1C17">
        <w:rPr>
          <w:rFonts w:asciiTheme="minorHAnsi" w:hAnsiTheme="minorHAnsi" w:cstheme="minorHAnsi"/>
          <w:i/>
          <w:iCs/>
          <w:sz w:val="22"/>
          <w:szCs w:val="22"/>
        </w:rPr>
        <w:t>Behaviour Research and Therapy</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40</w:t>
      </w:r>
      <w:r w:rsidRPr="00BC1C17">
        <w:rPr>
          <w:rFonts w:asciiTheme="minorHAnsi" w:hAnsiTheme="minorHAnsi" w:cstheme="minorHAnsi"/>
          <w:sz w:val="22"/>
          <w:szCs w:val="22"/>
        </w:rPr>
        <w:t>(8), 931–945. https://doi.org/10.1016/s0005-7967(01)00092-4</w:t>
      </w:r>
    </w:p>
    <w:p w14:paraId="11FA11FD"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Carleton, R. N. (2012). The intolerance of uncertainty construct in the context of anxiety disorders: theoretical and practical perspectives. </w:t>
      </w:r>
      <w:r w:rsidRPr="00BC1C17">
        <w:rPr>
          <w:rFonts w:asciiTheme="minorHAnsi" w:hAnsiTheme="minorHAnsi" w:cstheme="minorHAnsi"/>
          <w:i/>
          <w:iCs/>
          <w:sz w:val="22"/>
          <w:szCs w:val="22"/>
        </w:rPr>
        <w:t>Expert Review of Neurotherapeutics</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12</w:t>
      </w:r>
      <w:r w:rsidRPr="00BC1C17">
        <w:rPr>
          <w:rFonts w:asciiTheme="minorHAnsi" w:hAnsiTheme="minorHAnsi" w:cstheme="minorHAnsi"/>
          <w:sz w:val="22"/>
          <w:szCs w:val="22"/>
        </w:rPr>
        <w:t>(8), 937–947. https://doi.org/10.1586/ern.12.82</w:t>
      </w:r>
    </w:p>
    <w:p w14:paraId="4190E1C4"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Carleton, R. N., Mulvogue, M. K., Thibodeau, M. A., McCabe, R. E., Antony, M. M., &amp; Asmundson, G. J. G. (2012). Increasingly certain about uncertainty: Intolerance of uncertainty across anxiety and depression. </w:t>
      </w:r>
      <w:r w:rsidRPr="00BC1C17">
        <w:rPr>
          <w:rFonts w:asciiTheme="minorHAnsi" w:hAnsiTheme="minorHAnsi" w:cstheme="minorHAnsi"/>
          <w:i/>
          <w:iCs/>
          <w:sz w:val="22"/>
          <w:szCs w:val="22"/>
        </w:rPr>
        <w:t>Journal of Anxiety Disorders</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26</w:t>
      </w:r>
      <w:r w:rsidRPr="00BC1C17">
        <w:rPr>
          <w:rFonts w:asciiTheme="minorHAnsi" w:hAnsiTheme="minorHAnsi" w:cstheme="minorHAnsi"/>
          <w:sz w:val="22"/>
          <w:szCs w:val="22"/>
        </w:rPr>
        <w:t>(3), 468–479. https://doi.org/10.1016/j.janxdis.2012.01.011</w:t>
      </w:r>
    </w:p>
    <w:p w14:paraId="6E31E149"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Carleton, R. N., Norton, M. A. P. J., &amp; Asmundson, G. J. G. (2007). Fearing the unknown: A short version of the Intolerance of Uncertainty Scale. </w:t>
      </w:r>
      <w:r w:rsidRPr="00BC1C17">
        <w:rPr>
          <w:rFonts w:asciiTheme="minorHAnsi" w:hAnsiTheme="minorHAnsi" w:cstheme="minorHAnsi"/>
          <w:i/>
          <w:iCs/>
          <w:sz w:val="22"/>
          <w:szCs w:val="22"/>
        </w:rPr>
        <w:t>Journal of Anxiety Disorders</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21</w:t>
      </w:r>
      <w:r w:rsidRPr="00BC1C17">
        <w:rPr>
          <w:rFonts w:asciiTheme="minorHAnsi" w:hAnsiTheme="minorHAnsi" w:cstheme="minorHAnsi"/>
          <w:sz w:val="22"/>
          <w:szCs w:val="22"/>
        </w:rPr>
        <w:t>(1), 105–117. https://doi.org/10.1016/j.janxdis.2006.03.014</w:t>
      </w:r>
    </w:p>
    <w:p w14:paraId="0A9C997F"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lastRenderedPageBreak/>
        <w:t xml:space="preserve">Carleton, R. N., Sharpe, D., &amp; Asmundson, G. J. G. (2007). Anxiety sensitivity and intolerance of uncertainty: Requisites of the fundamental fears? </w:t>
      </w:r>
      <w:r w:rsidRPr="00BC1C17">
        <w:rPr>
          <w:rFonts w:asciiTheme="minorHAnsi" w:hAnsiTheme="minorHAnsi" w:cstheme="minorHAnsi"/>
          <w:i/>
          <w:iCs/>
          <w:sz w:val="22"/>
          <w:szCs w:val="22"/>
        </w:rPr>
        <w:t>Behaviour Research and Therapy</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45</w:t>
      </w:r>
      <w:r w:rsidRPr="00BC1C17">
        <w:rPr>
          <w:rFonts w:asciiTheme="minorHAnsi" w:hAnsiTheme="minorHAnsi" w:cstheme="minorHAnsi"/>
          <w:sz w:val="22"/>
          <w:szCs w:val="22"/>
        </w:rPr>
        <w:t xml:space="preserve">(10), 2307–2316. </w:t>
      </w:r>
      <w:hyperlink r:id="rId99" w:history="1">
        <w:r w:rsidRPr="00BC1C17">
          <w:rPr>
            <w:rStyle w:val="Hyperlink"/>
            <w:rFonts w:asciiTheme="minorHAnsi" w:hAnsiTheme="minorHAnsi" w:cstheme="minorHAnsi"/>
            <w:sz w:val="22"/>
            <w:szCs w:val="22"/>
          </w:rPr>
          <w:t>https://doi.org/10.1016/j.brat.2007.04.006</w:t>
        </w:r>
      </w:hyperlink>
    </w:p>
    <w:p w14:paraId="34B946DF"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Carlson, P., &amp; Nicholson Perry, K. (2017). Psychological interventions for psychogenic non-epileptic seizures: A meta-analysis. </w:t>
      </w:r>
      <w:r w:rsidRPr="00BC1C17">
        <w:rPr>
          <w:rFonts w:asciiTheme="minorHAnsi" w:hAnsiTheme="minorHAnsi" w:cstheme="minorHAnsi"/>
          <w:i/>
          <w:iCs/>
          <w:sz w:val="22"/>
          <w:szCs w:val="22"/>
        </w:rPr>
        <w:t>Seizure</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45</w:t>
      </w:r>
      <w:r w:rsidRPr="00BC1C17">
        <w:rPr>
          <w:rFonts w:asciiTheme="minorHAnsi" w:hAnsiTheme="minorHAnsi" w:cstheme="minorHAnsi"/>
          <w:sz w:val="22"/>
          <w:szCs w:val="22"/>
        </w:rPr>
        <w:t>, 142–150. https://doi.org/10.1016/j.seizure.2016.12.007</w:t>
      </w:r>
    </w:p>
    <w:p w14:paraId="42E0B985"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Chen, J. T.-H., &amp; Lovibond, P. F. (2016). Intolerance of Uncertainty Is Associated With Increased Threat Appraisal and Negative Affect Under Ambiguity but Not Uncertainty. </w:t>
      </w:r>
      <w:r w:rsidRPr="00BC1C17">
        <w:rPr>
          <w:rFonts w:asciiTheme="minorHAnsi" w:hAnsiTheme="minorHAnsi" w:cstheme="minorHAnsi"/>
          <w:i/>
          <w:iCs/>
          <w:sz w:val="22"/>
          <w:szCs w:val="22"/>
        </w:rPr>
        <w:t>Behavior Therapy</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47</w:t>
      </w:r>
      <w:r w:rsidRPr="00BC1C17">
        <w:rPr>
          <w:rFonts w:asciiTheme="minorHAnsi" w:hAnsiTheme="minorHAnsi" w:cstheme="minorHAnsi"/>
          <w:sz w:val="22"/>
          <w:szCs w:val="22"/>
        </w:rPr>
        <w:t>(1), 42–53. https://doi.org/10.1016/j.beth.2015.09.004</w:t>
      </w:r>
    </w:p>
    <w:p w14:paraId="4239FB5B" w14:textId="77777777" w:rsidR="00023489" w:rsidRPr="00BC1C17" w:rsidRDefault="00023489" w:rsidP="00A53770">
      <w:pPr>
        <w:pStyle w:val="NormalWeb"/>
        <w:spacing w:before="0" w:beforeAutospacing="0" w:after="0" w:afterAutospacing="0" w:line="360" w:lineRule="auto"/>
        <w:ind w:left="720" w:firstLine="720"/>
        <w:jc w:val="both"/>
        <w:rPr>
          <w:rStyle w:val="Hyperlink"/>
          <w:rFonts w:asciiTheme="minorHAnsi" w:hAnsiTheme="minorHAnsi" w:cstheme="minorHAnsi"/>
          <w:sz w:val="22"/>
          <w:szCs w:val="22"/>
        </w:rPr>
      </w:pPr>
      <w:r w:rsidRPr="00BC1C17">
        <w:rPr>
          <w:rFonts w:asciiTheme="minorHAnsi" w:hAnsiTheme="minorHAnsi" w:cstheme="minorHAnsi"/>
          <w:sz w:val="22"/>
          <w:szCs w:val="22"/>
        </w:rPr>
        <w:t xml:space="preserve">Cullingham, T., Kirkby, A., Eccles, F. J. R., &amp; Sellwood, W. (2020). Psychological inflexibility and somatization in nonepileptic attack disorder. </w:t>
      </w:r>
      <w:r w:rsidRPr="00BC1C17">
        <w:rPr>
          <w:rFonts w:asciiTheme="minorHAnsi" w:hAnsiTheme="minorHAnsi" w:cstheme="minorHAnsi"/>
          <w:i/>
          <w:iCs/>
          <w:sz w:val="22"/>
          <w:szCs w:val="22"/>
        </w:rPr>
        <w:t>Epilepsy &amp; Behavior</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111</w:t>
      </w:r>
      <w:r w:rsidRPr="00BC1C17">
        <w:rPr>
          <w:rFonts w:asciiTheme="minorHAnsi" w:hAnsiTheme="minorHAnsi" w:cstheme="minorHAnsi"/>
          <w:sz w:val="22"/>
          <w:szCs w:val="22"/>
        </w:rPr>
        <w:t xml:space="preserve">, 107155. </w:t>
      </w:r>
      <w:hyperlink r:id="rId100" w:history="1">
        <w:r w:rsidRPr="00BC1C17">
          <w:rPr>
            <w:rStyle w:val="Hyperlink"/>
            <w:rFonts w:asciiTheme="minorHAnsi" w:hAnsiTheme="minorHAnsi" w:cstheme="minorHAnsi"/>
            <w:sz w:val="22"/>
            <w:szCs w:val="22"/>
          </w:rPr>
          <w:t>https://doi.org/10.1016/j.yebeh.2020.107155</w:t>
        </w:r>
      </w:hyperlink>
    </w:p>
    <w:p w14:paraId="456CBC4F"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Cuthill, F. M., &amp; Espie, C. A. (2005). Sensitivity and specificity of procedures for the differential diagnosis of epileptic and non-epileptic seizures: A systematic review. </w:t>
      </w:r>
      <w:r w:rsidRPr="00BC1C17">
        <w:rPr>
          <w:rFonts w:asciiTheme="minorHAnsi" w:hAnsiTheme="minorHAnsi" w:cstheme="minorHAnsi"/>
          <w:i/>
          <w:iCs/>
          <w:sz w:val="22"/>
          <w:szCs w:val="22"/>
        </w:rPr>
        <w:t>Seizure</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14</w:t>
      </w:r>
      <w:r w:rsidRPr="00BC1C17">
        <w:rPr>
          <w:rFonts w:asciiTheme="minorHAnsi" w:hAnsiTheme="minorHAnsi" w:cstheme="minorHAnsi"/>
          <w:sz w:val="22"/>
          <w:szCs w:val="22"/>
        </w:rPr>
        <w:t xml:space="preserve">(5), 293–303. </w:t>
      </w:r>
      <w:hyperlink r:id="rId101" w:history="1">
        <w:r w:rsidRPr="00BC1C17">
          <w:rPr>
            <w:rStyle w:val="Hyperlink"/>
            <w:rFonts w:asciiTheme="minorHAnsi" w:hAnsiTheme="minorHAnsi" w:cstheme="minorHAnsi"/>
            <w:sz w:val="22"/>
            <w:szCs w:val="22"/>
          </w:rPr>
          <w:t>https://doi.org/10.1016/j.seizure.2005.04.006</w:t>
        </w:r>
      </w:hyperlink>
    </w:p>
    <w:p w14:paraId="7780EBE7" w14:textId="77777777" w:rsidR="009C3C86"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D’Alessio, L., Giagante, B., Oddo, S., Silva W, W., Solís, P., Consalvo, D., &amp; Kochen, S. (2006). Psychiatric disorders in patients with psychogenic non-epileptic seizures, with and without comorbid epilepsy. </w:t>
      </w:r>
      <w:r w:rsidRPr="00BC1C17">
        <w:rPr>
          <w:rFonts w:asciiTheme="minorHAnsi" w:hAnsiTheme="minorHAnsi" w:cstheme="minorHAnsi"/>
          <w:i/>
          <w:iCs/>
          <w:sz w:val="22"/>
          <w:szCs w:val="22"/>
        </w:rPr>
        <w:t>Seizure</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15</w:t>
      </w:r>
      <w:r w:rsidRPr="00BC1C17">
        <w:rPr>
          <w:rFonts w:asciiTheme="minorHAnsi" w:hAnsiTheme="minorHAnsi" w:cstheme="minorHAnsi"/>
          <w:sz w:val="22"/>
          <w:szCs w:val="22"/>
        </w:rPr>
        <w:t xml:space="preserve">(5), 333–339. </w:t>
      </w:r>
      <w:hyperlink r:id="rId102" w:history="1">
        <w:r w:rsidR="009C3C86" w:rsidRPr="00BC1C17">
          <w:rPr>
            <w:rStyle w:val="Hyperlink"/>
            <w:rFonts w:asciiTheme="minorHAnsi" w:hAnsiTheme="minorHAnsi" w:cstheme="minorHAnsi"/>
            <w:sz w:val="22"/>
            <w:szCs w:val="22"/>
          </w:rPr>
          <w:t>https://doi.org/10.1016/j.seizure.2006.04.003</w:t>
        </w:r>
      </w:hyperlink>
    </w:p>
    <w:p w14:paraId="27E6E884"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Das, S., Jiang, X., Jiang, W., Tung, R., Ting, T. Y., &amp; Polli, J. E. (2022). Lack of association between generic brittleness and neuropsychiatric measures in patients with epilepsy. </w:t>
      </w:r>
      <w:r w:rsidRPr="00BC1C17">
        <w:rPr>
          <w:rFonts w:asciiTheme="minorHAnsi" w:hAnsiTheme="minorHAnsi" w:cstheme="minorHAnsi"/>
          <w:i/>
          <w:iCs/>
          <w:sz w:val="22"/>
          <w:szCs w:val="22"/>
        </w:rPr>
        <w:t>Epilepsy &amp; Behavior</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128</w:t>
      </w:r>
      <w:r w:rsidRPr="00BC1C17">
        <w:rPr>
          <w:rFonts w:asciiTheme="minorHAnsi" w:hAnsiTheme="minorHAnsi" w:cstheme="minorHAnsi"/>
          <w:sz w:val="22"/>
          <w:szCs w:val="22"/>
        </w:rPr>
        <w:t>, 108587. https://doi.org/10.1016/j.yebeh.2022.108587</w:t>
      </w:r>
    </w:p>
    <w:p w14:paraId="6072E37F" w14:textId="77777777" w:rsidR="00023489" w:rsidRPr="00BC1C17" w:rsidRDefault="00023489" w:rsidP="00A53770">
      <w:pPr>
        <w:spacing w:after="0" w:line="360" w:lineRule="auto"/>
        <w:ind w:left="720" w:firstLine="720"/>
        <w:jc w:val="both"/>
        <w:rPr>
          <w:rFonts w:eastAsia="Times New Roman" w:cstheme="minorHAnsi"/>
          <w:lang w:eastAsia="en-GB"/>
        </w:rPr>
      </w:pPr>
      <w:r w:rsidRPr="00BC1C17">
        <w:rPr>
          <w:rFonts w:eastAsia="Times New Roman" w:cstheme="minorHAnsi"/>
          <w:lang w:eastAsia="en-GB"/>
        </w:rPr>
        <w:t xml:space="preserve">De Boer, H. M., Mula, M., &amp; Sander, J. W. (2008). The global burden and stigma of epilepsy. </w:t>
      </w:r>
      <w:r w:rsidRPr="00BC1C17">
        <w:rPr>
          <w:rFonts w:eastAsia="Times New Roman" w:cstheme="minorHAnsi"/>
          <w:i/>
          <w:iCs/>
          <w:lang w:eastAsia="en-GB"/>
        </w:rPr>
        <w:t>Epilepsy &amp; Behavior</w:t>
      </w:r>
      <w:r w:rsidRPr="00BC1C17">
        <w:rPr>
          <w:rFonts w:eastAsia="Times New Roman" w:cstheme="minorHAnsi"/>
          <w:lang w:eastAsia="en-GB"/>
        </w:rPr>
        <w:t xml:space="preserve">, </w:t>
      </w:r>
      <w:r w:rsidRPr="00BC1C17">
        <w:rPr>
          <w:rFonts w:eastAsia="Times New Roman" w:cstheme="minorHAnsi"/>
          <w:i/>
          <w:iCs/>
          <w:lang w:eastAsia="en-GB"/>
        </w:rPr>
        <w:t>12</w:t>
      </w:r>
      <w:r w:rsidRPr="00BC1C17">
        <w:rPr>
          <w:rFonts w:eastAsia="Times New Roman" w:cstheme="minorHAnsi"/>
          <w:lang w:eastAsia="en-GB"/>
        </w:rPr>
        <w:t xml:space="preserve">(4), 540–546. </w:t>
      </w:r>
      <w:hyperlink r:id="rId103" w:history="1">
        <w:r w:rsidRPr="00BC1C17">
          <w:rPr>
            <w:rStyle w:val="Hyperlink"/>
            <w:rFonts w:eastAsia="Times New Roman" w:cstheme="minorHAnsi"/>
            <w:lang w:eastAsia="en-GB"/>
          </w:rPr>
          <w:t>https://doi.org/10.1016/j.yebeh.2007.12.019</w:t>
        </w:r>
      </w:hyperlink>
    </w:p>
    <w:p w14:paraId="328E6D48"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De Gucht, V., &amp; Fischler, B. (2002). Somatization: A Critical Review of Conceptual and Methodological Issues. </w:t>
      </w:r>
      <w:r w:rsidRPr="00BC1C17">
        <w:rPr>
          <w:rFonts w:asciiTheme="minorHAnsi" w:hAnsiTheme="minorHAnsi" w:cstheme="minorHAnsi"/>
          <w:i/>
          <w:iCs/>
          <w:sz w:val="22"/>
          <w:szCs w:val="22"/>
        </w:rPr>
        <w:t>Psychosomatics</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43</w:t>
      </w:r>
      <w:r w:rsidRPr="00BC1C17">
        <w:rPr>
          <w:rFonts w:asciiTheme="minorHAnsi" w:hAnsiTheme="minorHAnsi" w:cstheme="minorHAnsi"/>
          <w:sz w:val="22"/>
          <w:szCs w:val="22"/>
        </w:rPr>
        <w:t>(1), 1–9. https://doi.org/10.1176/appi.psy.43.1.1</w:t>
      </w:r>
    </w:p>
    <w:p w14:paraId="1D033D73"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Dimaro, L. V., Dawson, D. L., Roberts, N. A., Brown, I., Moghaddam, N. G., &amp; Reuber, M. (2014). Anxiety and avoidance in psychogenic nonepileptic seizures: The role of implicit and explicit anxiety. </w:t>
      </w:r>
      <w:r w:rsidRPr="00BC1C17">
        <w:rPr>
          <w:rFonts w:asciiTheme="minorHAnsi" w:hAnsiTheme="minorHAnsi" w:cstheme="minorHAnsi"/>
          <w:i/>
          <w:iCs/>
          <w:sz w:val="22"/>
          <w:szCs w:val="22"/>
        </w:rPr>
        <w:t>Epilepsy &amp; Behavior</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33</w:t>
      </w:r>
      <w:r w:rsidRPr="00BC1C17">
        <w:rPr>
          <w:rFonts w:asciiTheme="minorHAnsi" w:hAnsiTheme="minorHAnsi" w:cstheme="minorHAnsi"/>
          <w:sz w:val="22"/>
          <w:szCs w:val="22"/>
        </w:rPr>
        <w:t xml:space="preserve">, 77–86. </w:t>
      </w:r>
      <w:hyperlink r:id="rId104" w:history="1">
        <w:r w:rsidRPr="00BC1C17">
          <w:rPr>
            <w:rStyle w:val="Hyperlink"/>
            <w:rFonts w:asciiTheme="minorHAnsi" w:hAnsiTheme="minorHAnsi" w:cstheme="minorHAnsi"/>
            <w:sz w:val="22"/>
            <w:szCs w:val="22"/>
          </w:rPr>
          <w:t>https://doi.org/10.1016/j.yebeh.2014.02.016</w:t>
        </w:r>
      </w:hyperlink>
    </w:p>
    <w:p w14:paraId="20591389" w14:textId="77777777" w:rsidR="009C3C86"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Diprose, W., Sundram, F., &amp; Menkes, D. B. (2016). Psychiatric comorbidity in psychogenic nonepileptic seizures compared with epilepsy. </w:t>
      </w:r>
      <w:r w:rsidRPr="00BC1C17">
        <w:rPr>
          <w:rFonts w:asciiTheme="minorHAnsi" w:hAnsiTheme="minorHAnsi" w:cstheme="minorHAnsi"/>
          <w:i/>
          <w:iCs/>
          <w:sz w:val="22"/>
          <w:szCs w:val="22"/>
        </w:rPr>
        <w:t>Epilepsy &amp; Behavior</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56</w:t>
      </w:r>
      <w:r w:rsidRPr="00BC1C17">
        <w:rPr>
          <w:rFonts w:asciiTheme="minorHAnsi" w:hAnsiTheme="minorHAnsi" w:cstheme="minorHAnsi"/>
          <w:sz w:val="22"/>
          <w:szCs w:val="22"/>
        </w:rPr>
        <w:t xml:space="preserve">, 123–130. </w:t>
      </w:r>
      <w:hyperlink r:id="rId105" w:history="1">
        <w:r w:rsidR="009C3C86" w:rsidRPr="00BC1C17">
          <w:rPr>
            <w:rStyle w:val="Hyperlink"/>
            <w:rFonts w:asciiTheme="minorHAnsi" w:hAnsiTheme="minorHAnsi" w:cstheme="minorHAnsi"/>
            <w:sz w:val="22"/>
            <w:szCs w:val="22"/>
          </w:rPr>
          <w:t>https://doi.org/10.1016/j.yebeh.2015.12.037</w:t>
        </w:r>
      </w:hyperlink>
    </w:p>
    <w:p w14:paraId="144F2F70" w14:textId="77777777" w:rsidR="00023489" w:rsidRPr="00BC1C17" w:rsidRDefault="00023489" w:rsidP="00A53770">
      <w:pPr>
        <w:pStyle w:val="NormalWeb"/>
        <w:spacing w:before="0" w:beforeAutospacing="0" w:after="0" w:afterAutospacing="0" w:line="360" w:lineRule="auto"/>
        <w:ind w:left="720" w:firstLine="720"/>
        <w:jc w:val="both"/>
        <w:rPr>
          <w:rStyle w:val="Hyperlink"/>
          <w:rFonts w:asciiTheme="minorHAnsi" w:hAnsiTheme="minorHAnsi" w:cstheme="minorHAnsi"/>
          <w:color w:val="auto"/>
          <w:sz w:val="22"/>
          <w:szCs w:val="22"/>
          <w:u w:val="none"/>
        </w:rPr>
      </w:pPr>
      <w:r w:rsidRPr="00BC1C17">
        <w:rPr>
          <w:rFonts w:asciiTheme="minorHAnsi" w:hAnsiTheme="minorHAnsi" w:cstheme="minorHAnsi"/>
          <w:sz w:val="22"/>
          <w:szCs w:val="22"/>
        </w:rPr>
        <w:lastRenderedPageBreak/>
        <w:t xml:space="preserve">Faul, F., Erdfelder, E., Buchner, A., &amp; Lang, A.-G. (2009). Statistical power analyses using G*Power 3.1: Tests for correlation and regression analyses. </w:t>
      </w:r>
      <w:r w:rsidRPr="00BC1C17">
        <w:rPr>
          <w:rFonts w:asciiTheme="minorHAnsi" w:hAnsiTheme="minorHAnsi" w:cstheme="minorHAnsi"/>
          <w:i/>
          <w:iCs/>
          <w:sz w:val="22"/>
          <w:szCs w:val="22"/>
        </w:rPr>
        <w:t>Behavior Research Methods</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41</w:t>
      </w:r>
      <w:r w:rsidRPr="00BC1C17">
        <w:rPr>
          <w:rFonts w:asciiTheme="minorHAnsi" w:hAnsiTheme="minorHAnsi" w:cstheme="minorHAnsi"/>
          <w:sz w:val="22"/>
          <w:szCs w:val="22"/>
        </w:rPr>
        <w:t xml:space="preserve">(4), 1149–1160. </w:t>
      </w:r>
      <w:hyperlink r:id="rId106" w:history="1">
        <w:r w:rsidRPr="00BC1C17">
          <w:rPr>
            <w:rStyle w:val="Hyperlink"/>
            <w:rFonts w:asciiTheme="minorHAnsi" w:hAnsiTheme="minorHAnsi" w:cstheme="minorHAnsi"/>
            <w:sz w:val="22"/>
            <w:szCs w:val="22"/>
          </w:rPr>
          <w:t>https://doi.org/10.3758/brm.41.4.1149</w:t>
        </w:r>
      </w:hyperlink>
    </w:p>
    <w:p w14:paraId="3CDB85CC"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Fergus, T. A., Limbers, C. A., Griggs, J. O., &amp; Kelley, L. P. (2017). Somatic symptom severity among primary care patients who are obese: examining the unique contributions of anxiety sensitivity, discomfort intolerance, and health anxiety. </w:t>
      </w:r>
      <w:r w:rsidRPr="00BC1C17">
        <w:rPr>
          <w:rFonts w:asciiTheme="minorHAnsi" w:hAnsiTheme="minorHAnsi" w:cstheme="minorHAnsi"/>
          <w:i/>
          <w:iCs/>
          <w:sz w:val="22"/>
          <w:szCs w:val="22"/>
        </w:rPr>
        <w:t>Journal of Behavioral Medicine</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41</w:t>
      </w:r>
      <w:r w:rsidRPr="00BC1C17">
        <w:rPr>
          <w:rFonts w:asciiTheme="minorHAnsi" w:hAnsiTheme="minorHAnsi" w:cstheme="minorHAnsi"/>
          <w:sz w:val="22"/>
          <w:szCs w:val="22"/>
        </w:rPr>
        <w:t>(1), 43–51. https://doi.org/10.1007/s10865-017-9873-8</w:t>
      </w:r>
    </w:p>
    <w:p w14:paraId="4CA8C018" w14:textId="77777777" w:rsidR="00023489" w:rsidRPr="00BC1C17" w:rsidRDefault="00023489" w:rsidP="00A53770">
      <w:pPr>
        <w:spacing w:after="0" w:line="360" w:lineRule="auto"/>
        <w:ind w:left="720" w:firstLine="720"/>
        <w:jc w:val="both"/>
        <w:rPr>
          <w:rFonts w:eastAsia="Times New Roman" w:cstheme="minorHAnsi"/>
          <w:lang w:eastAsia="en-GB"/>
        </w:rPr>
      </w:pPr>
      <w:r w:rsidRPr="00BC1C17">
        <w:rPr>
          <w:rFonts w:eastAsia="Times New Roman" w:cstheme="minorHAnsi"/>
          <w:lang w:eastAsia="en-GB"/>
        </w:rPr>
        <w:t xml:space="preserve">Field, A. (2018). </w:t>
      </w:r>
      <w:r w:rsidRPr="00BC1C17">
        <w:rPr>
          <w:rFonts w:eastAsia="Times New Roman" w:cstheme="minorHAnsi"/>
          <w:i/>
          <w:iCs/>
          <w:lang w:eastAsia="en-GB"/>
        </w:rPr>
        <w:t>Discovering statistics using IBM SPSS statistics</w:t>
      </w:r>
      <w:r w:rsidRPr="00BC1C17">
        <w:rPr>
          <w:rFonts w:eastAsia="Times New Roman" w:cstheme="minorHAnsi"/>
          <w:lang w:eastAsia="en-GB"/>
        </w:rPr>
        <w:t xml:space="preserve"> (5th ed.). Sage Publications.</w:t>
      </w:r>
    </w:p>
    <w:p w14:paraId="00DE4286"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Fiest, K. M., Patten, S. B., Wiebe, S., Bulloch, A. G. M., Maxwell, C. J., &amp; Jetté, N. (2014). Validating screening tools for depression in epilepsy. </w:t>
      </w:r>
      <w:r w:rsidRPr="00BC1C17">
        <w:rPr>
          <w:rFonts w:asciiTheme="minorHAnsi" w:hAnsiTheme="minorHAnsi" w:cstheme="minorHAnsi"/>
          <w:i/>
          <w:iCs/>
          <w:sz w:val="22"/>
          <w:szCs w:val="22"/>
        </w:rPr>
        <w:t>Epilepsia</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55</w:t>
      </w:r>
      <w:r w:rsidRPr="00BC1C17">
        <w:rPr>
          <w:rFonts w:asciiTheme="minorHAnsi" w:hAnsiTheme="minorHAnsi" w:cstheme="minorHAnsi"/>
          <w:sz w:val="22"/>
          <w:szCs w:val="22"/>
        </w:rPr>
        <w:t xml:space="preserve">(10), 1642–1650. </w:t>
      </w:r>
      <w:hyperlink r:id="rId107" w:history="1">
        <w:r w:rsidRPr="00BC1C17">
          <w:rPr>
            <w:rStyle w:val="Hyperlink"/>
            <w:rFonts w:asciiTheme="minorHAnsi" w:hAnsiTheme="minorHAnsi" w:cstheme="minorHAnsi"/>
            <w:sz w:val="22"/>
            <w:szCs w:val="22"/>
          </w:rPr>
          <w:t>https://doi.org/10.1111/epi.12754</w:t>
        </w:r>
      </w:hyperlink>
    </w:p>
    <w:p w14:paraId="69AAAE13"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Fisher, R. S., Vickrey, B. G., Gibson, P., Hermann, B., Penovich, P., Scherer, A., &amp; Walker, S. (2000). The impact of epilepsy from the patient’s perspective I. Descriptions and subjective perceptions. Epilepsy Research, 41(1), 39–51. https://doi.org/10.1016/s0920-1211(00)00126-1</w:t>
      </w:r>
    </w:p>
    <w:p w14:paraId="53E4ECDD"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Flores, A., López, F. J., Vervliet, B., &amp; Cobos, P. L. (2018). Intolerance of uncertainty as a vulnerability factor for excessive and inflexible avoidance behavior. </w:t>
      </w:r>
      <w:r w:rsidRPr="00BC1C17">
        <w:rPr>
          <w:rFonts w:asciiTheme="minorHAnsi" w:hAnsiTheme="minorHAnsi" w:cstheme="minorHAnsi"/>
          <w:i/>
          <w:iCs/>
          <w:sz w:val="22"/>
          <w:szCs w:val="22"/>
        </w:rPr>
        <w:t>Behaviour Research and Therapy</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104</w:t>
      </w:r>
      <w:r w:rsidRPr="00BC1C17">
        <w:rPr>
          <w:rFonts w:asciiTheme="minorHAnsi" w:hAnsiTheme="minorHAnsi" w:cstheme="minorHAnsi"/>
          <w:sz w:val="22"/>
          <w:szCs w:val="22"/>
        </w:rPr>
        <w:t>, 34–43. https://doi.org/10.1016/j.brat.2018.02.008</w:t>
      </w:r>
    </w:p>
    <w:p w14:paraId="105FB70D"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Fobian, A. D., &amp; Elliott, L. (2019). A review of functional neurological symptom disorder etiology and the integrated etiological summary model. </w:t>
      </w:r>
      <w:r w:rsidRPr="00BC1C17">
        <w:rPr>
          <w:rFonts w:asciiTheme="minorHAnsi" w:hAnsiTheme="minorHAnsi" w:cstheme="minorHAnsi"/>
          <w:i/>
          <w:iCs/>
          <w:sz w:val="22"/>
          <w:szCs w:val="22"/>
        </w:rPr>
        <w:t>Journal of Psychiatry &amp; Neuroscience</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44</w:t>
      </w:r>
      <w:r w:rsidRPr="00BC1C17">
        <w:rPr>
          <w:rFonts w:asciiTheme="minorHAnsi" w:hAnsiTheme="minorHAnsi" w:cstheme="minorHAnsi"/>
          <w:sz w:val="22"/>
          <w:szCs w:val="22"/>
        </w:rPr>
        <w:t>(1), 8–18. https://doi.org/10.1503/jpn.170190</w:t>
      </w:r>
    </w:p>
    <w:p w14:paraId="42FE1C41"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Freeston, M. H., Rhéaume, J., Letarte, H., Dugas, M. J., &amp; Ladouceur, R. (1994). Why do people worry? </w:t>
      </w:r>
      <w:r w:rsidRPr="00BC1C17">
        <w:rPr>
          <w:rFonts w:asciiTheme="minorHAnsi" w:hAnsiTheme="minorHAnsi" w:cstheme="minorHAnsi"/>
          <w:i/>
          <w:iCs/>
          <w:sz w:val="22"/>
          <w:szCs w:val="22"/>
        </w:rPr>
        <w:t>Personality and Individual Differences</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17</w:t>
      </w:r>
      <w:r w:rsidRPr="00BC1C17">
        <w:rPr>
          <w:rFonts w:asciiTheme="minorHAnsi" w:hAnsiTheme="minorHAnsi" w:cstheme="minorHAnsi"/>
          <w:sz w:val="22"/>
          <w:szCs w:val="22"/>
        </w:rPr>
        <w:t>(6), 791–802. https://doi.org/10.1016/0191-8869(94)90048-5</w:t>
      </w:r>
    </w:p>
    <w:p w14:paraId="298EBBBD" w14:textId="48AA908D" w:rsidR="00023489" w:rsidRDefault="00023489" w:rsidP="00A53770">
      <w:pPr>
        <w:pStyle w:val="NormalWeb"/>
        <w:spacing w:before="0" w:beforeAutospacing="0" w:after="0" w:afterAutospacing="0" w:line="360" w:lineRule="auto"/>
        <w:ind w:left="720" w:firstLine="720"/>
        <w:jc w:val="both"/>
        <w:rPr>
          <w:rStyle w:val="Hyperlink"/>
          <w:rFonts w:asciiTheme="minorHAnsi" w:hAnsiTheme="minorHAnsi" w:cstheme="minorHAnsi"/>
          <w:sz w:val="22"/>
          <w:szCs w:val="22"/>
        </w:rPr>
      </w:pPr>
      <w:r w:rsidRPr="00BC1C17">
        <w:rPr>
          <w:rFonts w:asciiTheme="minorHAnsi" w:hAnsiTheme="minorHAnsi" w:cstheme="minorHAnsi"/>
          <w:sz w:val="22"/>
          <w:szCs w:val="22"/>
        </w:rPr>
        <w:t xml:space="preserve">Gaitatzis, A., Carroll, K., Majeed, A., &amp; W Sander, J. (2004). The epidemiology of the comorbidity of epilepsy in the general population. </w:t>
      </w:r>
      <w:r w:rsidRPr="00BC1C17">
        <w:rPr>
          <w:rFonts w:asciiTheme="minorHAnsi" w:hAnsiTheme="minorHAnsi" w:cstheme="minorHAnsi"/>
          <w:i/>
          <w:iCs/>
          <w:sz w:val="22"/>
          <w:szCs w:val="22"/>
        </w:rPr>
        <w:t>Epilepsia</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45</w:t>
      </w:r>
      <w:r w:rsidRPr="00BC1C17">
        <w:rPr>
          <w:rFonts w:asciiTheme="minorHAnsi" w:hAnsiTheme="minorHAnsi" w:cstheme="minorHAnsi"/>
          <w:sz w:val="22"/>
          <w:szCs w:val="22"/>
        </w:rPr>
        <w:t xml:space="preserve">(12), 1613–1622. </w:t>
      </w:r>
      <w:hyperlink r:id="rId108" w:history="1">
        <w:r w:rsidRPr="00BC1C17">
          <w:rPr>
            <w:rStyle w:val="Hyperlink"/>
            <w:rFonts w:asciiTheme="minorHAnsi" w:hAnsiTheme="minorHAnsi" w:cstheme="minorHAnsi"/>
            <w:sz w:val="22"/>
            <w:szCs w:val="22"/>
          </w:rPr>
          <w:t>https://doi.org/10.1111/j.0013-9580.2004.17504.x</w:t>
        </w:r>
      </w:hyperlink>
    </w:p>
    <w:p w14:paraId="5278466A" w14:textId="0D98291B" w:rsidR="0022654D" w:rsidRPr="00BC1C17" w:rsidRDefault="0022654D"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22654D">
        <w:rPr>
          <w:rFonts w:asciiTheme="minorHAnsi" w:hAnsiTheme="minorHAnsi" w:cstheme="minorHAnsi"/>
          <w:sz w:val="22"/>
          <w:szCs w:val="22"/>
        </w:rPr>
        <w:t>Galimberti, C. A., Ratti, M. T., Murelli, R., Marchioni, E., Manni, R., &amp; Tartara, A. (2003). Patients with psychogenic nonepileptic seizures, alone or epilepsy-associated, share a psychological profile distinct from that of epilepsy patients. Journal of Neurology, 250(3), 338–346. https://doi.org/10.1007/s00415-003-1009-0</w:t>
      </w:r>
    </w:p>
    <w:p w14:paraId="63C4F822" w14:textId="77777777" w:rsidR="00023489" w:rsidRPr="00BC1C17" w:rsidRDefault="00023489" w:rsidP="00A53770">
      <w:pPr>
        <w:spacing w:after="0" w:line="360" w:lineRule="auto"/>
        <w:ind w:left="720" w:firstLine="720"/>
        <w:jc w:val="both"/>
        <w:rPr>
          <w:rFonts w:eastAsia="Times New Roman" w:cstheme="minorHAnsi"/>
          <w:lang w:eastAsia="en-GB"/>
        </w:rPr>
      </w:pPr>
      <w:r w:rsidRPr="00BC1C17">
        <w:rPr>
          <w:rFonts w:eastAsia="Times New Roman" w:cstheme="minorHAnsi"/>
          <w:lang w:eastAsia="en-GB"/>
        </w:rPr>
        <w:lastRenderedPageBreak/>
        <w:t xml:space="preserve">Galtrey, C. M., Mula, M., &amp; Cock, H. R. (2016). Stress and epilepsy: fact or fiction, and what can we do about it? </w:t>
      </w:r>
      <w:r w:rsidRPr="00BC1C17">
        <w:rPr>
          <w:rFonts w:eastAsia="Times New Roman" w:cstheme="minorHAnsi"/>
          <w:i/>
          <w:iCs/>
          <w:lang w:eastAsia="en-GB"/>
        </w:rPr>
        <w:t>Practical Neurology</w:t>
      </w:r>
      <w:r w:rsidRPr="00BC1C17">
        <w:rPr>
          <w:rFonts w:eastAsia="Times New Roman" w:cstheme="minorHAnsi"/>
          <w:lang w:eastAsia="en-GB"/>
        </w:rPr>
        <w:t xml:space="preserve">, </w:t>
      </w:r>
      <w:r w:rsidRPr="00BC1C17">
        <w:rPr>
          <w:rFonts w:eastAsia="Times New Roman" w:cstheme="minorHAnsi"/>
          <w:i/>
          <w:iCs/>
          <w:lang w:eastAsia="en-GB"/>
        </w:rPr>
        <w:t>16</w:t>
      </w:r>
      <w:r w:rsidRPr="00BC1C17">
        <w:rPr>
          <w:rFonts w:eastAsia="Times New Roman" w:cstheme="minorHAnsi"/>
          <w:lang w:eastAsia="en-GB"/>
        </w:rPr>
        <w:t xml:space="preserve">(4), 270–278. </w:t>
      </w:r>
      <w:hyperlink r:id="rId109" w:history="1">
        <w:r w:rsidRPr="00BC1C17">
          <w:rPr>
            <w:rStyle w:val="Hyperlink"/>
            <w:rFonts w:eastAsia="Times New Roman" w:cstheme="minorHAnsi"/>
            <w:lang w:eastAsia="en-GB"/>
          </w:rPr>
          <w:t>https://doi.org/10.1136/practneurol-2015-001337</w:t>
        </w:r>
      </w:hyperlink>
    </w:p>
    <w:p w14:paraId="16700C37" w14:textId="77777777" w:rsidR="00023489" w:rsidRPr="00BC1C17" w:rsidRDefault="00023489" w:rsidP="00A53770">
      <w:pPr>
        <w:spacing w:after="0" w:line="360" w:lineRule="auto"/>
        <w:ind w:left="720" w:firstLine="720"/>
        <w:jc w:val="both"/>
        <w:rPr>
          <w:rFonts w:eastAsia="Times New Roman" w:cstheme="minorHAnsi"/>
          <w:lang w:eastAsia="en-GB"/>
        </w:rPr>
      </w:pPr>
      <w:r w:rsidRPr="00BC1C17">
        <w:rPr>
          <w:rFonts w:eastAsia="Times New Roman" w:cstheme="minorHAnsi"/>
          <w:lang w:eastAsia="en-GB"/>
        </w:rPr>
        <w:t xml:space="preserve">Gandy, M., Sharpe, L., Perry, K. N., Miller, L., Thayer, Z., Boserio, J., &amp; Mohamed, A. (2015). Anxiety in epilepsy: A neglected disorder. </w:t>
      </w:r>
      <w:r w:rsidRPr="00BC1C17">
        <w:rPr>
          <w:rFonts w:eastAsia="Times New Roman" w:cstheme="minorHAnsi"/>
          <w:i/>
          <w:iCs/>
          <w:lang w:eastAsia="en-GB"/>
        </w:rPr>
        <w:t>Journal of Psychosomatic Research</w:t>
      </w:r>
      <w:r w:rsidRPr="00BC1C17">
        <w:rPr>
          <w:rFonts w:eastAsia="Times New Roman" w:cstheme="minorHAnsi"/>
          <w:lang w:eastAsia="en-GB"/>
        </w:rPr>
        <w:t xml:space="preserve">, </w:t>
      </w:r>
      <w:r w:rsidRPr="00BC1C17">
        <w:rPr>
          <w:rFonts w:eastAsia="Times New Roman" w:cstheme="minorHAnsi"/>
          <w:i/>
          <w:iCs/>
          <w:lang w:eastAsia="en-GB"/>
        </w:rPr>
        <w:t>78</w:t>
      </w:r>
      <w:r w:rsidRPr="00BC1C17">
        <w:rPr>
          <w:rFonts w:eastAsia="Times New Roman" w:cstheme="minorHAnsi"/>
          <w:lang w:eastAsia="en-GB"/>
        </w:rPr>
        <w:t>(2), 149–155. https://doi.org/10.1016/j.jpsychores.2014.12.002</w:t>
      </w:r>
    </w:p>
    <w:p w14:paraId="639167FB"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Gaynor, D., Cock, H., &amp; Agrawal, N. (2009). Psychological treatments for functional non-epileptic attacks: a systematic review. </w:t>
      </w:r>
      <w:r w:rsidRPr="00BC1C17">
        <w:rPr>
          <w:rFonts w:asciiTheme="minorHAnsi" w:hAnsiTheme="minorHAnsi" w:cstheme="minorHAnsi"/>
          <w:i/>
          <w:iCs/>
          <w:sz w:val="22"/>
          <w:szCs w:val="22"/>
        </w:rPr>
        <w:t>Acta Neuropsychiatrica</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21</w:t>
      </w:r>
      <w:r w:rsidRPr="00BC1C17">
        <w:rPr>
          <w:rFonts w:asciiTheme="minorHAnsi" w:hAnsiTheme="minorHAnsi" w:cstheme="minorHAnsi"/>
          <w:sz w:val="22"/>
          <w:szCs w:val="22"/>
        </w:rPr>
        <w:t>(4), 158–168. https://doi.org/10.1111/j.1601-5215.2009.00376.x</w:t>
      </w:r>
    </w:p>
    <w:p w14:paraId="5C4EE565"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Ghisi, M., Bottesi, G., Altoè, G., Razzetti, E., Melli, G., &amp; Sica, C. (2016). Factor Structure and Psychometric Properties of the Anxiety Sensitivity Index-3 in an Italian Community Sample. </w:t>
      </w:r>
      <w:r w:rsidRPr="00BC1C17">
        <w:rPr>
          <w:rFonts w:asciiTheme="minorHAnsi" w:hAnsiTheme="minorHAnsi" w:cstheme="minorHAnsi"/>
          <w:i/>
          <w:iCs/>
          <w:sz w:val="22"/>
          <w:szCs w:val="22"/>
        </w:rPr>
        <w:t>Frontiers in Psychology</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7</w:t>
      </w:r>
      <w:r w:rsidRPr="00BC1C17">
        <w:rPr>
          <w:rFonts w:asciiTheme="minorHAnsi" w:hAnsiTheme="minorHAnsi" w:cstheme="minorHAnsi"/>
          <w:sz w:val="22"/>
          <w:szCs w:val="22"/>
        </w:rPr>
        <w:t>. https://doi.org/10.3389/fpsyg.2016.00160</w:t>
      </w:r>
    </w:p>
    <w:p w14:paraId="59C32C08"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Gica, S., Kavakli, M., Durduran, Y., &amp; Ak, M. (2020). The Effect of COVID-19 Pandemic on Psychosomatic Complaints and Investigation of The Mediating Role of Intolerance to Uncertainty, Biological Rhythm Changes and Perceived COVID-19 Threat in this Relationship: A Web-Based Community Survey. </w:t>
      </w:r>
      <w:r w:rsidRPr="00BC1C17">
        <w:rPr>
          <w:rFonts w:asciiTheme="minorHAnsi" w:hAnsiTheme="minorHAnsi" w:cstheme="minorHAnsi"/>
          <w:i/>
          <w:iCs/>
          <w:sz w:val="22"/>
          <w:szCs w:val="22"/>
        </w:rPr>
        <w:t>Psychiatry and Clinical Psychopharmacology</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30</w:t>
      </w:r>
      <w:r w:rsidRPr="00BC1C17">
        <w:rPr>
          <w:rFonts w:asciiTheme="minorHAnsi" w:hAnsiTheme="minorHAnsi" w:cstheme="minorHAnsi"/>
          <w:sz w:val="22"/>
          <w:szCs w:val="22"/>
        </w:rPr>
        <w:t>(2), 89. https://doi.org/10.5455/pcp.20200514033022</w:t>
      </w:r>
    </w:p>
    <w:p w14:paraId="2F7D0EAA"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Goldstein, L. H. (2006). Ictal symptoms of anxiety, avoidance behaviour, and dissociation in patients with dissociative seizures. </w:t>
      </w:r>
      <w:r w:rsidRPr="00BC1C17">
        <w:rPr>
          <w:rFonts w:asciiTheme="minorHAnsi" w:hAnsiTheme="minorHAnsi" w:cstheme="minorHAnsi"/>
          <w:i/>
          <w:iCs/>
          <w:sz w:val="22"/>
          <w:szCs w:val="22"/>
        </w:rPr>
        <w:t>Journal of Neurology, Neurosurgery &amp; Psychiatry</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77</w:t>
      </w:r>
      <w:r w:rsidRPr="00BC1C17">
        <w:rPr>
          <w:rFonts w:asciiTheme="minorHAnsi" w:hAnsiTheme="minorHAnsi" w:cstheme="minorHAnsi"/>
          <w:sz w:val="22"/>
          <w:szCs w:val="22"/>
        </w:rPr>
        <w:t>(5), 616–621. https://doi.org/10.1136/jnnp.2005.066878</w:t>
      </w:r>
    </w:p>
    <w:p w14:paraId="6BA86ED7" w14:textId="77777777" w:rsidR="00023489" w:rsidRPr="00BC1C17" w:rsidRDefault="00023489" w:rsidP="00A53770">
      <w:pPr>
        <w:pStyle w:val="NormalWeb"/>
        <w:spacing w:before="0" w:beforeAutospacing="0" w:after="0" w:afterAutospacing="0" w:line="360" w:lineRule="auto"/>
        <w:ind w:left="720" w:firstLine="720"/>
        <w:jc w:val="both"/>
        <w:rPr>
          <w:rStyle w:val="Hyperlink"/>
          <w:rFonts w:asciiTheme="minorHAnsi" w:hAnsiTheme="minorHAnsi" w:cstheme="minorHAnsi"/>
          <w:sz w:val="22"/>
          <w:szCs w:val="22"/>
        </w:rPr>
      </w:pPr>
      <w:r w:rsidRPr="00BC1C17">
        <w:rPr>
          <w:rFonts w:asciiTheme="minorHAnsi" w:hAnsiTheme="minorHAnsi" w:cstheme="minorHAnsi"/>
          <w:sz w:val="22"/>
          <w:szCs w:val="22"/>
        </w:rPr>
        <w:t xml:space="preserve">Goldstein, L. H., Mellers, J. D. C., Landau, S., Stone, J., Carson, A., Medford, N., Reuber, M., Richardson, M., McCrone, P., Murray, J., &amp; Chalder, T. (2015). Cognitive behavioural therapy vs standardised medical care for adults with Dissociative non-Epileptic Seizures (CODES): a multicentre randomised controlled trial protocol. </w:t>
      </w:r>
      <w:r w:rsidRPr="00BC1C17">
        <w:rPr>
          <w:rFonts w:asciiTheme="minorHAnsi" w:hAnsiTheme="minorHAnsi" w:cstheme="minorHAnsi"/>
          <w:i/>
          <w:iCs/>
          <w:sz w:val="22"/>
          <w:szCs w:val="22"/>
        </w:rPr>
        <w:t>BMC Neurology</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15</w:t>
      </w:r>
      <w:r w:rsidRPr="00BC1C17">
        <w:rPr>
          <w:rFonts w:asciiTheme="minorHAnsi" w:hAnsiTheme="minorHAnsi" w:cstheme="minorHAnsi"/>
          <w:sz w:val="22"/>
          <w:szCs w:val="22"/>
        </w:rPr>
        <w:t xml:space="preserve">(1), 1-13. </w:t>
      </w:r>
      <w:hyperlink r:id="rId110" w:history="1">
        <w:r w:rsidRPr="00BC1C17">
          <w:rPr>
            <w:rStyle w:val="Hyperlink"/>
            <w:rFonts w:asciiTheme="minorHAnsi" w:hAnsiTheme="minorHAnsi" w:cstheme="minorHAnsi"/>
            <w:sz w:val="22"/>
            <w:szCs w:val="22"/>
          </w:rPr>
          <w:t>https://doi.org/10.1186/s12883-015-0350-0</w:t>
        </w:r>
      </w:hyperlink>
    </w:p>
    <w:p w14:paraId="37B11B34" w14:textId="77777777" w:rsidR="009C3C86"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Green, B., Norman, P., &amp; Reuber, M. (2017). Attachment style, relationship quality, and psychological distress in patients with psychogenic non-epileptic seizures versus epilepsy. </w:t>
      </w:r>
      <w:r w:rsidRPr="00BC1C17">
        <w:rPr>
          <w:rFonts w:asciiTheme="minorHAnsi" w:hAnsiTheme="minorHAnsi" w:cstheme="minorHAnsi"/>
          <w:i/>
          <w:iCs/>
          <w:sz w:val="22"/>
          <w:szCs w:val="22"/>
        </w:rPr>
        <w:t>Epilepsy &amp; Behavior</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66</w:t>
      </w:r>
      <w:r w:rsidRPr="00BC1C17">
        <w:rPr>
          <w:rFonts w:asciiTheme="minorHAnsi" w:hAnsiTheme="minorHAnsi" w:cstheme="minorHAnsi"/>
          <w:sz w:val="22"/>
          <w:szCs w:val="22"/>
        </w:rPr>
        <w:t xml:space="preserve">, 120–126. </w:t>
      </w:r>
      <w:hyperlink r:id="rId111" w:history="1">
        <w:r w:rsidR="009C3C86" w:rsidRPr="00BC1C17">
          <w:rPr>
            <w:rStyle w:val="Hyperlink"/>
            <w:rFonts w:asciiTheme="minorHAnsi" w:hAnsiTheme="minorHAnsi" w:cstheme="minorHAnsi"/>
            <w:sz w:val="22"/>
            <w:szCs w:val="22"/>
          </w:rPr>
          <w:t>https://doi.org/10.1016/j.yebeh.2016.10.015</w:t>
        </w:r>
      </w:hyperlink>
    </w:p>
    <w:p w14:paraId="206D5F5A"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Hale, W., Richmond, M., Bennett, J., Berzins, T., Fields, A., Weber, D., Beck, M., &amp; Osman, A. (2015). Resolving Uncertainty About the Intolerance of Uncertainty Scale–12: Application of Modern Psychometric Strategies. </w:t>
      </w:r>
      <w:r w:rsidRPr="00BC1C17">
        <w:rPr>
          <w:rFonts w:asciiTheme="minorHAnsi" w:hAnsiTheme="minorHAnsi" w:cstheme="minorHAnsi"/>
          <w:i/>
          <w:iCs/>
          <w:sz w:val="22"/>
          <w:szCs w:val="22"/>
        </w:rPr>
        <w:t>Journal of Personality Assessment</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98</w:t>
      </w:r>
      <w:r w:rsidRPr="00BC1C17">
        <w:rPr>
          <w:rFonts w:asciiTheme="minorHAnsi" w:hAnsiTheme="minorHAnsi" w:cstheme="minorHAnsi"/>
          <w:sz w:val="22"/>
          <w:szCs w:val="22"/>
        </w:rPr>
        <w:t>(2), 200–208. https://doi.org/10.1080/00223891.2015.1070355</w:t>
      </w:r>
    </w:p>
    <w:p w14:paraId="1EEFC1C9" w14:textId="77777777" w:rsidR="00023489" w:rsidRPr="00BC1C17" w:rsidRDefault="00023489" w:rsidP="00A53770">
      <w:pPr>
        <w:pStyle w:val="NormalWeb"/>
        <w:spacing w:before="0" w:beforeAutospacing="0" w:after="0" w:afterAutospacing="0" w:line="360" w:lineRule="auto"/>
        <w:ind w:left="720" w:firstLine="720"/>
        <w:jc w:val="both"/>
        <w:rPr>
          <w:rStyle w:val="Hyperlink"/>
          <w:rFonts w:asciiTheme="minorHAnsi" w:hAnsiTheme="minorHAnsi" w:cstheme="minorHAnsi"/>
          <w:sz w:val="22"/>
          <w:szCs w:val="22"/>
        </w:rPr>
      </w:pPr>
      <w:r w:rsidRPr="00BC1C17">
        <w:rPr>
          <w:rFonts w:asciiTheme="minorHAnsi" w:hAnsiTheme="minorHAnsi" w:cstheme="minorHAnsi"/>
          <w:sz w:val="22"/>
          <w:szCs w:val="22"/>
        </w:rPr>
        <w:t xml:space="preserve">Hebert, E. A., &amp; Dugas, M. J. (2018). Behavioral Experiments for Intolerance of Uncertainty: Challenging the Unknown in the Treatment of Generalized Anxiety Disorder. </w:t>
      </w:r>
      <w:r w:rsidRPr="00BC1C17">
        <w:rPr>
          <w:rFonts w:asciiTheme="minorHAnsi" w:hAnsiTheme="minorHAnsi" w:cstheme="minorHAnsi"/>
          <w:i/>
          <w:iCs/>
          <w:sz w:val="22"/>
          <w:szCs w:val="22"/>
        </w:rPr>
        <w:lastRenderedPageBreak/>
        <w:t>Cognitive and Behavioral Practice</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26</w:t>
      </w:r>
      <w:r w:rsidRPr="00BC1C17">
        <w:rPr>
          <w:rFonts w:asciiTheme="minorHAnsi" w:hAnsiTheme="minorHAnsi" w:cstheme="minorHAnsi"/>
          <w:sz w:val="22"/>
          <w:szCs w:val="22"/>
        </w:rPr>
        <w:t xml:space="preserve">(2), 421-436. </w:t>
      </w:r>
      <w:hyperlink r:id="rId112" w:history="1">
        <w:r w:rsidRPr="00BC1C17">
          <w:rPr>
            <w:rStyle w:val="Hyperlink"/>
            <w:rFonts w:asciiTheme="minorHAnsi" w:hAnsiTheme="minorHAnsi" w:cstheme="minorHAnsi"/>
            <w:sz w:val="22"/>
            <w:szCs w:val="22"/>
          </w:rPr>
          <w:t>https://doi.org/10.1016/j.cbpra.2018.07.007</w:t>
        </w:r>
      </w:hyperlink>
    </w:p>
    <w:p w14:paraId="6EE9F76F"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Henrich, J., Heine, S. J., &amp; Norenzayan, A. (2010). Most people are not WEIRD. </w:t>
      </w:r>
      <w:r w:rsidRPr="00BC1C17">
        <w:rPr>
          <w:rFonts w:asciiTheme="minorHAnsi" w:hAnsiTheme="minorHAnsi" w:cstheme="minorHAnsi"/>
          <w:i/>
          <w:iCs/>
          <w:sz w:val="22"/>
          <w:szCs w:val="22"/>
        </w:rPr>
        <w:t>Nature</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466</w:t>
      </w:r>
      <w:r w:rsidRPr="00BC1C17">
        <w:rPr>
          <w:rFonts w:asciiTheme="minorHAnsi" w:hAnsiTheme="minorHAnsi" w:cstheme="minorHAnsi"/>
          <w:sz w:val="22"/>
          <w:szCs w:val="22"/>
        </w:rPr>
        <w:t>(7302), 29–29. https://doi.org/10.1038/466029a</w:t>
      </w:r>
    </w:p>
    <w:p w14:paraId="20C65F1A"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Hovorka J, Nezádal T, Herman E, Nemcová I, Bajacek M. (2007). Psychogenic non-epileptic seizures, prospective clinical experience: diagnosis, clinical features, risk factors, psychiatric comorbidity, treatment outcome. </w:t>
      </w:r>
      <w:r w:rsidRPr="00BC1C17">
        <w:rPr>
          <w:rFonts w:asciiTheme="minorHAnsi" w:hAnsiTheme="minorHAnsi" w:cstheme="minorHAnsi"/>
          <w:i/>
          <w:sz w:val="22"/>
          <w:szCs w:val="22"/>
        </w:rPr>
        <w:t>Epileptic Disord, 9</w:t>
      </w:r>
      <w:r w:rsidRPr="00BC1C17">
        <w:rPr>
          <w:rFonts w:asciiTheme="minorHAnsi" w:hAnsiTheme="minorHAnsi" w:cstheme="minorHAnsi"/>
          <w:sz w:val="22"/>
          <w:szCs w:val="22"/>
        </w:rPr>
        <w:t>(1), 52-8. doi: 10.1684/epd.2008.0156. PMID: 18319201</w:t>
      </w:r>
    </w:p>
    <w:p w14:paraId="753B32FF"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Hubsch, C., Baumann, C., Hingray, C., Gospodaru, N., Vignal, J.-P., Vespignani, H., &amp; Maillard, L. (2011). Clinical classification of psychogenic non-epileptic seizures based on video-EEG analysis and automatic clustering. </w:t>
      </w:r>
      <w:r w:rsidRPr="00BC1C17">
        <w:rPr>
          <w:rFonts w:asciiTheme="minorHAnsi" w:hAnsiTheme="minorHAnsi" w:cstheme="minorHAnsi"/>
          <w:i/>
          <w:iCs/>
          <w:sz w:val="22"/>
          <w:szCs w:val="22"/>
        </w:rPr>
        <w:t>Journal of Neurology, Neurosurgery &amp; Psychiatry</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82</w:t>
      </w:r>
      <w:r w:rsidRPr="00BC1C17">
        <w:rPr>
          <w:rFonts w:asciiTheme="minorHAnsi" w:hAnsiTheme="minorHAnsi" w:cstheme="minorHAnsi"/>
          <w:sz w:val="22"/>
          <w:szCs w:val="22"/>
        </w:rPr>
        <w:t xml:space="preserve">(9), 955–960. </w:t>
      </w:r>
      <w:hyperlink r:id="rId113" w:history="1">
        <w:r w:rsidRPr="00BC1C17">
          <w:rPr>
            <w:rStyle w:val="Hyperlink"/>
            <w:rFonts w:asciiTheme="minorHAnsi" w:hAnsiTheme="minorHAnsi" w:cstheme="minorHAnsi"/>
            <w:sz w:val="22"/>
            <w:szCs w:val="22"/>
          </w:rPr>
          <w:t>https://doi.org/10.1136/jnnp.2010.235424</w:t>
        </w:r>
      </w:hyperlink>
    </w:p>
    <w:p w14:paraId="22A61BA6"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Innes, S. I., Leboeuf-Yde, C., &amp; Walker, B. F. (2017). The relationship between intolerance of uncertainty in chiropractic students and their treatment intervention choices. </w:t>
      </w:r>
      <w:r w:rsidRPr="00BC1C17">
        <w:rPr>
          <w:rFonts w:asciiTheme="minorHAnsi" w:hAnsiTheme="minorHAnsi" w:cstheme="minorHAnsi"/>
          <w:i/>
          <w:iCs/>
          <w:sz w:val="22"/>
          <w:szCs w:val="22"/>
        </w:rPr>
        <w:t>Chiropractic &amp; Manual Therapies</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25</w:t>
      </w:r>
      <w:r w:rsidRPr="00BC1C17">
        <w:rPr>
          <w:rFonts w:asciiTheme="minorHAnsi" w:hAnsiTheme="minorHAnsi" w:cstheme="minorHAnsi"/>
          <w:sz w:val="22"/>
          <w:szCs w:val="22"/>
        </w:rPr>
        <w:t xml:space="preserve">(1), 1-10. </w:t>
      </w:r>
      <w:hyperlink r:id="rId114" w:history="1">
        <w:r w:rsidRPr="00BC1C17">
          <w:rPr>
            <w:rStyle w:val="Hyperlink"/>
            <w:rFonts w:asciiTheme="minorHAnsi" w:hAnsiTheme="minorHAnsi" w:cstheme="minorHAnsi"/>
            <w:sz w:val="22"/>
            <w:szCs w:val="22"/>
          </w:rPr>
          <w:t>https://doi.org/10.1186/s12998-017-0150-2</w:t>
        </w:r>
      </w:hyperlink>
    </w:p>
    <w:p w14:paraId="597F657A"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Jardin, C., Paulus, D., Garey, L., Kauffman, B., Bakhshaie, J., Manning, K., Mayorga, N., &amp; Zvolensky, M. (2018). Towards a greater understanding of anxiety sensitivity across groups: The construct validity of the Anxiety Sensitivity Index-3. Psychiatry Research, 268, 72–81. https://doi.org/10.1016/j.psychres.2018.07.007.</w:t>
      </w:r>
    </w:p>
    <w:p w14:paraId="0764DFAD"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Johnson, A. L., McLeish, A. C., Alsaid-Habia, T., Shear, P. K., &amp; Privitera, M. (2018). Anxiety Sensitivity as a Predictor of Epilepsy-Related Quality of Life and Illness Severity Among Adult Epilepsy. </w:t>
      </w:r>
      <w:r w:rsidRPr="00BC1C17">
        <w:rPr>
          <w:rFonts w:asciiTheme="minorHAnsi" w:hAnsiTheme="minorHAnsi" w:cstheme="minorHAnsi"/>
          <w:i/>
          <w:iCs/>
          <w:sz w:val="22"/>
          <w:szCs w:val="22"/>
        </w:rPr>
        <w:t>Cognitive Therapy and Research</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43</w:t>
      </w:r>
      <w:r w:rsidRPr="00BC1C17">
        <w:rPr>
          <w:rFonts w:asciiTheme="minorHAnsi" w:hAnsiTheme="minorHAnsi" w:cstheme="minorHAnsi"/>
          <w:sz w:val="22"/>
          <w:szCs w:val="22"/>
        </w:rPr>
        <w:t xml:space="preserve">(1), 6–13. </w:t>
      </w:r>
      <w:hyperlink r:id="rId115" w:history="1">
        <w:r w:rsidRPr="00BC1C17">
          <w:rPr>
            <w:rStyle w:val="Hyperlink"/>
            <w:rFonts w:asciiTheme="minorHAnsi" w:hAnsiTheme="minorHAnsi" w:cstheme="minorHAnsi"/>
            <w:sz w:val="22"/>
            <w:szCs w:val="22"/>
          </w:rPr>
          <w:t>https://doi.org/10.1007/s10608-018-9951-4</w:t>
        </w:r>
      </w:hyperlink>
    </w:p>
    <w:p w14:paraId="43E5A7F8"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Josephson, C. B., &amp; Jetté, N. (2017). Psychiatric comorbidities in epilepsy. </w:t>
      </w:r>
      <w:r w:rsidRPr="00BC1C17">
        <w:rPr>
          <w:rFonts w:asciiTheme="minorHAnsi" w:hAnsiTheme="minorHAnsi" w:cstheme="minorHAnsi"/>
          <w:i/>
          <w:iCs/>
          <w:sz w:val="22"/>
          <w:szCs w:val="22"/>
        </w:rPr>
        <w:t>International Review of Psychiatry</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29</w:t>
      </w:r>
      <w:r w:rsidRPr="00BC1C17">
        <w:rPr>
          <w:rFonts w:asciiTheme="minorHAnsi" w:hAnsiTheme="minorHAnsi" w:cstheme="minorHAnsi"/>
          <w:sz w:val="22"/>
          <w:szCs w:val="22"/>
        </w:rPr>
        <w:t>(5), 409–424. https://doi.org/10.1080/09540261.2017.1302412</w:t>
      </w:r>
    </w:p>
    <w:p w14:paraId="5C69B0CE"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Kanner, A. M. (2003). Depression in epilepsy: prevalence, clinical semiology, pathogenic mechanisms, and treatment. </w:t>
      </w:r>
      <w:r w:rsidRPr="00BC1C17">
        <w:rPr>
          <w:rFonts w:asciiTheme="minorHAnsi" w:hAnsiTheme="minorHAnsi" w:cstheme="minorHAnsi"/>
          <w:i/>
          <w:iCs/>
          <w:sz w:val="22"/>
          <w:szCs w:val="22"/>
        </w:rPr>
        <w:t>Biological Psychiatry</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54</w:t>
      </w:r>
      <w:r w:rsidRPr="00BC1C17">
        <w:rPr>
          <w:rFonts w:asciiTheme="minorHAnsi" w:hAnsiTheme="minorHAnsi" w:cstheme="minorHAnsi"/>
          <w:sz w:val="22"/>
          <w:szCs w:val="22"/>
        </w:rPr>
        <w:t xml:space="preserve">(3), 388–398. </w:t>
      </w:r>
      <w:hyperlink r:id="rId116" w:history="1">
        <w:r w:rsidRPr="00BC1C17">
          <w:rPr>
            <w:rStyle w:val="Hyperlink"/>
            <w:rFonts w:asciiTheme="minorHAnsi" w:hAnsiTheme="minorHAnsi" w:cstheme="minorHAnsi"/>
            <w:sz w:val="22"/>
            <w:szCs w:val="22"/>
          </w:rPr>
          <w:t>https://doi.org/10.1016/s0006-3223(03)00469-4</w:t>
        </w:r>
      </w:hyperlink>
    </w:p>
    <w:p w14:paraId="5DB0B543" w14:textId="77777777" w:rsidR="00023489" w:rsidRPr="00BC1C17" w:rsidRDefault="00023489" w:rsidP="00A53770">
      <w:pPr>
        <w:spacing w:after="0" w:line="360" w:lineRule="auto"/>
        <w:ind w:left="720" w:firstLine="720"/>
        <w:jc w:val="both"/>
        <w:rPr>
          <w:rFonts w:eastAsia="Times New Roman" w:cstheme="minorHAnsi"/>
          <w:lang w:eastAsia="en-GB"/>
        </w:rPr>
      </w:pPr>
      <w:r w:rsidRPr="00BC1C17">
        <w:rPr>
          <w:rFonts w:eastAsia="Times New Roman" w:cstheme="minorHAnsi"/>
          <w:lang w:eastAsia="en-GB"/>
        </w:rPr>
        <w:t xml:space="preserve">Kaplan, M. J., Dwivedi, A. K., Privitera, M. D., Isaacs, K., Hughes, C., &amp; Bowman, M. (2013). Comparisons of childhood trauma, alexithymia, and defensive styles in patients with psychogenic non-epileptic seizures vs. epilepsy: Implications for the etiology of conversion disorder. </w:t>
      </w:r>
      <w:r w:rsidRPr="00BC1C17">
        <w:rPr>
          <w:rFonts w:eastAsia="Times New Roman" w:cstheme="minorHAnsi"/>
          <w:i/>
          <w:iCs/>
          <w:lang w:eastAsia="en-GB"/>
        </w:rPr>
        <w:t>Journal of Psychosomatic Research</w:t>
      </w:r>
      <w:r w:rsidRPr="00BC1C17">
        <w:rPr>
          <w:rFonts w:eastAsia="Times New Roman" w:cstheme="minorHAnsi"/>
          <w:lang w:eastAsia="en-GB"/>
        </w:rPr>
        <w:t xml:space="preserve">, </w:t>
      </w:r>
      <w:r w:rsidRPr="00BC1C17">
        <w:rPr>
          <w:rFonts w:eastAsia="Times New Roman" w:cstheme="minorHAnsi"/>
          <w:i/>
          <w:iCs/>
          <w:lang w:eastAsia="en-GB"/>
        </w:rPr>
        <w:t>75</w:t>
      </w:r>
      <w:r w:rsidRPr="00BC1C17">
        <w:rPr>
          <w:rFonts w:eastAsia="Times New Roman" w:cstheme="minorHAnsi"/>
          <w:lang w:eastAsia="en-GB"/>
        </w:rPr>
        <w:t xml:space="preserve">(2), 142–146. </w:t>
      </w:r>
      <w:hyperlink r:id="rId117" w:history="1">
        <w:r w:rsidRPr="00BC1C17">
          <w:rPr>
            <w:rStyle w:val="Hyperlink"/>
            <w:rFonts w:eastAsia="Times New Roman" w:cstheme="minorHAnsi"/>
            <w:lang w:eastAsia="en-GB"/>
          </w:rPr>
          <w:t>https://doi.org/10.1016/j.jpsychores.2013.06.005</w:t>
        </w:r>
      </w:hyperlink>
    </w:p>
    <w:p w14:paraId="5F26B0CB"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lastRenderedPageBreak/>
        <w:t xml:space="preserve">Karakis, I., Janocko, N. J., Morton, M. L., Groover, O., Teagarden, D. L., Villarreal, H. K., Loring, D. W., &amp; Drane, D. L. (2020). Stigma in psychogenic nonepileptic seizures. </w:t>
      </w:r>
      <w:r w:rsidRPr="00BC1C17">
        <w:rPr>
          <w:rFonts w:asciiTheme="minorHAnsi" w:hAnsiTheme="minorHAnsi" w:cstheme="minorHAnsi"/>
          <w:i/>
          <w:iCs/>
          <w:sz w:val="22"/>
          <w:szCs w:val="22"/>
        </w:rPr>
        <w:t>Epilepsy &amp; Behavior</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111</w:t>
      </w:r>
      <w:r w:rsidRPr="00BC1C17">
        <w:rPr>
          <w:rFonts w:asciiTheme="minorHAnsi" w:hAnsiTheme="minorHAnsi" w:cstheme="minorHAnsi"/>
          <w:sz w:val="22"/>
          <w:szCs w:val="22"/>
        </w:rPr>
        <w:t>, 107269. https://doi.org/10.1016/j.yebeh.2020.107269</w:t>
      </w:r>
    </w:p>
    <w:p w14:paraId="6A593356"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Kroenke, K., Spitzer, R. L., &amp; Williams, J. B. W. (2001). The PHQ-9: Validity of a brief depression severity measure. </w:t>
      </w:r>
      <w:r w:rsidRPr="00BC1C17">
        <w:rPr>
          <w:rFonts w:asciiTheme="minorHAnsi" w:hAnsiTheme="minorHAnsi" w:cstheme="minorHAnsi"/>
          <w:i/>
          <w:iCs/>
          <w:sz w:val="22"/>
          <w:szCs w:val="22"/>
        </w:rPr>
        <w:t>Journal of General Internal Medicine</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16</w:t>
      </w:r>
      <w:r w:rsidRPr="00BC1C17">
        <w:rPr>
          <w:rFonts w:asciiTheme="minorHAnsi" w:hAnsiTheme="minorHAnsi" w:cstheme="minorHAnsi"/>
          <w:sz w:val="22"/>
          <w:szCs w:val="22"/>
        </w:rPr>
        <w:t>(9), 606–613. https://doi.org/10.1046/j.1525-1497.2001.016009606.x</w:t>
      </w:r>
    </w:p>
    <w:p w14:paraId="7B13510A"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Kroenke, K., Spitzer, R. L., &amp; Williams, J. B. W. (2002). The PHQ-15: Validity of a New Measure for Evaluating the Severity of Somatic Symptoms. </w:t>
      </w:r>
      <w:r w:rsidRPr="00BC1C17">
        <w:rPr>
          <w:rFonts w:asciiTheme="minorHAnsi" w:hAnsiTheme="minorHAnsi" w:cstheme="minorHAnsi"/>
          <w:i/>
          <w:iCs/>
          <w:sz w:val="22"/>
          <w:szCs w:val="22"/>
        </w:rPr>
        <w:t>Psychosomatic Medicine</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64</w:t>
      </w:r>
      <w:r w:rsidRPr="00BC1C17">
        <w:rPr>
          <w:rFonts w:asciiTheme="minorHAnsi" w:hAnsiTheme="minorHAnsi" w:cstheme="minorHAnsi"/>
          <w:sz w:val="22"/>
          <w:szCs w:val="22"/>
        </w:rPr>
        <w:t>(2), 258–266. https://doi.org/10.1097/00006842-200203000-00008</w:t>
      </w:r>
    </w:p>
    <w:p w14:paraId="2F18F4EE"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Kwon, O.-Y., &amp; Park, S.-P. (2014). Depression and Anxiety in People with Epilepsy. </w:t>
      </w:r>
      <w:r w:rsidRPr="00BC1C17">
        <w:rPr>
          <w:rFonts w:asciiTheme="minorHAnsi" w:hAnsiTheme="minorHAnsi" w:cstheme="minorHAnsi"/>
          <w:i/>
          <w:iCs/>
          <w:sz w:val="22"/>
          <w:szCs w:val="22"/>
        </w:rPr>
        <w:t>Journal of Clinical Neurology</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10</w:t>
      </w:r>
      <w:r w:rsidRPr="00BC1C17">
        <w:rPr>
          <w:rFonts w:asciiTheme="minorHAnsi" w:hAnsiTheme="minorHAnsi" w:cstheme="minorHAnsi"/>
          <w:sz w:val="22"/>
          <w:szCs w:val="22"/>
        </w:rPr>
        <w:t>(3), 175. https://doi.org/10.3988/jcn.2014.10.3.175</w:t>
      </w:r>
    </w:p>
    <w:p w14:paraId="6B791185"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Ladouceur, R., Gosselin, P., &amp; Dugas, M. J. (2000). Experimental manipulation of intolerance of uncertainty: a study of a theoretical model of worry. </w:t>
      </w:r>
      <w:r w:rsidRPr="00BC1C17">
        <w:rPr>
          <w:rFonts w:asciiTheme="minorHAnsi" w:hAnsiTheme="minorHAnsi" w:cstheme="minorHAnsi"/>
          <w:i/>
          <w:iCs/>
          <w:sz w:val="22"/>
          <w:szCs w:val="22"/>
        </w:rPr>
        <w:t>Behaviour Research and Therapy</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38</w:t>
      </w:r>
      <w:r w:rsidRPr="00BC1C17">
        <w:rPr>
          <w:rFonts w:asciiTheme="minorHAnsi" w:hAnsiTheme="minorHAnsi" w:cstheme="minorHAnsi"/>
          <w:sz w:val="22"/>
          <w:szCs w:val="22"/>
        </w:rPr>
        <w:t xml:space="preserve">(9), 933–941. </w:t>
      </w:r>
      <w:hyperlink r:id="rId118" w:history="1">
        <w:r w:rsidRPr="00BC1C17">
          <w:rPr>
            <w:rStyle w:val="Hyperlink"/>
            <w:rFonts w:asciiTheme="minorHAnsi" w:hAnsiTheme="minorHAnsi" w:cstheme="minorHAnsi"/>
            <w:sz w:val="22"/>
            <w:szCs w:val="22"/>
          </w:rPr>
          <w:t>https://doi.org/10.1016/s0005-7967(99)00133-3</w:t>
        </w:r>
      </w:hyperlink>
    </w:p>
    <w:p w14:paraId="1EA20AF6"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LaFrance, W. C., Reuber, M., &amp; Goldstein, L. H. (2013). Management of psychogenic nonepileptic seizures. Epilepsia, 54(1), 53–67. </w:t>
      </w:r>
      <w:hyperlink r:id="rId119" w:history="1">
        <w:r w:rsidRPr="00BC1C17">
          <w:rPr>
            <w:rStyle w:val="Hyperlink"/>
            <w:rFonts w:asciiTheme="minorHAnsi" w:hAnsiTheme="minorHAnsi" w:cstheme="minorHAnsi"/>
            <w:sz w:val="22"/>
            <w:szCs w:val="22"/>
          </w:rPr>
          <w:t>https://doi.org/10.1111/epi.12106</w:t>
        </w:r>
      </w:hyperlink>
    </w:p>
    <w:p w14:paraId="498B4BB8"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Larkin, F., Ralston, B., Dinsdale, S. J., Kimura, S., &amp; Hayiou-Thomas, M. E. (2022). Alexithymia and intolerance of uncertainty predict somatic symptoms in autistic and non-autistic adults. </w:t>
      </w:r>
      <w:r w:rsidRPr="00BC1C17">
        <w:rPr>
          <w:rFonts w:asciiTheme="minorHAnsi" w:hAnsiTheme="minorHAnsi" w:cstheme="minorHAnsi"/>
          <w:i/>
          <w:iCs/>
          <w:sz w:val="22"/>
          <w:szCs w:val="22"/>
        </w:rPr>
        <w:t>Autism</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27</w:t>
      </w:r>
      <w:r w:rsidRPr="00BC1C17">
        <w:rPr>
          <w:rFonts w:asciiTheme="minorHAnsi" w:hAnsiTheme="minorHAnsi" w:cstheme="minorHAnsi"/>
          <w:sz w:val="22"/>
          <w:szCs w:val="22"/>
        </w:rPr>
        <w:t xml:space="preserve">(3), 136236132211097. </w:t>
      </w:r>
      <w:hyperlink r:id="rId120" w:history="1">
        <w:r w:rsidRPr="00BC1C17">
          <w:rPr>
            <w:rStyle w:val="Hyperlink"/>
            <w:rFonts w:asciiTheme="minorHAnsi" w:hAnsiTheme="minorHAnsi" w:cstheme="minorHAnsi"/>
            <w:sz w:val="22"/>
            <w:szCs w:val="22"/>
          </w:rPr>
          <w:t>https://doi.org/10.1177/13623613221109717</w:t>
        </w:r>
      </w:hyperlink>
    </w:p>
    <w:p w14:paraId="7FE4AF33"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Leonhart, R., Tang, L., Pang, Y., Li, J., Song, L., Fischer, I., Koch, M., Wuensch, A., Fritzsche, K., &amp; Schaefert, R. (2016). Physical and psychological correlates of high somatic symptom severity in Chinese breast cancer patients. </w:t>
      </w:r>
      <w:r w:rsidRPr="00BC1C17">
        <w:rPr>
          <w:rFonts w:asciiTheme="minorHAnsi" w:hAnsiTheme="minorHAnsi" w:cstheme="minorHAnsi"/>
          <w:i/>
          <w:iCs/>
          <w:sz w:val="22"/>
          <w:szCs w:val="22"/>
        </w:rPr>
        <w:t>Psycho-Oncology</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26</w:t>
      </w:r>
      <w:r w:rsidRPr="00BC1C17">
        <w:rPr>
          <w:rFonts w:asciiTheme="minorHAnsi" w:hAnsiTheme="minorHAnsi" w:cstheme="minorHAnsi"/>
          <w:sz w:val="22"/>
          <w:szCs w:val="22"/>
        </w:rPr>
        <w:t xml:space="preserve">(5), 656–663. </w:t>
      </w:r>
      <w:hyperlink r:id="rId121" w:history="1">
        <w:r w:rsidRPr="00BC1C17">
          <w:rPr>
            <w:rStyle w:val="Hyperlink"/>
            <w:rFonts w:asciiTheme="minorHAnsi" w:hAnsiTheme="minorHAnsi" w:cstheme="minorHAnsi"/>
            <w:sz w:val="22"/>
            <w:szCs w:val="22"/>
          </w:rPr>
          <w:t>https://doi.org/10.1002/pon.4203</w:t>
        </w:r>
      </w:hyperlink>
    </w:p>
    <w:p w14:paraId="0322442C"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Löwe, B., Spitzer, R. L., Williams, J. B. W., Mussell, M., Schellberg, D., &amp; Kroenke, K. (2008). Depression, anxiety and somatization in primary care: syndrome overlap and functional impairment. General Hospital Psychiatry, 30(3), 191–199. https://doi.org/10.1016/j.genhosppsych.2008.01.001</w:t>
      </w:r>
    </w:p>
    <w:p w14:paraId="549DFD36"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Martlew, J., Pulman, J., &amp; Marson, A. G. (2014). Psychological and behavioural treatments for adults with non-epileptic attack disorder. </w:t>
      </w:r>
      <w:r w:rsidRPr="00BC1C17">
        <w:rPr>
          <w:rFonts w:asciiTheme="minorHAnsi" w:hAnsiTheme="minorHAnsi" w:cstheme="minorHAnsi"/>
          <w:i/>
          <w:iCs/>
          <w:sz w:val="22"/>
          <w:szCs w:val="22"/>
        </w:rPr>
        <w:t>Cochrane Database of Systematic Reviews</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11</w:t>
      </w:r>
      <w:r w:rsidRPr="00BC1C17">
        <w:rPr>
          <w:rFonts w:asciiTheme="minorHAnsi" w:hAnsiTheme="minorHAnsi" w:cstheme="minorHAnsi"/>
          <w:sz w:val="22"/>
          <w:szCs w:val="22"/>
        </w:rPr>
        <w:t>(2), 1-43. https://doi.org/10.1002/14651858.cd006370.pub2</w:t>
      </w:r>
    </w:p>
    <w:p w14:paraId="4C07E76C"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Mayor, R., Smith, P. E., &amp; Reuber, M. (2011). Management of patients with nonepileptic attack disorder in the United Kingdom: A survey of health care professionals. </w:t>
      </w:r>
      <w:r w:rsidRPr="00BC1C17">
        <w:rPr>
          <w:rFonts w:asciiTheme="minorHAnsi" w:hAnsiTheme="minorHAnsi" w:cstheme="minorHAnsi"/>
          <w:i/>
          <w:iCs/>
          <w:sz w:val="22"/>
          <w:szCs w:val="22"/>
        </w:rPr>
        <w:t>Epilepsy &amp; Behavior</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21</w:t>
      </w:r>
      <w:r w:rsidRPr="00BC1C17">
        <w:rPr>
          <w:rFonts w:asciiTheme="minorHAnsi" w:hAnsiTheme="minorHAnsi" w:cstheme="minorHAnsi"/>
          <w:sz w:val="22"/>
          <w:szCs w:val="22"/>
        </w:rPr>
        <w:t>(4), 402–406. https://doi.org/10.1016/j.yebeh.2011.05.019</w:t>
      </w:r>
    </w:p>
    <w:p w14:paraId="6645ECCE"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lastRenderedPageBreak/>
        <w:t xml:space="preserve">McEvoy, P. M., &amp; Erceg-Hurn, D. M. (2016). The search for universal transdiagnostic and trans-therapy change processes: Evidence for intolerance of uncertainty. </w:t>
      </w:r>
      <w:r w:rsidRPr="00BC1C17">
        <w:rPr>
          <w:rFonts w:asciiTheme="minorHAnsi" w:hAnsiTheme="minorHAnsi" w:cstheme="minorHAnsi"/>
          <w:i/>
          <w:iCs/>
          <w:sz w:val="22"/>
          <w:szCs w:val="22"/>
        </w:rPr>
        <w:t>Journal of Anxiety Disorders</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41</w:t>
      </w:r>
      <w:r w:rsidRPr="00BC1C17">
        <w:rPr>
          <w:rFonts w:asciiTheme="minorHAnsi" w:hAnsiTheme="minorHAnsi" w:cstheme="minorHAnsi"/>
          <w:sz w:val="22"/>
          <w:szCs w:val="22"/>
        </w:rPr>
        <w:t>, 96–107. https://doi.org/10.1016/j.janxdis.2016.02.002</w:t>
      </w:r>
    </w:p>
    <w:p w14:paraId="239A7B1F"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McEvoy, P. M., &amp; Mahoney, A. E. J. (2011). Achieving certainty about the structure of intolerance of uncertainty in a treatment-seeking sample with anxiety and depression. Journal of Anxiety Disorders, 25(1), 112–122. </w:t>
      </w:r>
      <w:hyperlink r:id="rId122" w:history="1">
        <w:r w:rsidRPr="00BC1C17">
          <w:rPr>
            <w:rStyle w:val="Hyperlink"/>
            <w:rFonts w:asciiTheme="minorHAnsi" w:hAnsiTheme="minorHAnsi" w:cstheme="minorHAnsi"/>
            <w:sz w:val="22"/>
            <w:szCs w:val="22"/>
          </w:rPr>
          <w:t>https://doi.org/10.1016/j.janxdis.2010.08.010</w:t>
        </w:r>
      </w:hyperlink>
    </w:p>
    <w:p w14:paraId="78721765"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Michaelis, R., Tang, V., Nevitt, S. J., Wagner, J. L., Modi, A. C., LaFrance Jr, W. C., Goldstein, L. H., Gandy, M., Bresnahan, R., Valente, K., Donald, K. A., &amp; Reuber, M. (2020). Psychological treatments for people with epilepsy. </w:t>
      </w:r>
      <w:r w:rsidRPr="00BC1C17">
        <w:rPr>
          <w:rFonts w:asciiTheme="minorHAnsi" w:hAnsiTheme="minorHAnsi" w:cstheme="minorHAnsi"/>
          <w:i/>
          <w:iCs/>
          <w:sz w:val="22"/>
          <w:szCs w:val="22"/>
        </w:rPr>
        <w:t>Cochrane Database of Systematic Reviews</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8</w:t>
      </w:r>
      <w:r w:rsidRPr="00BC1C17">
        <w:rPr>
          <w:rFonts w:asciiTheme="minorHAnsi" w:hAnsiTheme="minorHAnsi" w:cstheme="minorHAnsi"/>
          <w:sz w:val="22"/>
          <w:szCs w:val="22"/>
        </w:rPr>
        <w:t>(8), 1-117. https://doi.org/10.1002/14651858.cd012081.pub3</w:t>
      </w:r>
    </w:p>
    <w:p w14:paraId="4BF8744D"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Modi, A. C., Wagner, J., Smith, A. W., Kellermann, T. S., &amp; Michaelis, R. (2017). Implementation of psychological clinical trials in epilepsy: Review and guide. </w:t>
      </w:r>
      <w:r w:rsidRPr="00BC1C17">
        <w:rPr>
          <w:rFonts w:asciiTheme="minorHAnsi" w:hAnsiTheme="minorHAnsi" w:cstheme="minorHAnsi"/>
          <w:i/>
          <w:iCs/>
          <w:sz w:val="22"/>
          <w:szCs w:val="22"/>
        </w:rPr>
        <w:t>Epilepsy &amp; Behavior</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74</w:t>
      </w:r>
      <w:r w:rsidRPr="00BC1C17">
        <w:rPr>
          <w:rFonts w:asciiTheme="minorHAnsi" w:hAnsiTheme="minorHAnsi" w:cstheme="minorHAnsi"/>
          <w:sz w:val="22"/>
          <w:szCs w:val="22"/>
        </w:rPr>
        <w:t>(1), 104–113. https://doi.org/10.1016/j.yebeh.2017.06.016</w:t>
      </w:r>
    </w:p>
    <w:p w14:paraId="15929C7F"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Mohanraj, R., &amp; Brodie, M. J. (2013). Early predictors of outcome in newly diagnosed epilepsy. </w:t>
      </w:r>
      <w:r w:rsidRPr="00BC1C17">
        <w:rPr>
          <w:rFonts w:asciiTheme="minorHAnsi" w:hAnsiTheme="minorHAnsi" w:cstheme="minorHAnsi"/>
          <w:i/>
          <w:iCs/>
          <w:sz w:val="22"/>
          <w:szCs w:val="22"/>
        </w:rPr>
        <w:t>Seizure</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22</w:t>
      </w:r>
      <w:r w:rsidRPr="00BC1C17">
        <w:rPr>
          <w:rFonts w:asciiTheme="minorHAnsi" w:hAnsiTheme="minorHAnsi" w:cstheme="minorHAnsi"/>
          <w:sz w:val="22"/>
          <w:szCs w:val="22"/>
        </w:rPr>
        <w:t xml:space="preserve">(5), 333–344. </w:t>
      </w:r>
      <w:hyperlink r:id="rId123" w:history="1">
        <w:r w:rsidRPr="00BC1C17">
          <w:rPr>
            <w:rStyle w:val="Hyperlink"/>
            <w:rFonts w:asciiTheme="minorHAnsi" w:hAnsiTheme="minorHAnsi" w:cstheme="minorHAnsi"/>
            <w:sz w:val="22"/>
            <w:szCs w:val="22"/>
          </w:rPr>
          <w:t>https://doi.org/10.1016/j.seizure.2013.02.002</w:t>
        </w:r>
      </w:hyperlink>
    </w:p>
    <w:p w14:paraId="348A648B" w14:textId="77777777" w:rsidR="00023489" w:rsidRPr="00BC1C17" w:rsidRDefault="00023489" w:rsidP="00A53770">
      <w:pPr>
        <w:spacing w:after="0" w:line="360" w:lineRule="auto"/>
        <w:ind w:left="720" w:firstLine="720"/>
        <w:jc w:val="both"/>
        <w:rPr>
          <w:rFonts w:eastAsia="Times New Roman" w:cstheme="minorHAnsi"/>
          <w:lang w:eastAsia="en-GB"/>
        </w:rPr>
      </w:pPr>
      <w:r w:rsidRPr="00BC1C17">
        <w:rPr>
          <w:rFonts w:eastAsia="Times New Roman" w:cstheme="minorHAnsi"/>
          <w:lang w:eastAsia="en-GB"/>
        </w:rPr>
        <w:t xml:space="preserve">Mula, M. (2012). Bidirectional link between epilepsy and psychiatric disorders. </w:t>
      </w:r>
      <w:r w:rsidRPr="00BC1C17">
        <w:rPr>
          <w:rFonts w:eastAsia="Times New Roman" w:cstheme="minorHAnsi"/>
          <w:i/>
          <w:iCs/>
          <w:lang w:eastAsia="en-GB"/>
        </w:rPr>
        <w:t>Nature Reviews Neurology</w:t>
      </w:r>
      <w:r w:rsidRPr="00BC1C17">
        <w:rPr>
          <w:rFonts w:eastAsia="Times New Roman" w:cstheme="minorHAnsi"/>
          <w:lang w:eastAsia="en-GB"/>
        </w:rPr>
        <w:t xml:space="preserve">, </w:t>
      </w:r>
      <w:r w:rsidRPr="00BC1C17">
        <w:rPr>
          <w:rFonts w:eastAsia="Times New Roman" w:cstheme="minorHAnsi"/>
          <w:i/>
          <w:iCs/>
          <w:lang w:eastAsia="en-GB"/>
        </w:rPr>
        <w:t>8</w:t>
      </w:r>
      <w:r w:rsidRPr="00BC1C17">
        <w:rPr>
          <w:rFonts w:eastAsia="Times New Roman" w:cstheme="minorHAnsi"/>
          <w:lang w:eastAsia="en-GB"/>
        </w:rPr>
        <w:t>(5), 252–253. https://doi.org/10.1038/nrneurol.2012.69</w:t>
      </w:r>
    </w:p>
    <w:p w14:paraId="3C3FE903"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Myers, L., Trobliger, R., Bortnik, K., Zeng, R., Saal, E., &amp; Lancman, M. (2019). Psychological trauma, somatization, dissociation, and psychiatric comorbidities in patients with psychogenic nonepileptic seizures compared with those in patients with intractable partial epilepsy. </w:t>
      </w:r>
      <w:r w:rsidRPr="00BC1C17">
        <w:rPr>
          <w:rFonts w:asciiTheme="minorHAnsi" w:hAnsiTheme="minorHAnsi" w:cstheme="minorHAnsi"/>
          <w:i/>
          <w:iCs/>
          <w:sz w:val="22"/>
          <w:szCs w:val="22"/>
        </w:rPr>
        <w:t>Epilepsy &amp; Behavior</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92</w:t>
      </w:r>
      <w:r w:rsidRPr="00BC1C17">
        <w:rPr>
          <w:rFonts w:asciiTheme="minorHAnsi" w:hAnsiTheme="minorHAnsi" w:cstheme="minorHAnsi"/>
          <w:sz w:val="22"/>
          <w:szCs w:val="22"/>
        </w:rPr>
        <w:t>, 108–113. https://doi.org/10.1016/j.yebeh.2018.12.027</w:t>
      </w:r>
    </w:p>
    <w:p w14:paraId="7ADADA9F"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National Institute for Clinical Excellence (NICE). (2022). </w:t>
      </w:r>
      <w:r w:rsidRPr="00BC1C17">
        <w:rPr>
          <w:rFonts w:asciiTheme="minorHAnsi" w:hAnsiTheme="minorHAnsi" w:cstheme="minorHAnsi"/>
          <w:i/>
          <w:iCs/>
          <w:sz w:val="22"/>
          <w:szCs w:val="22"/>
        </w:rPr>
        <w:t>Depression in adults: treatment and management, NICE guideline [NG222]</w:t>
      </w:r>
      <w:r w:rsidRPr="00BC1C17">
        <w:rPr>
          <w:rFonts w:asciiTheme="minorHAnsi" w:hAnsiTheme="minorHAnsi" w:cstheme="minorHAnsi"/>
          <w:sz w:val="22"/>
          <w:szCs w:val="22"/>
        </w:rPr>
        <w:t>. Www.nice.org.uk. https://www.nice.org.uk/guidance/ng222/chapter/Recommendations#recognition-and-assessment</w:t>
      </w:r>
    </w:p>
    <w:p w14:paraId="3902115B"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Novakova, B., Harris, P. R., Ponnusamy, A., &amp; Reuber, M. (2013). The role of stress as a trigger for epileptic seizures: A narrative review of evidence from human and animal studies. </w:t>
      </w:r>
      <w:r w:rsidRPr="00BC1C17">
        <w:rPr>
          <w:rFonts w:asciiTheme="minorHAnsi" w:hAnsiTheme="minorHAnsi" w:cstheme="minorHAnsi"/>
          <w:i/>
          <w:iCs/>
          <w:sz w:val="22"/>
          <w:szCs w:val="22"/>
        </w:rPr>
        <w:t>Epilepsia</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54</w:t>
      </w:r>
      <w:r w:rsidRPr="00BC1C17">
        <w:rPr>
          <w:rFonts w:asciiTheme="minorHAnsi" w:hAnsiTheme="minorHAnsi" w:cstheme="minorHAnsi"/>
          <w:sz w:val="22"/>
          <w:szCs w:val="22"/>
        </w:rPr>
        <w:t>(11), 1866–1876. https://doi.org/10.1111/epi.12377</w:t>
      </w:r>
    </w:p>
    <w:p w14:paraId="1F6092D2" w14:textId="77777777" w:rsidR="00023489" w:rsidRPr="00BC1C17" w:rsidRDefault="00023489" w:rsidP="00A53770">
      <w:pPr>
        <w:pStyle w:val="NormalWeb"/>
        <w:spacing w:before="0" w:beforeAutospacing="0" w:after="0" w:afterAutospacing="0" w:line="360" w:lineRule="auto"/>
        <w:ind w:left="720" w:firstLine="720"/>
        <w:jc w:val="both"/>
        <w:rPr>
          <w:rStyle w:val="Hyperlink"/>
          <w:rFonts w:asciiTheme="minorHAnsi" w:hAnsiTheme="minorHAnsi" w:cstheme="minorHAnsi"/>
          <w:sz w:val="22"/>
          <w:szCs w:val="22"/>
        </w:rPr>
      </w:pPr>
      <w:r w:rsidRPr="00BC1C17">
        <w:rPr>
          <w:rFonts w:asciiTheme="minorHAnsi" w:hAnsiTheme="minorHAnsi" w:cstheme="minorHAnsi"/>
          <w:sz w:val="22"/>
          <w:szCs w:val="22"/>
        </w:rPr>
        <w:t xml:space="preserve">Olthuis, J. V., Watt, M. C., &amp; Stewart, S. H. (2014). Anxiety Sensitivity Index (ASI-3) subscales predict unique variance in anxiety and depressive symptoms. </w:t>
      </w:r>
      <w:r w:rsidRPr="00BC1C17">
        <w:rPr>
          <w:rFonts w:asciiTheme="minorHAnsi" w:hAnsiTheme="minorHAnsi" w:cstheme="minorHAnsi"/>
          <w:i/>
          <w:iCs/>
          <w:sz w:val="22"/>
          <w:szCs w:val="22"/>
        </w:rPr>
        <w:t>Journal of Anxiety Disorders</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28</w:t>
      </w:r>
      <w:r w:rsidRPr="00BC1C17">
        <w:rPr>
          <w:rFonts w:asciiTheme="minorHAnsi" w:hAnsiTheme="minorHAnsi" w:cstheme="minorHAnsi"/>
          <w:sz w:val="22"/>
          <w:szCs w:val="22"/>
        </w:rPr>
        <w:t xml:space="preserve">(2), 115–124. </w:t>
      </w:r>
      <w:hyperlink r:id="rId124" w:history="1">
        <w:r w:rsidRPr="00BC1C17">
          <w:rPr>
            <w:rStyle w:val="Hyperlink"/>
            <w:rFonts w:asciiTheme="minorHAnsi" w:hAnsiTheme="minorHAnsi" w:cstheme="minorHAnsi"/>
            <w:sz w:val="22"/>
            <w:szCs w:val="22"/>
          </w:rPr>
          <w:t>https://doi.org/10.1016/j.janxdis.2013.04.009</w:t>
        </w:r>
      </w:hyperlink>
    </w:p>
    <w:p w14:paraId="56ED560F" w14:textId="77777777" w:rsidR="00023489" w:rsidRPr="00BC1C17" w:rsidRDefault="00023489" w:rsidP="00A53770">
      <w:pPr>
        <w:spacing w:after="0" w:line="360" w:lineRule="auto"/>
        <w:ind w:left="720" w:firstLine="720"/>
        <w:jc w:val="both"/>
        <w:rPr>
          <w:rFonts w:eastAsia="Times New Roman" w:cstheme="minorHAnsi"/>
          <w:lang w:eastAsia="en-GB"/>
        </w:rPr>
      </w:pPr>
      <w:r w:rsidRPr="00BC1C17">
        <w:rPr>
          <w:rFonts w:eastAsia="Times New Roman" w:cstheme="minorHAnsi"/>
          <w:lang w:eastAsia="en-GB"/>
        </w:rPr>
        <w:lastRenderedPageBreak/>
        <w:t xml:space="preserve">Park, Y. S., Konge, L., &amp; Artino, A. R. (2020). The Positivism Paradigm of Research. </w:t>
      </w:r>
      <w:r w:rsidRPr="00BC1C17">
        <w:rPr>
          <w:rFonts w:eastAsia="Times New Roman" w:cstheme="minorHAnsi"/>
          <w:i/>
          <w:iCs/>
          <w:lang w:eastAsia="en-GB"/>
        </w:rPr>
        <w:t>Academic Medicine</w:t>
      </w:r>
      <w:r w:rsidRPr="00BC1C17">
        <w:rPr>
          <w:rFonts w:eastAsia="Times New Roman" w:cstheme="minorHAnsi"/>
          <w:lang w:eastAsia="en-GB"/>
        </w:rPr>
        <w:t xml:space="preserve">, </w:t>
      </w:r>
      <w:r w:rsidRPr="00BC1C17">
        <w:rPr>
          <w:rFonts w:eastAsia="Times New Roman" w:cstheme="minorHAnsi"/>
          <w:i/>
          <w:iCs/>
          <w:lang w:eastAsia="en-GB"/>
        </w:rPr>
        <w:t>95</w:t>
      </w:r>
      <w:r w:rsidRPr="00BC1C17">
        <w:rPr>
          <w:rFonts w:eastAsia="Times New Roman" w:cstheme="minorHAnsi"/>
          <w:lang w:eastAsia="en-GB"/>
        </w:rPr>
        <w:t>(5), 690–694. Researchgate. https://doi.org/10.1097/ACM.0000000000003093</w:t>
      </w:r>
    </w:p>
    <w:p w14:paraId="6A0B5A22"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Paschal, A. M., Rush, S. E., &amp; Sadler, T. (2014). Factors associated with medication adherence in patients with epilepsy and recommendations for improvement. </w:t>
      </w:r>
      <w:r w:rsidRPr="00BC1C17">
        <w:rPr>
          <w:rFonts w:asciiTheme="minorHAnsi" w:hAnsiTheme="minorHAnsi" w:cstheme="minorHAnsi"/>
          <w:i/>
          <w:iCs/>
          <w:sz w:val="22"/>
          <w:szCs w:val="22"/>
        </w:rPr>
        <w:t>Epilepsy &amp; Behavior</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31</w:t>
      </w:r>
      <w:r w:rsidRPr="00BC1C17">
        <w:rPr>
          <w:rFonts w:asciiTheme="minorHAnsi" w:hAnsiTheme="minorHAnsi" w:cstheme="minorHAnsi"/>
          <w:sz w:val="22"/>
          <w:szCs w:val="22"/>
        </w:rPr>
        <w:t xml:space="preserve">, 346–350. </w:t>
      </w:r>
      <w:hyperlink r:id="rId125" w:history="1">
        <w:r w:rsidRPr="00BC1C17">
          <w:rPr>
            <w:rStyle w:val="Hyperlink"/>
            <w:rFonts w:asciiTheme="minorHAnsi" w:hAnsiTheme="minorHAnsi" w:cstheme="minorHAnsi"/>
            <w:sz w:val="22"/>
            <w:szCs w:val="22"/>
          </w:rPr>
          <w:t>https://doi.org/10.1016/j.yebeh.2013.10.002</w:t>
        </w:r>
      </w:hyperlink>
    </w:p>
    <w:p w14:paraId="508DBEA4"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Piontek, K., Shedden-Mora, M. C., Gladigau, M., Kuby, A., &amp; Löwe, B. (2018). Diagnosis of somatoform disorders in primary care: diagnostic agreement, predictors, and comaprisons with depression and anxiety. </w:t>
      </w:r>
      <w:r w:rsidRPr="00BC1C17">
        <w:rPr>
          <w:rFonts w:asciiTheme="minorHAnsi" w:hAnsiTheme="minorHAnsi" w:cstheme="minorHAnsi"/>
          <w:i/>
          <w:iCs/>
          <w:sz w:val="22"/>
          <w:szCs w:val="22"/>
        </w:rPr>
        <w:t>BMC Psychiatry</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18</w:t>
      </w:r>
      <w:r w:rsidRPr="00BC1C17">
        <w:rPr>
          <w:rFonts w:asciiTheme="minorHAnsi" w:hAnsiTheme="minorHAnsi" w:cstheme="minorHAnsi"/>
          <w:sz w:val="22"/>
          <w:szCs w:val="22"/>
        </w:rPr>
        <w:t>(1). https://doi.org/10.1186/s12888-018-1940-3</w:t>
      </w:r>
    </w:p>
    <w:p w14:paraId="68D76FD2"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Plioplys, S., Doss, J., Siddarth, P., Bursch, B., Falcone, T., Forgey, M., Hinman, K., LaFrance, W. C., Laptook, R., Shaw, R. J., Weisbrot, D. M., Willis, M. D., &amp; Caplan, R. (2014). A multisite controlled study of risk factors in pediatric psychogenic nonepileptic seizures. </w:t>
      </w:r>
      <w:r w:rsidRPr="00BC1C17">
        <w:rPr>
          <w:rFonts w:asciiTheme="minorHAnsi" w:hAnsiTheme="minorHAnsi" w:cstheme="minorHAnsi"/>
          <w:i/>
          <w:iCs/>
          <w:sz w:val="22"/>
          <w:szCs w:val="22"/>
        </w:rPr>
        <w:t>Epilepsia</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55</w:t>
      </w:r>
      <w:r w:rsidRPr="00BC1C17">
        <w:rPr>
          <w:rFonts w:asciiTheme="minorHAnsi" w:hAnsiTheme="minorHAnsi" w:cstheme="minorHAnsi"/>
          <w:sz w:val="22"/>
          <w:szCs w:val="22"/>
        </w:rPr>
        <w:t>(11), 1739–1747. https://doi.org/10.1111/epi.12773</w:t>
      </w:r>
    </w:p>
    <w:p w14:paraId="2BE9A7C1"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Plioplys, S., Doss, J., Siddarth, P., Bursch, B., Falcone, T., Forgey, M., Hinman, K., LaFrance, W. C., Laptook, R., Shaw, R. J., Weisbrot, D. M., Willis, M. D., &amp; Caplan, R. (2016). Risk factors for comorbid psychopathology in youth with psychogenic nonepileptic seizures. </w:t>
      </w:r>
      <w:r w:rsidRPr="00BC1C17">
        <w:rPr>
          <w:rFonts w:asciiTheme="minorHAnsi" w:hAnsiTheme="minorHAnsi" w:cstheme="minorHAnsi"/>
          <w:i/>
          <w:iCs/>
          <w:sz w:val="22"/>
          <w:szCs w:val="22"/>
        </w:rPr>
        <w:t>Seizure</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38</w:t>
      </w:r>
      <w:r w:rsidRPr="00BC1C17">
        <w:rPr>
          <w:rFonts w:asciiTheme="minorHAnsi" w:hAnsiTheme="minorHAnsi" w:cstheme="minorHAnsi"/>
          <w:sz w:val="22"/>
          <w:szCs w:val="22"/>
        </w:rPr>
        <w:t>, 32–37. https://doi.org/10.1016/j.seizure.2016.03.012</w:t>
      </w:r>
    </w:p>
    <w:p w14:paraId="3DD55022"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Radell, M. L., Myers, C. E., Beck, K. D., Moustafa, A. A., &amp; Allen, M. T. (2016). The Personality Trait of Intolerance to Uncertainty Affects Behavior in a Novel Computer-Based Conditioned Place Preference Task. </w:t>
      </w:r>
      <w:r w:rsidRPr="00BC1C17">
        <w:rPr>
          <w:rFonts w:asciiTheme="minorHAnsi" w:hAnsiTheme="minorHAnsi" w:cstheme="minorHAnsi"/>
          <w:i/>
          <w:iCs/>
          <w:sz w:val="22"/>
          <w:szCs w:val="22"/>
        </w:rPr>
        <w:t>Frontiers in Psychology</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7</w:t>
      </w:r>
      <w:r w:rsidRPr="00BC1C17">
        <w:rPr>
          <w:rFonts w:asciiTheme="minorHAnsi" w:hAnsiTheme="minorHAnsi" w:cstheme="minorHAnsi"/>
          <w:sz w:val="22"/>
          <w:szCs w:val="22"/>
        </w:rPr>
        <w:t xml:space="preserve">. </w:t>
      </w:r>
      <w:hyperlink r:id="rId126" w:history="1">
        <w:r w:rsidRPr="00BC1C17">
          <w:rPr>
            <w:rStyle w:val="Hyperlink"/>
            <w:rFonts w:asciiTheme="minorHAnsi" w:hAnsiTheme="minorHAnsi" w:cstheme="minorHAnsi"/>
            <w:sz w:val="22"/>
            <w:szCs w:val="22"/>
          </w:rPr>
          <w:t>https://doi.org/10.3389/fpsyg.2016.01175</w:t>
        </w:r>
      </w:hyperlink>
    </w:p>
    <w:p w14:paraId="3B700AF5"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Rady, A., Alamrawy, R., Ramadan, I., &amp; Abd El Raouf, M. (2021). Does alexithymia, independent of depressive and anxiety disorders, correlate with the severity of somatic manifestations among patients with medically unexplained physical symptoms? </w:t>
      </w:r>
      <w:r w:rsidRPr="00BC1C17">
        <w:rPr>
          <w:rFonts w:asciiTheme="minorHAnsi" w:hAnsiTheme="minorHAnsi" w:cstheme="minorHAnsi"/>
          <w:i/>
          <w:iCs/>
          <w:sz w:val="22"/>
          <w:szCs w:val="22"/>
        </w:rPr>
        <w:t>Journal of Experimental Psychopathology</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12</w:t>
      </w:r>
      <w:r w:rsidRPr="00BC1C17">
        <w:rPr>
          <w:rFonts w:asciiTheme="minorHAnsi" w:hAnsiTheme="minorHAnsi" w:cstheme="minorHAnsi"/>
          <w:sz w:val="22"/>
          <w:szCs w:val="22"/>
        </w:rPr>
        <w:t xml:space="preserve">(4), 204380872110437. </w:t>
      </w:r>
      <w:hyperlink r:id="rId127" w:history="1">
        <w:r w:rsidRPr="00BC1C17">
          <w:rPr>
            <w:rStyle w:val="Hyperlink"/>
            <w:rFonts w:asciiTheme="minorHAnsi" w:hAnsiTheme="minorHAnsi" w:cstheme="minorHAnsi"/>
            <w:sz w:val="22"/>
            <w:szCs w:val="22"/>
          </w:rPr>
          <w:t>https://doi.org/10.1177/20438087211043729</w:t>
        </w:r>
      </w:hyperlink>
    </w:p>
    <w:p w14:paraId="54613457"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Rawlings, G. H., &amp; Reuber, M. (2016). What patients say about living with psychogenic nonepileptic seizures: A systematic synthesis of qualitative studies. Seizure, 41, 100–111. https://doi.org/10.1016/j.seizure.2016.07.014</w:t>
      </w:r>
    </w:p>
    <w:p w14:paraId="3021D78E"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Reuber, M., House, A. O., Pukrop, R., Bauer, J., &amp; Elger, C. E. (2003). Somatization, dissociation and general psychopathology in patients with psychogenic non-epileptic seizures. </w:t>
      </w:r>
      <w:r w:rsidRPr="00BC1C17">
        <w:rPr>
          <w:rFonts w:asciiTheme="minorHAnsi" w:hAnsiTheme="minorHAnsi" w:cstheme="minorHAnsi"/>
          <w:i/>
          <w:iCs/>
          <w:sz w:val="22"/>
          <w:szCs w:val="22"/>
        </w:rPr>
        <w:t>Epilepsy Research</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57</w:t>
      </w:r>
      <w:r w:rsidRPr="00BC1C17">
        <w:rPr>
          <w:rFonts w:asciiTheme="minorHAnsi" w:hAnsiTheme="minorHAnsi" w:cstheme="minorHAnsi"/>
          <w:sz w:val="22"/>
          <w:szCs w:val="22"/>
        </w:rPr>
        <w:t xml:space="preserve">(2-3), 159–167. </w:t>
      </w:r>
      <w:hyperlink r:id="rId128" w:history="1">
        <w:r w:rsidRPr="00BC1C17">
          <w:rPr>
            <w:rStyle w:val="Hyperlink"/>
            <w:rFonts w:asciiTheme="minorHAnsi" w:hAnsiTheme="minorHAnsi" w:cstheme="minorHAnsi"/>
            <w:sz w:val="22"/>
            <w:szCs w:val="22"/>
          </w:rPr>
          <w:t>https://doi.org/10.1016/j.eplepsyres.2003.11.004</w:t>
        </w:r>
      </w:hyperlink>
    </w:p>
    <w:p w14:paraId="1D573649"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lastRenderedPageBreak/>
        <w:t xml:space="preserve">Rief, W., Hennings, A., Riemer, S., &amp; Euteneuer, F. (2010). Psychobiological differences between depression and somatization. </w:t>
      </w:r>
      <w:r w:rsidRPr="00BC1C17">
        <w:rPr>
          <w:rFonts w:asciiTheme="minorHAnsi" w:hAnsiTheme="minorHAnsi" w:cstheme="minorHAnsi"/>
          <w:i/>
          <w:iCs/>
          <w:sz w:val="22"/>
          <w:szCs w:val="22"/>
        </w:rPr>
        <w:t>Journal of Psychosomatic Research</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68</w:t>
      </w:r>
      <w:r w:rsidRPr="00BC1C17">
        <w:rPr>
          <w:rFonts w:asciiTheme="minorHAnsi" w:hAnsiTheme="minorHAnsi" w:cstheme="minorHAnsi"/>
          <w:sz w:val="22"/>
          <w:szCs w:val="22"/>
        </w:rPr>
        <w:t>(5), 495–502. https://doi.org/10.1016/j.jpsychores.2010.02.001</w:t>
      </w:r>
    </w:p>
    <w:p w14:paraId="35CA3DE0"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Sawyer, N. T., &amp; Escayg, A. (2010). Stress and Epilepsy: Multiple Models, Multiple Outcomes. </w:t>
      </w:r>
      <w:r w:rsidRPr="00BC1C17">
        <w:rPr>
          <w:rFonts w:asciiTheme="minorHAnsi" w:hAnsiTheme="minorHAnsi" w:cstheme="minorHAnsi"/>
          <w:i/>
          <w:iCs/>
          <w:sz w:val="22"/>
          <w:szCs w:val="22"/>
        </w:rPr>
        <w:t>Journal of Clinical Neurophysiology</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27</w:t>
      </w:r>
      <w:r w:rsidRPr="00BC1C17">
        <w:rPr>
          <w:rFonts w:asciiTheme="minorHAnsi" w:hAnsiTheme="minorHAnsi" w:cstheme="minorHAnsi"/>
          <w:sz w:val="22"/>
          <w:szCs w:val="22"/>
        </w:rPr>
        <w:t xml:space="preserve">(6), 445–452. </w:t>
      </w:r>
      <w:hyperlink r:id="rId129" w:history="1">
        <w:r w:rsidRPr="00BC1C17">
          <w:rPr>
            <w:rStyle w:val="Hyperlink"/>
            <w:rFonts w:asciiTheme="minorHAnsi" w:hAnsiTheme="minorHAnsi" w:cstheme="minorHAnsi"/>
            <w:sz w:val="22"/>
            <w:szCs w:val="22"/>
          </w:rPr>
          <w:t>https://doi.org/10.1097/wnp.0b013e3181fe0573</w:t>
        </w:r>
      </w:hyperlink>
    </w:p>
    <w:p w14:paraId="2AB48C6C"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Senf-Beckenbach, P., Hoheisel, M., Devine, J., Frank, A., Obermann, L., Rose, M., &amp; Hinkelmann, K. (2022). Evaluation of a new body-focused group therapy versus a guided self-help group program for adults with psychogenic non-epileptic seizures (PNES): a pilot randomized controlled feasibility study. </w:t>
      </w:r>
      <w:r w:rsidRPr="00BC1C17">
        <w:rPr>
          <w:rFonts w:asciiTheme="minorHAnsi" w:hAnsiTheme="minorHAnsi" w:cstheme="minorHAnsi"/>
          <w:i/>
          <w:iCs/>
          <w:sz w:val="22"/>
          <w:szCs w:val="22"/>
        </w:rPr>
        <w:t>Journal of Neurology</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269</w:t>
      </w:r>
      <w:r w:rsidRPr="00BC1C17">
        <w:rPr>
          <w:rFonts w:asciiTheme="minorHAnsi" w:hAnsiTheme="minorHAnsi" w:cstheme="minorHAnsi"/>
          <w:sz w:val="22"/>
          <w:szCs w:val="22"/>
        </w:rPr>
        <w:t>(1), 427–436. https://doi.org/10.1007/s00415-021-10652-0</w:t>
      </w:r>
    </w:p>
    <w:p w14:paraId="6B7BE11A"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Seo, J.-G., Cho, Y. W., Lee, S.-J., Lee, J.-J., Kim, J.-E., Moon, H.-J., &amp; Park, S.-P. (2014). Validation of the Generalized Anxiety Disorder-7 in people with epilepsy: A MEPSY study. </w:t>
      </w:r>
      <w:r w:rsidRPr="00BC1C17">
        <w:rPr>
          <w:rFonts w:asciiTheme="minorHAnsi" w:hAnsiTheme="minorHAnsi" w:cstheme="minorHAnsi"/>
          <w:i/>
          <w:iCs/>
          <w:sz w:val="22"/>
          <w:szCs w:val="22"/>
        </w:rPr>
        <w:t>Epilepsy &amp; Behavior</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35</w:t>
      </w:r>
      <w:r w:rsidRPr="00BC1C17">
        <w:rPr>
          <w:rFonts w:asciiTheme="minorHAnsi" w:hAnsiTheme="minorHAnsi" w:cstheme="minorHAnsi"/>
          <w:sz w:val="22"/>
          <w:szCs w:val="22"/>
        </w:rPr>
        <w:t>, 59–63. https://doi.org/10.1016/j.yebeh.2014.04.005</w:t>
      </w:r>
    </w:p>
    <w:p w14:paraId="0A77826F"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Sitnikova, K., Dijkstra-Kersten, S. M. A., Mokkink, L. B., Terluin, B., van Marwijk, H. W. J., Leone, S. S., van der Horst, H. E., &amp; van der Wouden, J. C. (2017). Systematic review of measurement properties of questionnaires measuring somatization in primary care patients. </w:t>
      </w:r>
      <w:r w:rsidRPr="00BC1C17">
        <w:rPr>
          <w:rFonts w:asciiTheme="minorHAnsi" w:hAnsiTheme="minorHAnsi" w:cstheme="minorHAnsi"/>
          <w:i/>
          <w:iCs/>
          <w:sz w:val="22"/>
          <w:szCs w:val="22"/>
        </w:rPr>
        <w:t>Journal of Psychosomatic Research</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103</w:t>
      </w:r>
      <w:r w:rsidRPr="00BC1C17">
        <w:rPr>
          <w:rFonts w:asciiTheme="minorHAnsi" w:hAnsiTheme="minorHAnsi" w:cstheme="minorHAnsi"/>
          <w:sz w:val="22"/>
          <w:szCs w:val="22"/>
        </w:rPr>
        <w:t xml:space="preserve">, 42–62. </w:t>
      </w:r>
      <w:hyperlink r:id="rId130" w:history="1">
        <w:r w:rsidRPr="00BC1C17">
          <w:rPr>
            <w:rStyle w:val="Hyperlink"/>
            <w:rFonts w:asciiTheme="minorHAnsi" w:hAnsiTheme="minorHAnsi" w:cstheme="minorHAnsi"/>
            <w:sz w:val="22"/>
            <w:szCs w:val="22"/>
          </w:rPr>
          <w:t>https://doi.org/10.1016/j.jpsychores.2017.10.005</w:t>
        </w:r>
      </w:hyperlink>
    </w:p>
    <w:p w14:paraId="25D383AA"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Smits, J. A. J., Berry, A. C., Tart, C. D., &amp; Powers, M. B. (2008). The efficacy of cognitive-behavioral interventions for reducing anxiety sensitivity: A meta-analytic review. </w:t>
      </w:r>
      <w:r w:rsidRPr="00BC1C17">
        <w:rPr>
          <w:rFonts w:asciiTheme="minorHAnsi" w:hAnsiTheme="minorHAnsi" w:cstheme="minorHAnsi"/>
          <w:i/>
          <w:iCs/>
          <w:sz w:val="22"/>
          <w:szCs w:val="22"/>
        </w:rPr>
        <w:t>Behaviour Research and Therapy</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46</w:t>
      </w:r>
      <w:r w:rsidRPr="00BC1C17">
        <w:rPr>
          <w:rFonts w:asciiTheme="minorHAnsi" w:hAnsiTheme="minorHAnsi" w:cstheme="minorHAnsi"/>
          <w:sz w:val="22"/>
          <w:szCs w:val="22"/>
        </w:rPr>
        <w:t>(9), 1047–1054. https://doi.org/10.1016/j.brat.2008.06.010</w:t>
      </w:r>
    </w:p>
    <w:p w14:paraId="3E6ED219"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Spitzer, R. L., Kroenke, K., Williams, J. B. W., &amp; Löwe, B. (2006). A Brief Measure for Assessing Generalized Anxiety Disorder. </w:t>
      </w:r>
      <w:r w:rsidRPr="00BC1C17">
        <w:rPr>
          <w:rFonts w:asciiTheme="minorHAnsi" w:hAnsiTheme="minorHAnsi" w:cstheme="minorHAnsi"/>
          <w:i/>
          <w:iCs/>
          <w:sz w:val="22"/>
          <w:szCs w:val="22"/>
        </w:rPr>
        <w:t>Archives of Internal Medicine</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166</w:t>
      </w:r>
      <w:r w:rsidRPr="00BC1C17">
        <w:rPr>
          <w:rFonts w:asciiTheme="minorHAnsi" w:hAnsiTheme="minorHAnsi" w:cstheme="minorHAnsi"/>
          <w:sz w:val="22"/>
          <w:szCs w:val="22"/>
        </w:rPr>
        <w:t>(10), 1092. https://doi.org/10.1001/archinte.166.10.1092</w:t>
      </w:r>
    </w:p>
    <w:p w14:paraId="3C7ECB8B"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Stone, J., Carson, A., Duncan, R., Coleman, R., Roberts, R., Warlow, C., Hibberd, C., Murray, G., Cull, R., Pelosi, A., Cavanagh, J., Matthews, K., Goldbeck, R., Smyth, R., Walker, J., Macmahon, A. D., &amp; Sharpe, M. (2009). Symptoms “unexplained by organic disease” in 1144 new neurology out-patients: how often does the diagnosis change at follow-up?. </w:t>
      </w:r>
      <w:r w:rsidRPr="00BC1C17">
        <w:rPr>
          <w:rFonts w:asciiTheme="minorHAnsi" w:hAnsiTheme="minorHAnsi" w:cstheme="minorHAnsi"/>
          <w:i/>
          <w:iCs/>
          <w:sz w:val="22"/>
          <w:szCs w:val="22"/>
        </w:rPr>
        <w:t>Brain : A Journal of Neurology</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132</w:t>
      </w:r>
      <w:r w:rsidRPr="00BC1C17">
        <w:rPr>
          <w:rFonts w:asciiTheme="minorHAnsi" w:hAnsiTheme="minorHAnsi" w:cstheme="minorHAnsi"/>
          <w:sz w:val="22"/>
          <w:szCs w:val="22"/>
        </w:rPr>
        <w:t>(Pt 10), 2878–2888. https://doi.org/10.1093/brain/awp220</w:t>
      </w:r>
    </w:p>
    <w:p w14:paraId="675371C1"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Suh, H. R., &amp; Lee, B.-K. (2018). Intolerance of Uncertainty, Negative Problem Orientation on Worry. </w:t>
      </w:r>
      <w:r w:rsidRPr="00BC1C17">
        <w:rPr>
          <w:rFonts w:asciiTheme="minorHAnsi" w:hAnsiTheme="minorHAnsi" w:cstheme="minorHAnsi"/>
          <w:i/>
          <w:iCs/>
          <w:sz w:val="22"/>
          <w:szCs w:val="22"/>
        </w:rPr>
        <w:t>Stress</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26</w:t>
      </w:r>
      <w:r w:rsidRPr="00BC1C17">
        <w:rPr>
          <w:rFonts w:asciiTheme="minorHAnsi" w:hAnsiTheme="minorHAnsi" w:cstheme="minorHAnsi"/>
          <w:sz w:val="22"/>
          <w:szCs w:val="22"/>
        </w:rPr>
        <w:t xml:space="preserve">(4), 350–355. </w:t>
      </w:r>
      <w:hyperlink r:id="rId131" w:history="1">
        <w:r w:rsidRPr="00BC1C17">
          <w:rPr>
            <w:rStyle w:val="Hyperlink"/>
            <w:rFonts w:asciiTheme="minorHAnsi" w:hAnsiTheme="minorHAnsi" w:cstheme="minorHAnsi"/>
            <w:sz w:val="22"/>
            <w:szCs w:val="22"/>
          </w:rPr>
          <w:t>https://doi.org/10.17547/kjsr.2018.26.4.350</w:t>
        </w:r>
      </w:hyperlink>
    </w:p>
    <w:p w14:paraId="073FE64A"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Tabachnick, B. G., &amp; Fidell, L. S. (2013). </w:t>
      </w:r>
      <w:r w:rsidRPr="00BC1C17">
        <w:rPr>
          <w:rFonts w:asciiTheme="minorHAnsi" w:hAnsiTheme="minorHAnsi" w:cstheme="minorHAnsi"/>
          <w:i/>
          <w:iCs/>
          <w:sz w:val="22"/>
          <w:szCs w:val="22"/>
        </w:rPr>
        <w:t>Using multivariate statistics</w:t>
      </w:r>
      <w:r w:rsidRPr="00BC1C17">
        <w:rPr>
          <w:rFonts w:asciiTheme="minorHAnsi" w:hAnsiTheme="minorHAnsi" w:cstheme="minorHAnsi"/>
          <w:sz w:val="22"/>
          <w:szCs w:val="22"/>
        </w:rPr>
        <w:t xml:space="preserve"> (6th ed.). Pearson Education Limited.</w:t>
      </w:r>
    </w:p>
    <w:p w14:paraId="39724AF2"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lastRenderedPageBreak/>
        <w:t xml:space="preserve">Taylor, S., Zvolensky, M. J., Cox, B. J., Deacon, B., Heimberg, R. G., Ledley, D. R., Abramowitz, J. S., Holaway, R. M., Sandin, B., Stewart, S. H., Coles, M., Eng, W., Daly, E. S., Arrindell, W. A., Bouvard, M., &amp; Cardenas, S. J. (2007). Robust dimensions of anxiety sensitivity: Development and initial validation of the Anxiety Sensitivity Index-3. </w:t>
      </w:r>
      <w:r w:rsidRPr="00BC1C17">
        <w:rPr>
          <w:rFonts w:asciiTheme="minorHAnsi" w:hAnsiTheme="minorHAnsi" w:cstheme="minorHAnsi"/>
          <w:i/>
          <w:iCs/>
          <w:sz w:val="22"/>
          <w:szCs w:val="22"/>
        </w:rPr>
        <w:t>Psychological Assessment</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19</w:t>
      </w:r>
      <w:r w:rsidRPr="00BC1C17">
        <w:rPr>
          <w:rFonts w:asciiTheme="minorHAnsi" w:hAnsiTheme="minorHAnsi" w:cstheme="minorHAnsi"/>
          <w:sz w:val="22"/>
          <w:szCs w:val="22"/>
        </w:rPr>
        <w:t>(2), 176–188. https://doi.org/10.1037/1040-3590.19.2.176</w:t>
      </w:r>
    </w:p>
    <w:p w14:paraId="70B20A3E"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Thapar, A., Kerr, M., &amp; Harold, G. (2009). Stress, anxiety, depression, and epilepsy: Investigating the relationship between psychological factors and seizures. </w:t>
      </w:r>
      <w:r w:rsidRPr="00BC1C17">
        <w:rPr>
          <w:rFonts w:asciiTheme="minorHAnsi" w:hAnsiTheme="minorHAnsi" w:cstheme="minorHAnsi"/>
          <w:i/>
          <w:iCs/>
          <w:sz w:val="22"/>
          <w:szCs w:val="22"/>
        </w:rPr>
        <w:t>Epilepsy &amp; Behavior</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14</w:t>
      </w:r>
      <w:r w:rsidRPr="00BC1C17">
        <w:rPr>
          <w:rFonts w:asciiTheme="minorHAnsi" w:hAnsiTheme="minorHAnsi" w:cstheme="minorHAnsi"/>
          <w:sz w:val="22"/>
          <w:szCs w:val="22"/>
        </w:rPr>
        <w:t>(1), 134–140. https://doi.org/10.1016/j.yebeh.2008.09.004</w:t>
      </w:r>
    </w:p>
    <w:p w14:paraId="793FCEAD"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Tojek, T. M., Lumley, M., Barkley, G., Mahr, G., &amp; Thomas, A. (2000). Stress and Other Psychosocial Characteristics of Patients With Psychogenic Nonepileptic Seizures. </w:t>
      </w:r>
      <w:r w:rsidRPr="00BC1C17">
        <w:rPr>
          <w:rFonts w:asciiTheme="minorHAnsi" w:hAnsiTheme="minorHAnsi" w:cstheme="minorHAnsi"/>
          <w:i/>
          <w:iCs/>
          <w:sz w:val="22"/>
          <w:szCs w:val="22"/>
        </w:rPr>
        <w:t>Psychosomatics</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41</w:t>
      </w:r>
      <w:r w:rsidRPr="00BC1C17">
        <w:rPr>
          <w:rFonts w:asciiTheme="minorHAnsi" w:hAnsiTheme="minorHAnsi" w:cstheme="minorHAnsi"/>
          <w:sz w:val="22"/>
          <w:szCs w:val="22"/>
        </w:rPr>
        <w:t>(3), 221–226. https://doi.org/10.1176/appi.psy.41.3.221</w:t>
      </w:r>
    </w:p>
    <w:p w14:paraId="1FE8C141"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Tong, X., An, D., McGonigal, A., Park, S.-P., &amp; Zhou, D. (2016). Validation of the Generalized Anxiety Disorder-7 (GAD-7) among Chinese people with epilepsy. </w:t>
      </w:r>
      <w:r w:rsidRPr="00BC1C17">
        <w:rPr>
          <w:rFonts w:asciiTheme="minorHAnsi" w:hAnsiTheme="minorHAnsi" w:cstheme="minorHAnsi"/>
          <w:i/>
          <w:iCs/>
          <w:sz w:val="22"/>
          <w:szCs w:val="22"/>
        </w:rPr>
        <w:t>Epilepsy Research</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120</w:t>
      </w:r>
      <w:r w:rsidRPr="00BC1C17">
        <w:rPr>
          <w:rFonts w:asciiTheme="minorHAnsi" w:hAnsiTheme="minorHAnsi" w:cstheme="minorHAnsi"/>
          <w:sz w:val="22"/>
          <w:szCs w:val="22"/>
        </w:rPr>
        <w:t xml:space="preserve">, 31–36. </w:t>
      </w:r>
      <w:hyperlink r:id="rId132" w:history="1">
        <w:r w:rsidRPr="00BC1C17">
          <w:rPr>
            <w:rStyle w:val="Hyperlink"/>
            <w:rFonts w:asciiTheme="minorHAnsi" w:hAnsiTheme="minorHAnsi" w:cstheme="minorHAnsi"/>
            <w:sz w:val="22"/>
            <w:szCs w:val="22"/>
          </w:rPr>
          <w:t>https://doi.org/10.1016/j.eplepsyres.2015.11.019</w:t>
        </w:r>
      </w:hyperlink>
    </w:p>
    <w:p w14:paraId="3F4A9E93" w14:textId="77777777" w:rsidR="00023489" w:rsidRPr="00BC1C17" w:rsidRDefault="00023489" w:rsidP="00A53770">
      <w:pPr>
        <w:pStyle w:val="NormalWeb"/>
        <w:spacing w:before="0" w:beforeAutospacing="0" w:after="0" w:afterAutospacing="0" w:line="360" w:lineRule="auto"/>
        <w:ind w:left="720" w:firstLine="720"/>
        <w:jc w:val="both"/>
        <w:rPr>
          <w:rStyle w:val="Hyperlink"/>
          <w:rFonts w:asciiTheme="minorHAnsi" w:hAnsiTheme="minorHAnsi" w:cstheme="minorHAnsi"/>
          <w:sz w:val="22"/>
          <w:szCs w:val="22"/>
        </w:rPr>
      </w:pPr>
      <w:r w:rsidRPr="00BC1C17">
        <w:rPr>
          <w:rFonts w:asciiTheme="minorHAnsi" w:hAnsiTheme="minorHAnsi" w:cstheme="minorHAnsi"/>
          <w:sz w:val="22"/>
          <w:szCs w:val="22"/>
        </w:rPr>
        <w:t xml:space="preserve">Tremont, G., Smith, M. M., Bauer, L., Alosco, M. L., Davis, J. D., Blum, A. S., &amp; LaFrance, W. C. (2012). Comparison of Personality Characteristics on the Bear-Fedio Inventory Between Patients With Epilepsy and Those With Non-Epileptic Seizures. </w:t>
      </w:r>
      <w:r w:rsidRPr="00BC1C17">
        <w:rPr>
          <w:rFonts w:asciiTheme="minorHAnsi" w:hAnsiTheme="minorHAnsi" w:cstheme="minorHAnsi"/>
          <w:i/>
          <w:iCs/>
          <w:sz w:val="22"/>
          <w:szCs w:val="22"/>
        </w:rPr>
        <w:t>The Journal of Neuropsychiatry and Clinical Neurosciences</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24</w:t>
      </w:r>
      <w:r w:rsidRPr="00BC1C17">
        <w:rPr>
          <w:rFonts w:asciiTheme="minorHAnsi" w:hAnsiTheme="minorHAnsi" w:cstheme="minorHAnsi"/>
          <w:sz w:val="22"/>
          <w:szCs w:val="22"/>
        </w:rPr>
        <w:t xml:space="preserve">(1), 47–52. </w:t>
      </w:r>
      <w:hyperlink r:id="rId133" w:history="1">
        <w:r w:rsidRPr="00BC1C17">
          <w:rPr>
            <w:rStyle w:val="Hyperlink"/>
            <w:rFonts w:asciiTheme="minorHAnsi" w:hAnsiTheme="minorHAnsi" w:cstheme="minorHAnsi"/>
            <w:sz w:val="22"/>
            <w:szCs w:val="22"/>
          </w:rPr>
          <w:t>https://doi.org/10.1176/appi.neuropsych.11020039</w:t>
        </w:r>
      </w:hyperlink>
    </w:p>
    <w:p w14:paraId="2CB23D94"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Ulate-Campos, A., Coughlin, F., Gaínza-Lein, M., Fernández, I. S., Pearl, P. L., &amp; Loddenkemper, T. (2016). Automated seizure detection systems and their effectiveness for each type of seizure. </w:t>
      </w:r>
      <w:r w:rsidRPr="00BC1C17">
        <w:rPr>
          <w:rFonts w:asciiTheme="minorHAnsi" w:hAnsiTheme="minorHAnsi" w:cstheme="minorHAnsi"/>
          <w:i/>
          <w:iCs/>
          <w:sz w:val="22"/>
          <w:szCs w:val="22"/>
        </w:rPr>
        <w:t>Seizure</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40</w:t>
      </w:r>
      <w:r w:rsidRPr="00BC1C17">
        <w:rPr>
          <w:rFonts w:asciiTheme="minorHAnsi" w:hAnsiTheme="minorHAnsi" w:cstheme="minorHAnsi"/>
          <w:sz w:val="22"/>
          <w:szCs w:val="22"/>
        </w:rPr>
        <w:t>, 88–101. https://doi.org/10.1016/j.seizure.2016.06.008</w:t>
      </w:r>
    </w:p>
    <w:p w14:paraId="4CF117E1"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Uliaszek, A. A., Prensky, E., &amp; Baslet, G. (2012). Emotion regulation profiles in psychogenic non-epileptic seizures. </w:t>
      </w:r>
      <w:r w:rsidRPr="00BC1C17">
        <w:rPr>
          <w:rFonts w:asciiTheme="minorHAnsi" w:hAnsiTheme="minorHAnsi" w:cstheme="minorHAnsi"/>
          <w:i/>
          <w:iCs/>
          <w:sz w:val="22"/>
          <w:szCs w:val="22"/>
        </w:rPr>
        <w:t>Epilepsy &amp; Behavior</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23</w:t>
      </w:r>
      <w:r w:rsidRPr="00BC1C17">
        <w:rPr>
          <w:rFonts w:asciiTheme="minorHAnsi" w:hAnsiTheme="minorHAnsi" w:cstheme="minorHAnsi"/>
          <w:sz w:val="22"/>
          <w:szCs w:val="22"/>
        </w:rPr>
        <w:t>(3), 364–369. https://doi.org/10.1016/j.yebeh.2012.01.009</w:t>
      </w:r>
    </w:p>
    <w:p w14:paraId="582DE6A8"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Urbanek, M., Harvey, M., McGowan, J., &amp; Agrawal, N. (2014). Regulation of emotions in psychogenic nonepileptic seizures. </w:t>
      </w:r>
      <w:r w:rsidRPr="00BC1C17">
        <w:rPr>
          <w:rFonts w:asciiTheme="minorHAnsi" w:hAnsiTheme="minorHAnsi" w:cstheme="minorHAnsi"/>
          <w:i/>
          <w:iCs/>
          <w:sz w:val="22"/>
          <w:szCs w:val="22"/>
        </w:rPr>
        <w:t>Epilepsy &amp; Behavior</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37</w:t>
      </w:r>
      <w:r w:rsidRPr="00BC1C17">
        <w:rPr>
          <w:rFonts w:asciiTheme="minorHAnsi" w:hAnsiTheme="minorHAnsi" w:cstheme="minorHAnsi"/>
          <w:sz w:val="22"/>
          <w:szCs w:val="22"/>
        </w:rPr>
        <w:t>, 110–115. https://doi.org/10.1016/j.yebeh.2014.06.004</w:t>
      </w:r>
    </w:p>
    <w:p w14:paraId="73F6A5A7"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van der Heiden, C., Muris, P., &amp; van der Molen, H. T. (2012). Randomized controlled trial on the effectiveness of metacognitive therapy and intolerance-of-uncertainty therapy for generalized anxiety disorder. </w:t>
      </w:r>
      <w:r w:rsidRPr="00BC1C17">
        <w:rPr>
          <w:rFonts w:asciiTheme="minorHAnsi" w:hAnsiTheme="minorHAnsi" w:cstheme="minorHAnsi"/>
          <w:i/>
          <w:iCs/>
          <w:sz w:val="22"/>
          <w:szCs w:val="22"/>
        </w:rPr>
        <w:t>Behaviour Research and Therapy</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50</w:t>
      </w:r>
      <w:r w:rsidRPr="00BC1C17">
        <w:rPr>
          <w:rFonts w:asciiTheme="minorHAnsi" w:hAnsiTheme="minorHAnsi" w:cstheme="minorHAnsi"/>
          <w:sz w:val="22"/>
          <w:szCs w:val="22"/>
        </w:rPr>
        <w:t xml:space="preserve">(2), 100–109. </w:t>
      </w:r>
      <w:hyperlink r:id="rId134" w:history="1">
        <w:r w:rsidRPr="00BC1C17">
          <w:rPr>
            <w:rStyle w:val="Hyperlink"/>
            <w:rFonts w:asciiTheme="minorHAnsi" w:hAnsiTheme="minorHAnsi" w:cstheme="minorHAnsi"/>
            <w:sz w:val="22"/>
            <w:szCs w:val="22"/>
          </w:rPr>
          <w:t>https://doi.org/10.1016/j.brat.2011.12.005</w:t>
        </w:r>
      </w:hyperlink>
    </w:p>
    <w:p w14:paraId="583DE3B7" w14:textId="77777777" w:rsidR="009C3C86"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Vilyte, G., &amp; Pretorius, C. (2019). Personality traits, illness behaviors, and psychiatric comorbidity in individuals with psychogenic nonepileptic seizures (PNES), epilepsy, and other </w:t>
      </w:r>
      <w:r w:rsidRPr="00BC1C17">
        <w:rPr>
          <w:rFonts w:asciiTheme="minorHAnsi" w:hAnsiTheme="minorHAnsi" w:cstheme="minorHAnsi"/>
          <w:sz w:val="22"/>
          <w:szCs w:val="22"/>
        </w:rPr>
        <w:lastRenderedPageBreak/>
        <w:t xml:space="preserve">nonepileptic seizures (oNES): Differentiating between the conditions. </w:t>
      </w:r>
      <w:r w:rsidRPr="00BC1C17">
        <w:rPr>
          <w:rFonts w:asciiTheme="minorHAnsi" w:hAnsiTheme="minorHAnsi" w:cstheme="minorHAnsi"/>
          <w:i/>
          <w:iCs/>
          <w:sz w:val="22"/>
          <w:szCs w:val="22"/>
        </w:rPr>
        <w:t>Epilepsy &amp; Behavior</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98</w:t>
      </w:r>
      <w:r w:rsidRPr="00BC1C17">
        <w:rPr>
          <w:rFonts w:asciiTheme="minorHAnsi" w:hAnsiTheme="minorHAnsi" w:cstheme="minorHAnsi"/>
          <w:sz w:val="22"/>
          <w:szCs w:val="22"/>
        </w:rPr>
        <w:t xml:space="preserve">, 210–219. </w:t>
      </w:r>
      <w:hyperlink r:id="rId135" w:history="1">
        <w:r w:rsidR="009C3C86" w:rsidRPr="00BC1C17">
          <w:rPr>
            <w:rStyle w:val="Hyperlink"/>
            <w:rFonts w:asciiTheme="minorHAnsi" w:hAnsiTheme="minorHAnsi" w:cstheme="minorHAnsi"/>
            <w:sz w:val="22"/>
            <w:szCs w:val="22"/>
          </w:rPr>
          <w:t>https://doi.org/10.1016/j.yebeh.2019.05.043</w:t>
        </w:r>
      </w:hyperlink>
    </w:p>
    <w:p w14:paraId="5955BA9F"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Whitfield, A., Walsh, S., Levita, L., &amp; Reuber, M. (2020). Catastrophising and repetitive negative thinking tendencies in patients with psychogenic non-epileptic seizures or epilepsy. </w:t>
      </w:r>
      <w:r w:rsidRPr="00BC1C17">
        <w:rPr>
          <w:rFonts w:asciiTheme="minorHAnsi" w:hAnsiTheme="minorHAnsi" w:cstheme="minorHAnsi"/>
          <w:i/>
          <w:iCs/>
          <w:sz w:val="22"/>
          <w:szCs w:val="22"/>
        </w:rPr>
        <w:t>Seizure</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83</w:t>
      </w:r>
      <w:r w:rsidRPr="00BC1C17">
        <w:rPr>
          <w:rFonts w:asciiTheme="minorHAnsi" w:hAnsiTheme="minorHAnsi" w:cstheme="minorHAnsi"/>
          <w:sz w:val="22"/>
          <w:szCs w:val="22"/>
        </w:rPr>
        <w:t>, 57–62. https://doi.org/10.1016/j.seizure.2020.09.034</w:t>
      </w:r>
    </w:p>
    <w:p w14:paraId="48E5491E"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Williams, V., Olaluwoye, O., Dunlop, A., &amp; Faruqui, R. (2022). Physical Health and Mental Health Comorbidities of People With Functional Neurological Disorders Referred to a Community Neuropsychiatry Service Pre-&amp; Post March 2020 Lockdown Due to COVID-19. </w:t>
      </w:r>
      <w:r w:rsidRPr="00BC1C17">
        <w:rPr>
          <w:rFonts w:asciiTheme="minorHAnsi" w:hAnsiTheme="minorHAnsi" w:cstheme="minorHAnsi"/>
          <w:i/>
          <w:iCs/>
          <w:sz w:val="22"/>
          <w:szCs w:val="22"/>
        </w:rPr>
        <w:t>BJPsych Open</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8</w:t>
      </w:r>
      <w:r w:rsidRPr="00BC1C17">
        <w:rPr>
          <w:rFonts w:asciiTheme="minorHAnsi" w:hAnsiTheme="minorHAnsi" w:cstheme="minorHAnsi"/>
          <w:sz w:val="22"/>
          <w:szCs w:val="22"/>
        </w:rPr>
        <w:t>(S1), S147–S147. https://doi.org/10.1192/bjo.2022.421</w:t>
      </w:r>
    </w:p>
    <w:p w14:paraId="1F32D832"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Wilson, E. J., Stapinski, L., Dueber, D. M., Rapee, R. M., Burton, A. L., &amp; Abbott, M. J. (2020). Psychometric properties of the Intolerance of Uncertainty Scale-12 in generalized anxiety disorder: Assessment of factor structure, measurement properties and clinical utility. </w:t>
      </w:r>
      <w:r w:rsidRPr="00BC1C17">
        <w:rPr>
          <w:rFonts w:asciiTheme="minorHAnsi" w:hAnsiTheme="minorHAnsi" w:cstheme="minorHAnsi"/>
          <w:i/>
          <w:iCs/>
          <w:sz w:val="22"/>
          <w:szCs w:val="22"/>
        </w:rPr>
        <w:t>Journal of Anxiety Disorders</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76</w:t>
      </w:r>
      <w:r w:rsidRPr="00BC1C17">
        <w:rPr>
          <w:rFonts w:asciiTheme="minorHAnsi" w:hAnsiTheme="minorHAnsi" w:cstheme="minorHAnsi"/>
          <w:sz w:val="22"/>
          <w:szCs w:val="22"/>
        </w:rPr>
        <w:t>(1), 102309. https://doi.org/10.1016/j.janxdis.2020.102309</w:t>
      </w:r>
    </w:p>
    <w:p w14:paraId="7C9CB6E6"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Wolf, L. D., Hentz, J. G., Ziemba, K. S., Kirlin, K. A., Noe, K. H., Hoerth, M. T., Crepeau, A. Z., Sirven, J. I., Drazkowski, J. F., &amp; Locke, D. E. C. (2015). Quality of life in psychogenic nonepileptic seizures and epilepsy: The role of somatization and alexithymia. </w:t>
      </w:r>
      <w:r w:rsidRPr="00BC1C17">
        <w:rPr>
          <w:rFonts w:asciiTheme="minorHAnsi" w:hAnsiTheme="minorHAnsi" w:cstheme="minorHAnsi"/>
          <w:i/>
          <w:iCs/>
          <w:sz w:val="22"/>
          <w:szCs w:val="22"/>
        </w:rPr>
        <w:t>Epilepsy &amp; Behavior</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43</w:t>
      </w:r>
      <w:r w:rsidRPr="00BC1C17">
        <w:rPr>
          <w:rFonts w:asciiTheme="minorHAnsi" w:hAnsiTheme="minorHAnsi" w:cstheme="minorHAnsi"/>
          <w:sz w:val="22"/>
          <w:szCs w:val="22"/>
        </w:rPr>
        <w:t>, 81–88. https://doi.org/10.1016/j.yebeh.2014.12.010</w:t>
      </w:r>
    </w:p>
    <w:p w14:paraId="2321935D"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Wood, R. Ll., Maclean, L., &amp; Pallister, I. (2011). Psychological factors contributing to perceptions pain intensity after acute orthopaedic injury. </w:t>
      </w:r>
      <w:r w:rsidRPr="00BC1C17">
        <w:rPr>
          <w:rFonts w:asciiTheme="minorHAnsi" w:hAnsiTheme="minorHAnsi" w:cstheme="minorHAnsi"/>
          <w:i/>
          <w:iCs/>
          <w:sz w:val="22"/>
          <w:szCs w:val="22"/>
        </w:rPr>
        <w:t>Injury</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42</w:t>
      </w:r>
      <w:r w:rsidRPr="00BC1C17">
        <w:rPr>
          <w:rFonts w:asciiTheme="minorHAnsi" w:hAnsiTheme="minorHAnsi" w:cstheme="minorHAnsi"/>
          <w:sz w:val="22"/>
          <w:szCs w:val="22"/>
        </w:rPr>
        <w:t xml:space="preserve">(11), 1214–1218. </w:t>
      </w:r>
      <w:hyperlink r:id="rId136" w:history="1">
        <w:r w:rsidRPr="00BC1C17">
          <w:rPr>
            <w:rStyle w:val="Hyperlink"/>
            <w:rFonts w:asciiTheme="minorHAnsi" w:hAnsiTheme="minorHAnsi" w:cstheme="minorHAnsi"/>
            <w:sz w:val="22"/>
            <w:szCs w:val="22"/>
          </w:rPr>
          <w:t>https://doi.org/10.1016/j.injury.2010.07.245</w:t>
        </w:r>
      </w:hyperlink>
    </w:p>
    <w:p w14:paraId="5A1F095C" w14:textId="77777777" w:rsidR="00023489" w:rsidRPr="00BC1C17" w:rsidRDefault="00023489"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BC1C17">
        <w:rPr>
          <w:rFonts w:asciiTheme="minorHAnsi" w:hAnsiTheme="minorHAnsi" w:cstheme="minorHAnsi"/>
          <w:sz w:val="22"/>
          <w:szCs w:val="22"/>
        </w:rPr>
        <w:t xml:space="preserve">Zvolensky, M. J., Shepherd, J. M., Clausen, B. K., Kauffman, B. Y., Heggeness, L., &amp; Garey, L. (2022). Anxiety Sensitivity Among Non-Hispanic Black Adults: Relations to Mental Health and Psychosomatic States. </w:t>
      </w:r>
      <w:r w:rsidRPr="00BC1C17">
        <w:rPr>
          <w:rFonts w:asciiTheme="minorHAnsi" w:hAnsiTheme="minorHAnsi" w:cstheme="minorHAnsi"/>
          <w:i/>
          <w:iCs/>
          <w:sz w:val="22"/>
          <w:szCs w:val="22"/>
        </w:rPr>
        <w:t>Journal of Racial and Ethnic Health Disparities</w:t>
      </w:r>
      <w:r w:rsidRPr="00BC1C17">
        <w:rPr>
          <w:rFonts w:asciiTheme="minorHAnsi" w:hAnsiTheme="minorHAnsi" w:cstheme="minorHAnsi"/>
          <w:sz w:val="22"/>
          <w:szCs w:val="22"/>
        </w:rPr>
        <w:t xml:space="preserve">, </w:t>
      </w:r>
      <w:r w:rsidRPr="00BC1C17">
        <w:rPr>
          <w:rFonts w:asciiTheme="minorHAnsi" w:hAnsiTheme="minorHAnsi" w:cstheme="minorHAnsi"/>
          <w:i/>
          <w:iCs/>
          <w:sz w:val="22"/>
          <w:szCs w:val="22"/>
        </w:rPr>
        <w:t>10</w:t>
      </w:r>
      <w:r w:rsidRPr="00BC1C17">
        <w:rPr>
          <w:rFonts w:asciiTheme="minorHAnsi" w:hAnsiTheme="minorHAnsi" w:cstheme="minorHAnsi"/>
          <w:sz w:val="22"/>
          <w:szCs w:val="22"/>
        </w:rPr>
        <w:t>(1). https://doi.org/10.1007/s40615-022-01263-0</w:t>
      </w:r>
    </w:p>
    <w:p w14:paraId="73B6FF90" w14:textId="77777777" w:rsidR="00023489" w:rsidRDefault="00023489" w:rsidP="00436994">
      <w:pPr>
        <w:spacing w:line="360" w:lineRule="auto"/>
        <w:ind w:firstLine="720"/>
        <w:rPr>
          <w:rFonts w:ascii="Arial" w:hAnsi="Arial" w:cs="Arial"/>
          <w:sz w:val="24"/>
          <w:szCs w:val="24"/>
        </w:rPr>
      </w:pPr>
    </w:p>
    <w:p w14:paraId="4E771BCA" w14:textId="77777777" w:rsidR="009C3C86" w:rsidRDefault="009C3C86" w:rsidP="001435E1">
      <w:pPr>
        <w:rPr>
          <w:rFonts w:ascii="Arial" w:hAnsi="Arial" w:cs="Arial"/>
          <w:sz w:val="24"/>
          <w:szCs w:val="24"/>
        </w:rPr>
      </w:pPr>
    </w:p>
    <w:p w14:paraId="4A72048D" w14:textId="77777777" w:rsidR="009C3C86" w:rsidRDefault="009C3C86" w:rsidP="001435E1">
      <w:pPr>
        <w:rPr>
          <w:rFonts w:ascii="Arial" w:hAnsi="Arial" w:cs="Arial"/>
          <w:sz w:val="24"/>
          <w:szCs w:val="24"/>
        </w:rPr>
      </w:pPr>
    </w:p>
    <w:p w14:paraId="13256BD8" w14:textId="77777777" w:rsidR="009C3C86" w:rsidRDefault="009C3C86" w:rsidP="001435E1">
      <w:pPr>
        <w:rPr>
          <w:rFonts w:ascii="Arial" w:hAnsi="Arial" w:cs="Arial"/>
          <w:sz w:val="24"/>
          <w:szCs w:val="24"/>
        </w:rPr>
      </w:pPr>
    </w:p>
    <w:p w14:paraId="1DA6F00C" w14:textId="77777777" w:rsidR="009C3C86" w:rsidRDefault="009C3C86" w:rsidP="001435E1">
      <w:pPr>
        <w:rPr>
          <w:rFonts w:ascii="Arial" w:hAnsi="Arial" w:cs="Arial"/>
          <w:sz w:val="24"/>
          <w:szCs w:val="24"/>
        </w:rPr>
      </w:pPr>
    </w:p>
    <w:p w14:paraId="2853C724" w14:textId="77777777" w:rsidR="009C3C86" w:rsidRDefault="009C3C86" w:rsidP="001435E1">
      <w:pPr>
        <w:rPr>
          <w:rFonts w:ascii="Arial" w:hAnsi="Arial" w:cs="Arial"/>
          <w:sz w:val="24"/>
          <w:szCs w:val="24"/>
        </w:rPr>
      </w:pPr>
    </w:p>
    <w:p w14:paraId="310B6E32" w14:textId="77777777" w:rsidR="009C3C86" w:rsidRDefault="009C3C86" w:rsidP="001435E1">
      <w:pPr>
        <w:rPr>
          <w:rFonts w:ascii="Arial" w:hAnsi="Arial" w:cs="Arial"/>
          <w:sz w:val="24"/>
          <w:szCs w:val="24"/>
        </w:rPr>
      </w:pPr>
    </w:p>
    <w:p w14:paraId="1E8F3DE5" w14:textId="77777777" w:rsidR="009C3C86" w:rsidRDefault="009C3C86" w:rsidP="001435E1">
      <w:pPr>
        <w:rPr>
          <w:rFonts w:ascii="Arial" w:hAnsi="Arial" w:cs="Arial"/>
          <w:sz w:val="24"/>
          <w:szCs w:val="24"/>
        </w:rPr>
      </w:pPr>
    </w:p>
    <w:p w14:paraId="6A55DD2C" w14:textId="41A6070C" w:rsidR="00A53770" w:rsidRDefault="00A53770">
      <w:pPr>
        <w:rPr>
          <w:rFonts w:eastAsiaTheme="majorEastAsia" w:cstheme="minorHAnsi"/>
          <w:b/>
        </w:rPr>
      </w:pPr>
    </w:p>
    <w:p w14:paraId="0E3E1B40" w14:textId="77777777" w:rsidR="00A53770" w:rsidRDefault="009C3C86" w:rsidP="00027769">
      <w:pPr>
        <w:pStyle w:val="Heading1"/>
      </w:pPr>
      <w:bookmarkStart w:id="170" w:name="_Toc133487845"/>
      <w:r w:rsidRPr="002C5701">
        <w:lastRenderedPageBreak/>
        <w:t>Appendix A</w:t>
      </w:r>
      <w:bookmarkStart w:id="171" w:name="_Toc133144203"/>
      <w:bookmarkEnd w:id="170"/>
    </w:p>
    <w:p w14:paraId="39A88AFA" w14:textId="47F835CC" w:rsidR="009C3C86" w:rsidRPr="00A53770" w:rsidRDefault="00747028" w:rsidP="00A53770">
      <w:pPr>
        <w:rPr>
          <w:b/>
        </w:rPr>
      </w:pPr>
      <w:r w:rsidRPr="00A53770">
        <w:rPr>
          <w:b/>
        </w:rPr>
        <w:t xml:space="preserve"> </w:t>
      </w:r>
      <w:r w:rsidR="009C3C86" w:rsidRPr="00A53770">
        <w:rPr>
          <w:b/>
        </w:rPr>
        <w:t>Journal Guidelines</w:t>
      </w:r>
      <w:bookmarkEnd w:id="171"/>
    </w:p>
    <w:p w14:paraId="1DE8418C" w14:textId="2C6DFE1D" w:rsidR="009C3C86" w:rsidRDefault="009C3C86" w:rsidP="00A53770">
      <w:pPr>
        <w:spacing w:line="360" w:lineRule="auto"/>
      </w:pPr>
    </w:p>
    <w:p w14:paraId="72274B08" w14:textId="77777777" w:rsidR="009C3C86" w:rsidRDefault="009C3C86" w:rsidP="00436994">
      <w:pPr>
        <w:spacing w:line="360" w:lineRule="auto"/>
        <w:ind w:firstLine="720"/>
      </w:pPr>
      <w:r>
        <w:t xml:space="preserve">To meet examination requirements, the final paper will be adapted to meet journal guidelines following submission. Please refer to the Seizure – European Journal of Epilepsy webpage for the complete author submission guidelines: </w:t>
      </w:r>
    </w:p>
    <w:p w14:paraId="6876746E" w14:textId="77777777" w:rsidR="009C3C86" w:rsidRDefault="00000000" w:rsidP="00436994">
      <w:pPr>
        <w:spacing w:line="360" w:lineRule="auto"/>
        <w:ind w:firstLine="720"/>
      </w:pPr>
      <w:hyperlink r:id="rId137" w:history="1">
        <w:r w:rsidR="009C3C86" w:rsidRPr="00E01ECF">
          <w:rPr>
            <w:rStyle w:val="Hyperlink"/>
          </w:rPr>
          <w:t>https://www.elsevier.com/journals/seizure-european-journal-of-epilepsy/1059-1311/guide-for-authors</w:t>
        </w:r>
      </w:hyperlink>
    </w:p>
    <w:p w14:paraId="235D89FD" w14:textId="77777777" w:rsidR="009C3C86" w:rsidRDefault="009C3C86" w:rsidP="00436994">
      <w:pPr>
        <w:spacing w:line="360" w:lineRule="auto"/>
        <w:ind w:firstLine="720"/>
      </w:pPr>
      <w:r>
        <w:t>“References</w:t>
      </w:r>
    </w:p>
    <w:p w14:paraId="56836336" w14:textId="77777777" w:rsidR="009C3C86" w:rsidRDefault="009C3C86" w:rsidP="00436994">
      <w:pPr>
        <w:spacing w:line="360" w:lineRule="auto"/>
        <w:ind w:firstLine="720"/>
      </w:pPr>
      <w:r>
        <w:t>There are no strict requirements on reference formatting at submission. References can be in any style or format as long as the style is consistent. Where applicable, author(s) name(s), journal title/book title, chapter title/article title, year of publication, volume number/book chapter and the article number or pagination must be present. Use of DOI is highly encouraged. The reference style used by the journal will be applied to the accepted article by Elsevier at the proof stage. Note that missing data will be highlighted at proof stage for the author to correct.</w:t>
      </w:r>
    </w:p>
    <w:p w14:paraId="0981E038" w14:textId="77777777" w:rsidR="009C3C86" w:rsidRDefault="009C3C86" w:rsidP="00436994">
      <w:pPr>
        <w:spacing w:line="360" w:lineRule="auto"/>
        <w:ind w:firstLine="720"/>
      </w:pPr>
    </w:p>
    <w:p w14:paraId="56837067" w14:textId="77777777" w:rsidR="009C3C86" w:rsidRDefault="009C3C86" w:rsidP="00436994">
      <w:pPr>
        <w:spacing w:line="360" w:lineRule="auto"/>
        <w:ind w:firstLine="720"/>
      </w:pPr>
      <w:r>
        <w:t>Formatting requirements</w:t>
      </w:r>
    </w:p>
    <w:p w14:paraId="0B7BF1C5" w14:textId="77777777" w:rsidR="009C3C86" w:rsidRDefault="009C3C86" w:rsidP="00436994">
      <w:pPr>
        <w:spacing w:line="360" w:lineRule="auto"/>
        <w:ind w:firstLine="720"/>
      </w:pPr>
      <w:r>
        <w:t>There are no strict formatting requirements but all manuscripts must contain the essential elements needed to convey your manuscript, for example Abstract, Keywords, Introduction, Materials and Methods, Results, Conclusions, Artwork and Tables with Captions.</w:t>
      </w:r>
    </w:p>
    <w:p w14:paraId="2CF6B795" w14:textId="77777777" w:rsidR="009C3C86" w:rsidRDefault="009C3C86" w:rsidP="00436994">
      <w:pPr>
        <w:spacing w:line="360" w:lineRule="auto"/>
        <w:ind w:firstLine="720"/>
      </w:pPr>
      <w:r>
        <w:t>If your article includes any Videos and/or other Supplementary material, this should be included in your initial submission for peer review purposes.</w:t>
      </w:r>
    </w:p>
    <w:p w14:paraId="0FED9EA2" w14:textId="77777777" w:rsidR="009C3C86" w:rsidRDefault="009C3C86" w:rsidP="00436994">
      <w:pPr>
        <w:spacing w:line="360" w:lineRule="auto"/>
        <w:ind w:firstLine="720"/>
      </w:pPr>
      <w:r>
        <w:t>Divide the article into clearly defined sections.</w:t>
      </w:r>
      <w:r w:rsidR="00A379D0">
        <w:t>”</w:t>
      </w:r>
    </w:p>
    <w:p w14:paraId="29EB559D" w14:textId="77777777" w:rsidR="00747028" w:rsidRDefault="00747028" w:rsidP="00436994">
      <w:pPr>
        <w:spacing w:line="360" w:lineRule="auto"/>
        <w:ind w:firstLine="720"/>
      </w:pPr>
    </w:p>
    <w:p w14:paraId="44403AAE" w14:textId="77777777" w:rsidR="00747028" w:rsidRDefault="00747028" w:rsidP="00436994">
      <w:pPr>
        <w:spacing w:line="360" w:lineRule="auto"/>
        <w:ind w:firstLine="720"/>
      </w:pPr>
    </w:p>
    <w:p w14:paraId="6F180C76" w14:textId="77777777" w:rsidR="00747028" w:rsidRDefault="00747028" w:rsidP="00436994">
      <w:pPr>
        <w:spacing w:line="360" w:lineRule="auto"/>
        <w:ind w:firstLine="720"/>
      </w:pPr>
    </w:p>
    <w:p w14:paraId="08A2F040" w14:textId="77777777" w:rsidR="00747028" w:rsidRDefault="00747028" w:rsidP="00436994">
      <w:pPr>
        <w:spacing w:line="360" w:lineRule="auto"/>
        <w:ind w:firstLine="720"/>
      </w:pPr>
    </w:p>
    <w:p w14:paraId="2B765258" w14:textId="77777777" w:rsidR="00A53770" w:rsidRDefault="00A53770">
      <w:pPr>
        <w:rPr>
          <w:rFonts w:eastAsiaTheme="majorEastAsia" w:cstheme="minorHAnsi"/>
          <w:b/>
        </w:rPr>
      </w:pPr>
      <w:r>
        <w:br w:type="page"/>
      </w:r>
    </w:p>
    <w:p w14:paraId="296D50EC" w14:textId="77777777" w:rsidR="00A53770" w:rsidRDefault="009C3C86" w:rsidP="00027769">
      <w:pPr>
        <w:pStyle w:val="Heading1"/>
      </w:pPr>
      <w:bookmarkStart w:id="172" w:name="_Toc133487846"/>
      <w:r>
        <w:rPr>
          <w:noProof/>
          <w:lang w:eastAsia="en-GB"/>
        </w:rPr>
        <w:lastRenderedPageBreak/>
        <w:drawing>
          <wp:anchor distT="0" distB="0" distL="114300" distR="114300" simplePos="0" relativeHeight="251685888" behindDoc="0" locked="0" layoutInCell="1" allowOverlap="1" wp14:anchorId="6D4C09B9" wp14:editId="0A4A1BBE">
            <wp:simplePos x="0" y="0"/>
            <wp:positionH relativeFrom="column">
              <wp:posOffset>-590843</wp:posOffset>
            </wp:positionH>
            <wp:positionV relativeFrom="paragraph">
              <wp:posOffset>-676568</wp:posOffset>
            </wp:positionV>
            <wp:extent cx="1053465" cy="1104900"/>
            <wp:effectExtent l="0" t="0" r="0" b="0"/>
            <wp:wrapNone/>
            <wp:docPr id="165" name="Pictu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38"/>
                    <a:stretch>
                      <a:fillRect/>
                    </a:stretch>
                  </pic:blipFill>
                  <pic:spPr>
                    <a:xfrm>
                      <a:off x="0" y="0"/>
                      <a:ext cx="1053465" cy="1104900"/>
                    </a:xfrm>
                    <a:prstGeom prst="rect">
                      <a:avLst/>
                    </a:prstGeom>
                  </pic:spPr>
                </pic:pic>
              </a:graphicData>
            </a:graphic>
          </wp:anchor>
        </w:drawing>
      </w:r>
      <w:r w:rsidRPr="002C5701">
        <w:t>Appendix B</w:t>
      </w:r>
      <w:bookmarkStart w:id="173" w:name="_Toc133144205"/>
      <w:bookmarkEnd w:id="172"/>
    </w:p>
    <w:p w14:paraId="62FD5305" w14:textId="39ED1006" w:rsidR="009C3C86" w:rsidRPr="00A53770" w:rsidRDefault="009C3C86" w:rsidP="00A53770">
      <w:pPr>
        <w:rPr>
          <w:b/>
        </w:rPr>
      </w:pPr>
      <w:r w:rsidRPr="00A53770">
        <w:rPr>
          <w:b/>
        </w:rPr>
        <w:t xml:space="preserve">Ethical </w:t>
      </w:r>
      <w:r w:rsidR="00FA1AA6">
        <w:rPr>
          <w:b/>
        </w:rPr>
        <w:tab/>
      </w:r>
      <w:r w:rsidR="00FA1AA6">
        <w:rPr>
          <w:b/>
        </w:rPr>
        <w:tab/>
      </w:r>
      <w:r w:rsidR="00FA1AA6">
        <w:rPr>
          <w:b/>
        </w:rPr>
        <w:tab/>
      </w:r>
      <w:r w:rsidR="00FA1AA6">
        <w:rPr>
          <w:b/>
        </w:rPr>
        <w:tab/>
      </w:r>
      <w:r w:rsidRPr="00A53770">
        <w:rPr>
          <w:b/>
        </w:rPr>
        <w:t>Approval from Staffordshire University</w:t>
      </w:r>
      <w:bookmarkEnd w:id="173"/>
    </w:p>
    <w:p w14:paraId="2B66C441" w14:textId="77777777" w:rsidR="009C3C86" w:rsidRDefault="009C3C86" w:rsidP="009C3C86">
      <w:pPr>
        <w:spacing w:after="79" w:line="256" w:lineRule="auto"/>
        <w:rPr>
          <w:b/>
        </w:rPr>
      </w:pPr>
    </w:p>
    <w:p w14:paraId="2083B87F" w14:textId="77777777" w:rsidR="009C3C86" w:rsidRDefault="009C3C86" w:rsidP="009C3C86">
      <w:pPr>
        <w:spacing w:after="14"/>
      </w:pPr>
    </w:p>
    <w:tbl>
      <w:tblPr>
        <w:tblStyle w:val="TableGrid0"/>
        <w:tblW w:w="9034" w:type="dxa"/>
        <w:tblInd w:w="-108" w:type="dxa"/>
        <w:tblCellMar>
          <w:top w:w="11" w:type="dxa"/>
          <w:left w:w="108" w:type="dxa"/>
          <w:right w:w="47" w:type="dxa"/>
        </w:tblCellMar>
        <w:tblLook w:val="04A0" w:firstRow="1" w:lastRow="0" w:firstColumn="1" w:lastColumn="0" w:noHBand="0" w:noVBand="1"/>
      </w:tblPr>
      <w:tblGrid>
        <w:gridCol w:w="2268"/>
        <w:gridCol w:w="6766"/>
      </w:tblGrid>
      <w:tr w:rsidR="009C3C86" w14:paraId="2E543C0C" w14:textId="77777777" w:rsidTr="009C3C86">
        <w:trPr>
          <w:trHeight w:val="517"/>
        </w:trPr>
        <w:tc>
          <w:tcPr>
            <w:tcW w:w="2268" w:type="dxa"/>
            <w:tcBorders>
              <w:top w:val="single" w:sz="4" w:space="0" w:color="000000"/>
              <w:left w:val="single" w:sz="4" w:space="0" w:color="000000"/>
              <w:bottom w:val="single" w:sz="4" w:space="0" w:color="000000"/>
              <w:right w:val="single" w:sz="4" w:space="0" w:color="000000"/>
            </w:tcBorders>
          </w:tcPr>
          <w:p w14:paraId="7849B387" w14:textId="77777777" w:rsidR="009C3C86" w:rsidRDefault="009C3C86" w:rsidP="009C3C86">
            <w:pPr>
              <w:spacing w:line="259" w:lineRule="auto"/>
            </w:pPr>
            <w:r>
              <w:rPr>
                <w:b/>
                <w:sz w:val="28"/>
              </w:rPr>
              <w:t xml:space="preserve"> </w:t>
            </w:r>
            <w:r>
              <w:rPr>
                <w:b/>
              </w:rPr>
              <w:t>Researcher Name</w:t>
            </w:r>
          </w:p>
          <w:p w14:paraId="3E79489D" w14:textId="77777777" w:rsidR="009C3C86" w:rsidRDefault="009C3C86" w:rsidP="009C3C86">
            <w:pPr>
              <w:spacing w:line="259" w:lineRule="auto"/>
              <w:jc w:val="right"/>
            </w:pPr>
            <w:r>
              <w:rPr>
                <w:b/>
              </w:rPr>
              <w:t xml:space="preserve"> </w:t>
            </w:r>
            <w:r>
              <w:rPr>
                <w:b/>
              </w:rPr>
              <w:tab/>
              <w:t xml:space="preserve"> </w:t>
            </w:r>
          </w:p>
        </w:tc>
        <w:tc>
          <w:tcPr>
            <w:tcW w:w="6766" w:type="dxa"/>
            <w:tcBorders>
              <w:top w:val="single" w:sz="4" w:space="0" w:color="000000"/>
              <w:left w:val="single" w:sz="4" w:space="0" w:color="000000"/>
              <w:bottom w:val="single" w:sz="4" w:space="0" w:color="000000"/>
              <w:right w:val="single" w:sz="4" w:space="0" w:color="000000"/>
            </w:tcBorders>
          </w:tcPr>
          <w:p w14:paraId="4DE39191" w14:textId="77777777" w:rsidR="009C3C86" w:rsidRDefault="009C3C86" w:rsidP="009C3C86">
            <w:pPr>
              <w:spacing w:line="259" w:lineRule="auto"/>
              <w:ind w:left="1"/>
            </w:pPr>
            <w:r w:rsidRPr="00F855DE">
              <w:rPr>
                <w:highlight w:val="black"/>
              </w:rPr>
              <w:t>James Rowland</w:t>
            </w:r>
          </w:p>
        </w:tc>
      </w:tr>
      <w:tr w:rsidR="009C3C86" w14:paraId="080B57E9" w14:textId="77777777" w:rsidTr="009C3C86">
        <w:trPr>
          <w:trHeight w:val="516"/>
        </w:trPr>
        <w:tc>
          <w:tcPr>
            <w:tcW w:w="2268" w:type="dxa"/>
            <w:tcBorders>
              <w:top w:val="single" w:sz="4" w:space="0" w:color="000000"/>
              <w:left w:val="single" w:sz="4" w:space="0" w:color="000000"/>
              <w:bottom w:val="single" w:sz="4" w:space="0" w:color="000000"/>
              <w:right w:val="single" w:sz="4" w:space="0" w:color="000000"/>
            </w:tcBorders>
          </w:tcPr>
          <w:p w14:paraId="70906010" w14:textId="77777777" w:rsidR="009C3C86" w:rsidRDefault="009C3C86" w:rsidP="009C3C86">
            <w:pPr>
              <w:spacing w:line="259" w:lineRule="auto"/>
            </w:pPr>
            <w:r>
              <w:rPr>
                <w:b/>
              </w:rPr>
              <w:t xml:space="preserve">Title of Study </w:t>
            </w:r>
          </w:p>
          <w:p w14:paraId="6DC23F7E" w14:textId="77777777" w:rsidR="009C3C86" w:rsidRDefault="009C3C86" w:rsidP="009C3C86">
            <w:pPr>
              <w:spacing w:line="259" w:lineRule="auto"/>
            </w:pPr>
            <w:r>
              <w:rPr>
                <w:b/>
              </w:rPr>
              <w:t xml:space="preserve"> </w:t>
            </w:r>
          </w:p>
        </w:tc>
        <w:tc>
          <w:tcPr>
            <w:tcW w:w="6766" w:type="dxa"/>
            <w:tcBorders>
              <w:top w:val="single" w:sz="4" w:space="0" w:color="000000"/>
              <w:left w:val="single" w:sz="4" w:space="0" w:color="000000"/>
              <w:bottom w:val="single" w:sz="4" w:space="0" w:color="000000"/>
              <w:right w:val="single" w:sz="4" w:space="0" w:color="000000"/>
            </w:tcBorders>
          </w:tcPr>
          <w:p w14:paraId="500AC460" w14:textId="77777777" w:rsidR="009C3C86" w:rsidRDefault="009C3C86" w:rsidP="009C3C86">
            <w:pPr>
              <w:pStyle w:val="Default"/>
              <w:rPr>
                <w:sz w:val="23"/>
                <w:szCs w:val="23"/>
              </w:rPr>
            </w:pPr>
            <w:r>
              <w:rPr>
                <w:sz w:val="23"/>
                <w:szCs w:val="23"/>
              </w:rPr>
              <w:t xml:space="preserve">Intolerance of Uncertainty, Anxiety Sensitivity, and Somatisation in Seizure Conditions </w:t>
            </w:r>
          </w:p>
          <w:p w14:paraId="481C7D9A" w14:textId="77777777" w:rsidR="009C3C86" w:rsidRPr="003A4C21" w:rsidRDefault="009C3C86" w:rsidP="009C3C86">
            <w:pPr>
              <w:pStyle w:val="Default"/>
              <w:rPr>
                <w:sz w:val="22"/>
                <w:szCs w:val="22"/>
              </w:rPr>
            </w:pPr>
          </w:p>
        </w:tc>
      </w:tr>
      <w:tr w:rsidR="009C3C86" w14:paraId="3A8DA655" w14:textId="77777777" w:rsidTr="009C3C86">
        <w:trPr>
          <w:trHeight w:val="516"/>
        </w:trPr>
        <w:tc>
          <w:tcPr>
            <w:tcW w:w="2268" w:type="dxa"/>
            <w:tcBorders>
              <w:top w:val="single" w:sz="4" w:space="0" w:color="000000"/>
              <w:left w:val="single" w:sz="4" w:space="0" w:color="000000"/>
              <w:bottom w:val="single" w:sz="4" w:space="0" w:color="000000"/>
              <w:right w:val="single" w:sz="4" w:space="0" w:color="000000"/>
            </w:tcBorders>
          </w:tcPr>
          <w:p w14:paraId="36384CC1" w14:textId="77777777" w:rsidR="009C3C86" w:rsidRDefault="009C3C86" w:rsidP="009C3C86">
            <w:pPr>
              <w:spacing w:line="259" w:lineRule="auto"/>
            </w:pPr>
            <w:r>
              <w:rPr>
                <w:b/>
              </w:rPr>
              <w:t xml:space="preserve">Status of approval: </w:t>
            </w:r>
          </w:p>
          <w:p w14:paraId="28E54A0D" w14:textId="77777777" w:rsidR="009C3C86" w:rsidRDefault="009C3C86" w:rsidP="009C3C86">
            <w:pPr>
              <w:spacing w:line="259" w:lineRule="auto"/>
            </w:pPr>
            <w:r>
              <w:rPr>
                <w:b/>
              </w:rPr>
              <w:t xml:space="preserve"> </w:t>
            </w:r>
            <w:r>
              <w:rPr>
                <w:b/>
              </w:rPr>
              <w:tab/>
            </w:r>
            <w:r>
              <w:t xml:space="preserve"> </w:t>
            </w:r>
          </w:p>
        </w:tc>
        <w:tc>
          <w:tcPr>
            <w:tcW w:w="6766" w:type="dxa"/>
            <w:tcBorders>
              <w:top w:val="single" w:sz="4" w:space="0" w:color="000000"/>
              <w:left w:val="single" w:sz="4" w:space="0" w:color="000000"/>
              <w:bottom w:val="single" w:sz="4" w:space="0" w:color="000000"/>
              <w:right w:val="single" w:sz="4" w:space="0" w:color="000000"/>
            </w:tcBorders>
          </w:tcPr>
          <w:p w14:paraId="7F56A890" w14:textId="77777777" w:rsidR="009C3C86" w:rsidRDefault="009C3C86" w:rsidP="009C3C86">
            <w:pPr>
              <w:spacing w:line="259" w:lineRule="auto"/>
              <w:ind w:left="1"/>
            </w:pPr>
            <w:r>
              <w:rPr>
                <w:b/>
              </w:rPr>
              <w:t>Approved</w:t>
            </w:r>
            <w:r>
              <w:t xml:space="preserve"> </w:t>
            </w:r>
          </w:p>
        </w:tc>
      </w:tr>
    </w:tbl>
    <w:p w14:paraId="6732D4D5" w14:textId="77777777" w:rsidR="009C3C86" w:rsidRDefault="009C3C86" w:rsidP="009C3C86">
      <w:pPr>
        <w:spacing w:after="0"/>
      </w:pPr>
      <w:r>
        <w:t xml:space="preserve"> </w:t>
      </w:r>
    </w:p>
    <w:p w14:paraId="241BD3EF" w14:textId="77777777" w:rsidR="009C3C86" w:rsidRDefault="009C3C86" w:rsidP="009C3C86">
      <w:pPr>
        <w:spacing w:line="250" w:lineRule="auto"/>
        <w:ind w:left="-6" w:hanging="11"/>
        <w:jc w:val="both"/>
      </w:pPr>
      <w:r>
        <w:t xml:space="preserve">Thank you for your submission to the Independent Peer Review (IPR) Panel. Your application is now approved </w:t>
      </w:r>
    </w:p>
    <w:p w14:paraId="5A9E4885" w14:textId="77777777" w:rsidR="009C3C86" w:rsidRDefault="009C3C86" w:rsidP="009C3C86">
      <w:pPr>
        <w:spacing w:after="0"/>
        <w:jc w:val="both"/>
      </w:pPr>
      <w:r>
        <w:t xml:space="preserve"> </w:t>
      </w:r>
    </w:p>
    <w:p w14:paraId="05510836" w14:textId="77777777" w:rsidR="009C3C86" w:rsidRDefault="009C3C86" w:rsidP="009C3C86">
      <w:pPr>
        <w:spacing w:after="0"/>
        <w:ind w:left="-5"/>
        <w:jc w:val="both"/>
      </w:pPr>
      <w:r>
        <w:rPr>
          <w:b/>
        </w:rPr>
        <w:t xml:space="preserve">Action now required:  </w:t>
      </w:r>
      <w:r>
        <w:t xml:space="preserve">You must now apply to the Integrated Research Applications System (IRAS) for approval to conduct your study.  You must not commence the study without Health Research Authority (HRA) approval, and relevant site-specific approvals. Please note that the University Sponsor contact to be named on the form is </w:t>
      </w:r>
      <w:r w:rsidRPr="00FA1AA6">
        <w:rPr>
          <w:highlight w:val="black"/>
        </w:rPr>
        <w:t>Prof Nachi Chockalingam</w:t>
      </w:r>
      <w:r>
        <w:t xml:space="preserve">. </w:t>
      </w:r>
    </w:p>
    <w:p w14:paraId="10B4B6B1" w14:textId="77777777" w:rsidR="009C3C86" w:rsidRDefault="009C3C86" w:rsidP="009C3C86">
      <w:pPr>
        <w:spacing w:after="0"/>
        <w:jc w:val="both"/>
      </w:pPr>
      <w:r>
        <w:t xml:space="preserve"> </w:t>
      </w:r>
    </w:p>
    <w:p w14:paraId="7FD16B2E" w14:textId="77777777" w:rsidR="009C3C86" w:rsidRDefault="009C3C86" w:rsidP="009C3C86">
      <w:pPr>
        <w:spacing w:after="0"/>
        <w:jc w:val="both"/>
      </w:pPr>
      <w:r>
        <w:t xml:space="preserve">Please forward a copy of the letter you receive from the IRAS process to </w:t>
      </w:r>
      <w:hyperlink r:id="rId139" w:history="1">
        <w:r w:rsidRPr="00536527">
          <w:rPr>
            <w:rStyle w:val="Hyperlink"/>
          </w:rPr>
          <w:t>ethics@staffs.ac.uk</w:t>
        </w:r>
      </w:hyperlink>
    </w:p>
    <w:p w14:paraId="2009BD79" w14:textId="77777777" w:rsidR="009C3C86" w:rsidRDefault="009C3C86" w:rsidP="009C3C86">
      <w:pPr>
        <w:spacing w:after="0"/>
        <w:jc w:val="both"/>
      </w:pPr>
      <w:r>
        <w:t xml:space="preserve">as soon as possible after you have received approval.  </w:t>
      </w:r>
    </w:p>
    <w:p w14:paraId="30B684E1" w14:textId="77777777" w:rsidR="009C3C86" w:rsidRDefault="009C3C86" w:rsidP="009C3C86">
      <w:pPr>
        <w:spacing w:after="0"/>
        <w:jc w:val="both"/>
      </w:pPr>
      <w:r>
        <w:t xml:space="preserve"> </w:t>
      </w:r>
    </w:p>
    <w:p w14:paraId="65146EDF" w14:textId="77777777" w:rsidR="009C3C86" w:rsidRDefault="009C3C86" w:rsidP="009C3C86">
      <w:pPr>
        <w:spacing w:after="0"/>
        <w:jc w:val="both"/>
      </w:pPr>
      <w:r>
        <w:t xml:space="preserve">Once you have received HRA approval, and participating Trusts/organisations have confirmed their capacity and capability to support your study, you can commence your research. </w:t>
      </w:r>
    </w:p>
    <w:p w14:paraId="5BEE579F" w14:textId="77777777" w:rsidR="009C3C86" w:rsidRDefault="009C3C86" w:rsidP="009C3C86">
      <w:pPr>
        <w:spacing w:after="0"/>
        <w:jc w:val="both"/>
      </w:pPr>
    </w:p>
    <w:p w14:paraId="61A45D34" w14:textId="77777777" w:rsidR="009C3C86" w:rsidRDefault="009C3C86" w:rsidP="009C3C86">
      <w:pPr>
        <w:spacing w:after="0"/>
        <w:jc w:val="both"/>
      </w:pPr>
      <w:r>
        <w:t xml:space="preserve">You should note that any divergence from the approved procedures and research method will invalidate any insurance and liability cover from the University.  You should, therefore, notify the Panel of any significant divergence from this approved proposal. </w:t>
      </w:r>
    </w:p>
    <w:p w14:paraId="79988A0D" w14:textId="77777777" w:rsidR="009C3C86" w:rsidRDefault="009C3C86" w:rsidP="009C3C86">
      <w:pPr>
        <w:spacing w:after="0"/>
        <w:jc w:val="both"/>
      </w:pPr>
      <w:r>
        <w:t xml:space="preserve"> </w:t>
      </w:r>
    </w:p>
    <w:p w14:paraId="6BF4FFB8" w14:textId="77777777" w:rsidR="009C3C86" w:rsidRDefault="009C3C86" w:rsidP="009C3C86">
      <w:pPr>
        <w:spacing w:after="0"/>
        <w:jc w:val="both"/>
      </w:pPr>
      <w:r>
        <w:t xml:space="preserve">When your study is complete, please send an end of study report to </w:t>
      </w:r>
      <w:r w:rsidRPr="00F855DE">
        <w:rPr>
          <w:highlight w:val="black"/>
        </w:rPr>
        <w:t>Dr Edward Tolhurst</w:t>
      </w:r>
      <w:r>
        <w:t xml:space="preserve">: </w:t>
      </w:r>
      <w:hyperlink r:id="rId140" w:history="1">
        <w:r w:rsidRPr="00F855DE">
          <w:rPr>
            <w:rStyle w:val="Hyperlink"/>
            <w:color w:val="auto"/>
            <w:highlight w:val="black"/>
          </w:rPr>
          <w:t>e.tolhurst@staffs.ac.uk</w:t>
        </w:r>
      </w:hyperlink>
      <w:r>
        <w:t>. A template can be found on the ethics Blackboard site.</w:t>
      </w:r>
    </w:p>
    <w:p w14:paraId="31031E5F" w14:textId="77777777" w:rsidR="009C3C86" w:rsidRDefault="009C3C86" w:rsidP="009C3C86">
      <w:pPr>
        <w:spacing w:after="0"/>
        <w:rPr>
          <w:b/>
        </w:rPr>
      </w:pPr>
    </w:p>
    <w:p w14:paraId="5FB0E4F9" w14:textId="77777777" w:rsidR="009C3C86" w:rsidRDefault="009C3C86" w:rsidP="009C3C86">
      <w:pPr>
        <w:spacing w:after="0"/>
        <w:rPr>
          <w:b/>
        </w:rPr>
      </w:pPr>
      <w:r>
        <w:rPr>
          <w:b/>
        </w:rPr>
        <w:t>Comments for your consideration: None</w:t>
      </w:r>
    </w:p>
    <w:p w14:paraId="204D02B8" w14:textId="77777777" w:rsidR="009C3C86" w:rsidRDefault="009C3C86" w:rsidP="009C3C86">
      <w:pPr>
        <w:spacing w:after="0"/>
        <w:ind w:left="715" w:firstLine="725"/>
        <w:rPr>
          <w:b/>
        </w:rPr>
      </w:pPr>
    </w:p>
    <w:p w14:paraId="456E13A7" w14:textId="77777777" w:rsidR="009C3C86" w:rsidRDefault="009C3C86" w:rsidP="009C3C86">
      <w:pPr>
        <w:spacing w:after="0"/>
      </w:pPr>
      <w:r>
        <w:rPr>
          <w:b/>
        </w:rPr>
        <w:t xml:space="preserve"> </w:t>
      </w:r>
      <w:r>
        <w:rPr>
          <w:b/>
          <w:noProof/>
          <w:lang w:eastAsia="en-GB"/>
        </w:rPr>
        <w:drawing>
          <wp:inline distT="0" distB="0" distL="0" distR="0" wp14:anchorId="2CFE07C1" wp14:editId="5816F5E1">
            <wp:extent cx="967740" cy="3048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67740" cy="304800"/>
                    </a:xfrm>
                    <a:prstGeom prst="rect">
                      <a:avLst/>
                    </a:prstGeom>
                    <a:noFill/>
                    <a:ln>
                      <a:noFill/>
                    </a:ln>
                  </pic:spPr>
                </pic:pic>
              </a:graphicData>
            </a:graphic>
          </wp:inline>
        </w:drawing>
      </w:r>
    </w:p>
    <w:p w14:paraId="2AF4BA19" w14:textId="77777777" w:rsidR="009C3C86" w:rsidRDefault="009C3C86" w:rsidP="009C3C86">
      <w:pPr>
        <w:spacing w:after="0"/>
      </w:pPr>
      <w:r>
        <w:t xml:space="preserve"> </w:t>
      </w:r>
      <w:r>
        <w:tab/>
      </w:r>
      <w:r>
        <w:tab/>
      </w:r>
    </w:p>
    <w:p w14:paraId="09940F0D" w14:textId="77777777" w:rsidR="009C3C86" w:rsidRDefault="009C3C86" w:rsidP="009C3C86">
      <w:pPr>
        <w:spacing w:after="0"/>
      </w:pPr>
      <w:r>
        <w:rPr>
          <w:b/>
        </w:rPr>
        <w:t>Signed</w:t>
      </w:r>
      <w:r>
        <w:t>:</w:t>
      </w:r>
      <w:r>
        <w:rPr>
          <w:rFonts w:ascii="Courier New" w:eastAsia="Courier New" w:hAnsi="Courier New" w:cs="Courier New"/>
          <w:sz w:val="31"/>
          <w:vertAlign w:val="subscript"/>
        </w:rPr>
        <w:t xml:space="preserve"> </w:t>
      </w:r>
      <w:r w:rsidRPr="00F855DE">
        <w:rPr>
          <w:highlight w:val="black"/>
        </w:rPr>
        <w:t>Dr Jade Elliott</w:t>
      </w:r>
    </w:p>
    <w:p w14:paraId="10122185" w14:textId="77777777" w:rsidR="009C3C86" w:rsidRDefault="009C3C86" w:rsidP="009C3C86">
      <w:pPr>
        <w:spacing w:after="0"/>
      </w:pPr>
    </w:p>
    <w:p w14:paraId="229C9CD9" w14:textId="77777777" w:rsidR="009C3C86" w:rsidRDefault="009C3C86" w:rsidP="009C3C86">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spacing w:after="0"/>
      </w:pPr>
      <w:r>
        <w:t xml:space="preserve">pp  </w:t>
      </w:r>
      <w:r w:rsidRPr="00F855DE">
        <w:rPr>
          <w:highlight w:val="black"/>
        </w:rPr>
        <w:t>Edward Tolhurst</w:t>
      </w:r>
      <w:r>
        <w:t xml:space="preserve"> </w:t>
      </w:r>
      <w:r>
        <w:tab/>
      </w:r>
      <w:r>
        <w:tab/>
      </w:r>
      <w:r>
        <w:tab/>
      </w:r>
      <w:r>
        <w:tab/>
      </w:r>
      <w:r>
        <w:tab/>
      </w:r>
      <w:r>
        <w:tab/>
        <w:t>Date: 14</w:t>
      </w:r>
      <w:r w:rsidRPr="008620A8">
        <w:rPr>
          <w:vertAlign w:val="superscript"/>
        </w:rPr>
        <w:t>th</w:t>
      </w:r>
      <w:r>
        <w:t xml:space="preserve"> October 2022</w:t>
      </w:r>
      <w:r>
        <w:tab/>
      </w:r>
    </w:p>
    <w:p w14:paraId="6D39E6C7" w14:textId="77777777" w:rsidR="009C3C86" w:rsidRDefault="009C3C86" w:rsidP="00747028">
      <w:pPr>
        <w:spacing w:after="0"/>
      </w:pPr>
      <w:r>
        <w:t xml:space="preserve">University IPR coordinator </w:t>
      </w:r>
    </w:p>
    <w:p w14:paraId="269A8097" w14:textId="77777777" w:rsidR="00A53770" w:rsidRDefault="00A53770">
      <w:pPr>
        <w:rPr>
          <w:rFonts w:eastAsiaTheme="majorEastAsia" w:cstheme="minorHAnsi"/>
          <w:b/>
        </w:rPr>
      </w:pPr>
      <w:r>
        <w:br w:type="page"/>
      </w:r>
    </w:p>
    <w:p w14:paraId="0305C413" w14:textId="48196B06" w:rsidR="00A53770" w:rsidRDefault="009C3C86" w:rsidP="00027769">
      <w:pPr>
        <w:pStyle w:val="Heading1"/>
      </w:pPr>
      <w:bookmarkStart w:id="174" w:name="_Toc133487847"/>
      <w:r>
        <w:lastRenderedPageBreak/>
        <w:t>Appendix C</w:t>
      </w:r>
      <w:bookmarkStart w:id="175" w:name="_Toc133144207"/>
      <w:bookmarkEnd w:id="174"/>
      <w:r w:rsidR="00A53770">
        <w:t xml:space="preserve"> </w:t>
      </w:r>
    </w:p>
    <w:p w14:paraId="6EDBC85E" w14:textId="059C4B7A" w:rsidR="009C3C86" w:rsidRPr="00A53770" w:rsidRDefault="009C3C86" w:rsidP="00A53770">
      <w:pPr>
        <w:rPr>
          <w:b/>
        </w:rPr>
      </w:pPr>
      <w:r w:rsidRPr="00A53770">
        <w:rPr>
          <w:b/>
        </w:rPr>
        <w:t>Ethical Approval from NHS Ethics</w:t>
      </w:r>
      <w:bookmarkEnd w:id="175"/>
    </w:p>
    <w:p w14:paraId="00A29FB6" w14:textId="77777777" w:rsidR="009C3C86" w:rsidRDefault="009C3C86" w:rsidP="009C3C86">
      <w:pPr>
        <w:tabs>
          <w:tab w:val="right" w:pos="10305"/>
        </w:tabs>
        <w:spacing w:after="0" w:line="256" w:lineRule="auto"/>
        <w:ind w:left="-1" w:right="-346"/>
      </w:pPr>
      <w:r>
        <w:rPr>
          <w:noProof/>
          <w:lang w:eastAsia="en-GB"/>
        </w:rPr>
        <w:drawing>
          <wp:inline distT="0" distB="0" distL="0" distR="0" wp14:anchorId="43012069" wp14:editId="03E3A741">
            <wp:extent cx="2006600" cy="1257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006600" cy="1257300"/>
                    </a:xfrm>
                    <a:prstGeom prst="rect">
                      <a:avLst/>
                    </a:prstGeom>
                    <a:noFill/>
                    <a:ln>
                      <a:noFill/>
                    </a:ln>
                  </pic:spPr>
                </pic:pic>
              </a:graphicData>
            </a:graphic>
          </wp:inline>
        </w:drawing>
      </w:r>
      <w:r>
        <w:t xml:space="preserve"> </w:t>
      </w:r>
      <w:r>
        <w:tab/>
      </w:r>
      <w:r>
        <w:rPr>
          <w:noProof/>
          <w:lang w:eastAsia="en-GB"/>
        </w:rPr>
        <w:drawing>
          <wp:inline distT="0" distB="0" distL="0" distR="0" wp14:anchorId="01774A45" wp14:editId="4F9409BB">
            <wp:extent cx="3365500" cy="123825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365500" cy="1238250"/>
                    </a:xfrm>
                    <a:prstGeom prst="rect">
                      <a:avLst/>
                    </a:prstGeom>
                    <a:noFill/>
                    <a:ln>
                      <a:noFill/>
                    </a:ln>
                  </pic:spPr>
                </pic:pic>
              </a:graphicData>
            </a:graphic>
          </wp:inline>
        </w:drawing>
      </w:r>
    </w:p>
    <w:p w14:paraId="79D5A968" w14:textId="77777777" w:rsidR="009C3C86" w:rsidRDefault="009C3C86" w:rsidP="009C3C86">
      <w:pPr>
        <w:tabs>
          <w:tab w:val="center" w:pos="9960"/>
        </w:tabs>
        <w:ind w:left="-15"/>
      </w:pPr>
      <w:r w:rsidRPr="00F855DE">
        <w:rPr>
          <w:highlight w:val="black"/>
        </w:rPr>
        <w:t>Mr. James Rowland</w:t>
      </w:r>
      <w:r>
        <w:t xml:space="preserve"> </w:t>
      </w:r>
      <w:r>
        <w:tab/>
        <w:t xml:space="preserve"> </w:t>
      </w:r>
    </w:p>
    <w:p w14:paraId="14D10601" w14:textId="77777777" w:rsidR="009C3C86" w:rsidRDefault="009C3C86" w:rsidP="00027769">
      <w:r>
        <w:t xml:space="preserve">Trainee clinical psychologist </w:t>
      </w:r>
      <w:r>
        <w:tab/>
      </w:r>
      <w:r>
        <w:rPr>
          <w:sz w:val="18"/>
        </w:rPr>
        <w:t xml:space="preserve">Email: </w:t>
      </w:r>
      <w:r>
        <w:rPr>
          <w:color w:val="0000FF"/>
          <w:sz w:val="18"/>
        </w:rPr>
        <w:t xml:space="preserve">approvals@hra.nhs.uk </w:t>
      </w:r>
    </w:p>
    <w:p w14:paraId="31DFFFBF" w14:textId="77777777" w:rsidR="009C3C86" w:rsidRDefault="009C3C86" w:rsidP="00027769">
      <w:r>
        <w:rPr>
          <w:color w:val="0000FF"/>
          <w:sz w:val="18"/>
          <w:u w:val="single" w:color="0000FF"/>
        </w:rPr>
        <w:t>HCRW.approvals@wales.nhs.uk</w:t>
      </w:r>
      <w:r>
        <w:rPr>
          <w:sz w:val="18"/>
        </w:rPr>
        <w:t xml:space="preserve"> </w:t>
      </w:r>
    </w:p>
    <w:p w14:paraId="796322BE" w14:textId="77777777" w:rsidR="009C3C86" w:rsidRDefault="009C3C86" w:rsidP="00027769">
      <w:r>
        <w:t xml:space="preserve">Midlands Partnership Foundation Trust </w:t>
      </w:r>
    </w:p>
    <w:p w14:paraId="6B38C37D" w14:textId="77777777" w:rsidR="009C3C86" w:rsidRDefault="009C3C86" w:rsidP="00027769">
      <w:r>
        <w:t xml:space="preserve">Staffordshire University </w:t>
      </w:r>
    </w:p>
    <w:p w14:paraId="7BB084F9" w14:textId="77777777" w:rsidR="009C3C86" w:rsidRDefault="009C3C86" w:rsidP="00027769">
      <w:r>
        <w:t xml:space="preserve">249 Leek Rd </w:t>
      </w:r>
    </w:p>
    <w:p w14:paraId="3DEA3A52" w14:textId="77777777" w:rsidR="009C3C86" w:rsidRDefault="009C3C86" w:rsidP="00027769">
      <w:r>
        <w:t xml:space="preserve">Stoke-on-Trent  </w:t>
      </w:r>
    </w:p>
    <w:p w14:paraId="5DCC2AFD" w14:textId="77777777" w:rsidR="009C3C86" w:rsidRDefault="009C3C86" w:rsidP="00027769">
      <w:r>
        <w:t xml:space="preserve">ST4 2BP </w:t>
      </w:r>
    </w:p>
    <w:p w14:paraId="7C9A0585" w14:textId="77777777" w:rsidR="009C3C86" w:rsidRDefault="009C3C86" w:rsidP="00027769">
      <w:r>
        <w:rPr>
          <w:color w:val="FF0000"/>
        </w:rPr>
        <w:t xml:space="preserve"> </w:t>
      </w:r>
    </w:p>
    <w:p w14:paraId="3BD2C8CF" w14:textId="77777777" w:rsidR="009C3C86" w:rsidRDefault="009C3C86" w:rsidP="00027769">
      <w:r>
        <w:t xml:space="preserve">20 December 2022 </w:t>
      </w:r>
    </w:p>
    <w:p w14:paraId="206E9307" w14:textId="77777777" w:rsidR="009C3C86" w:rsidRDefault="009C3C86" w:rsidP="00027769">
      <w:r>
        <w:rPr>
          <w:color w:val="FF0000"/>
        </w:rPr>
        <w:t xml:space="preserve"> </w:t>
      </w:r>
    </w:p>
    <w:p w14:paraId="0DAC2EE8" w14:textId="70455EA4" w:rsidR="009C3C86" w:rsidRDefault="009C3C86" w:rsidP="00027769">
      <w:r w:rsidRPr="00FA1AA6">
        <w:rPr>
          <w:highlight w:val="black"/>
        </w:rPr>
        <w:t>Dear Mr. Rowland</w:t>
      </w:r>
      <w:r>
        <w:rPr>
          <w:color w:val="0000FF"/>
        </w:rPr>
        <w:t xml:space="preserve"> </w:t>
      </w:r>
      <w:r>
        <w:rPr>
          <w:b/>
          <w:color w:val="FFFFFF"/>
          <w:u w:val="single" w:color="FFFFFF"/>
        </w:rPr>
        <w:t>Wales (HCRW)</w:t>
      </w:r>
      <w:r>
        <w:rPr>
          <w:b/>
          <w:color w:val="FFFFFF"/>
        </w:rPr>
        <w:t xml:space="preserve"> </w:t>
      </w:r>
      <w:r>
        <w:t xml:space="preserve"> </w:t>
      </w:r>
      <w:r>
        <w:tab/>
      </w:r>
      <w:r>
        <w:rPr>
          <w:b/>
          <w:color w:val="FFFFFF"/>
          <w:u w:val="single" w:color="FFFFFF"/>
        </w:rPr>
        <w:t>Approval Letter</w:t>
      </w:r>
      <w:r>
        <w:rPr>
          <w:b/>
          <w:color w:val="FFFFFF"/>
        </w:rPr>
        <w:t xml:space="preserve"> </w:t>
      </w:r>
    </w:p>
    <w:p w14:paraId="2190224C" w14:textId="77777777" w:rsidR="009C3C86" w:rsidRDefault="009C3C86" w:rsidP="00027769">
      <w:r>
        <w:t xml:space="preserve"> </w:t>
      </w:r>
      <w:r>
        <w:tab/>
      </w:r>
      <w:r>
        <w:rPr>
          <w:b/>
          <w:color w:val="FFFFFF"/>
        </w:rPr>
        <w:t xml:space="preserve"> </w:t>
      </w:r>
    </w:p>
    <w:tbl>
      <w:tblPr>
        <w:tblStyle w:val="TableGrid0"/>
        <w:tblW w:w="8687" w:type="dxa"/>
        <w:tblInd w:w="0" w:type="dxa"/>
        <w:tblLook w:val="04A0" w:firstRow="1" w:lastRow="0" w:firstColumn="1" w:lastColumn="0" w:noHBand="0" w:noVBand="1"/>
      </w:tblPr>
      <w:tblGrid>
        <w:gridCol w:w="2835"/>
        <w:gridCol w:w="5852"/>
      </w:tblGrid>
      <w:tr w:rsidR="009C3C86" w14:paraId="7807C15D" w14:textId="77777777" w:rsidTr="009C3C86">
        <w:trPr>
          <w:trHeight w:val="611"/>
        </w:trPr>
        <w:tc>
          <w:tcPr>
            <w:tcW w:w="2835" w:type="dxa"/>
            <w:hideMark/>
          </w:tcPr>
          <w:p w14:paraId="318070F0" w14:textId="77777777" w:rsidR="009C3C86" w:rsidRDefault="009C3C86" w:rsidP="00027769">
            <w:r>
              <w:rPr>
                <w:b/>
              </w:rPr>
              <w:t xml:space="preserve">Study title: </w:t>
            </w:r>
          </w:p>
        </w:tc>
        <w:tc>
          <w:tcPr>
            <w:tcW w:w="5852" w:type="dxa"/>
            <w:hideMark/>
          </w:tcPr>
          <w:p w14:paraId="27796AED" w14:textId="77777777" w:rsidR="009C3C86" w:rsidRDefault="009C3C86" w:rsidP="00027769">
            <w:r>
              <w:rPr>
                <w:b/>
              </w:rPr>
              <w:t xml:space="preserve">Intolerance of Uncertainty, Anxiety Sensitivity, and Somatisation in Seizure Conditions </w:t>
            </w:r>
          </w:p>
        </w:tc>
      </w:tr>
      <w:tr w:rsidR="009C3C86" w14:paraId="667E084C" w14:textId="77777777" w:rsidTr="009C3C86">
        <w:trPr>
          <w:trHeight w:val="318"/>
        </w:trPr>
        <w:tc>
          <w:tcPr>
            <w:tcW w:w="2835" w:type="dxa"/>
            <w:hideMark/>
          </w:tcPr>
          <w:p w14:paraId="5C92009F" w14:textId="77777777" w:rsidR="009C3C86" w:rsidRDefault="009C3C86" w:rsidP="00027769">
            <w:r>
              <w:rPr>
                <w:b/>
              </w:rPr>
              <w:t xml:space="preserve">IRAS project ID: </w:t>
            </w:r>
          </w:p>
        </w:tc>
        <w:tc>
          <w:tcPr>
            <w:tcW w:w="5852" w:type="dxa"/>
            <w:hideMark/>
          </w:tcPr>
          <w:p w14:paraId="682ECD12" w14:textId="77777777" w:rsidR="009C3C86" w:rsidRDefault="009C3C86" w:rsidP="00027769">
            <w:r>
              <w:rPr>
                <w:b/>
              </w:rPr>
              <w:t xml:space="preserve">316771 </w:t>
            </w:r>
            <w:r>
              <w:rPr>
                <w:b/>
                <w:color w:val="FF0000"/>
              </w:rPr>
              <w:t xml:space="preserve"> </w:t>
            </w:r>
          </w:p>
        </w:tc>
      </w:tr>
      <w:tr w:rsidR="009C3C86" w14:paraId="466A5667" w14:textId="77777777" w:rsidTr="009C3C86">
        <w:trPr>
          <w:trHeight w:val="317"/>
        </w:trPr>
        <w:tc>
          <w:tcPr>
            <w:tcW w:w="2835" w:type="dxa"/>
            <w:hideMark/>
          </w:tcPr>
          <w:p w14:paraId="0C1146DF" w14:textId="77777777" w:rsidR="009C3C86" w:rsidRDefault="009C3C86" w:rsidP="00027769">
            <w:r>
              <w:rPr>
                <w:b/>
              </w:rPr>
              <w:t xml:space="preserve">Protocol number: </w:t>
            </w:r>
          </w:p>
        </w:tc>
        <w:tc>
          <w:tcPr>
            <w:tcW w:w="5852" w:type="dxa"/>
            <w:hideMark/>
          </w:tcPr>
          <w:p w14:paraId="0DD884C6" w14:textId="77777777" w:rsidR="009C3C86" w:rsidRDefault="009C3C86" w:rsidP="00027769">
            <w:r>
              <w:rPr>
                <w:b/>
              </w:rPr>
              <w:t>N/A</w:t>
            </w:r>
            <w:r>
              <w:rPr>
                <w:b/>
                <w:color w:val="FF0000"/>
              </w:rPr>
              <w:t xml:space="preserve"> </w:t>
            </w:r>
          </w:p>
        </w:tc>
      </w:tr>
      <w:tr w:rsidR="009C3C86" w14:paraId="6A0EA4D1" w14:textId="77777777" w:rsidTr="009C3C86">
        <w:trPr>
          <w:trHeight w:val="317"/>
        </w:trPr>
        <w:tc>
          <w:tcPr>
            <w:tcW w:w="2835" w:type="dxa"/>
            <w:hideMark/>
          </w:tcPr>
          <w:p w14:paraId="78818947" w14:textId="77777777" w:rsidR="009C3C86" w:rsidRDefault="009C3C86" w:rsidP="00027769">
            <w:r>
              <w:rPr>
                <w:b/>
              </w:rPr>
              <w:t xml:space="preserve">REC reference: </w:t>
            </w:r>
          </w:p>
        </w:tc>
        <w:tc>
          <w:tcPr>
            <w:tcW w:w="5852" w:type="dxa"/>
            <w:hideMark/>
          </w:tcPr>
          <w:p w14:paraId="1C7C5D29" w14:textId="77777777" w:rsidR="009C3C86" w:rsidRDefault="009C3C86" w:rsidP="00027769">
            <w:r>
              <w:rPr>
                <w:b/>
              </w:rPr>
              <w:t>22/NW/0374</w:t>
            </w:r>
            <w:r>
              <w:rPr>
                <w:b/>
                <w:color w:val="0000FF"/>
              </w:rPr>
              <w:t xml:space="preserve">  </w:t>
            </w:r>
            <w:r>
              <w:rPr>
                <w:b/>
                <w:color w:val="FF0000"/>
              </w:rPr>
              <w:t xml:space="preserve"> </w:t>
            </w:r>
          </w:p>
        </w:tc>
      </w:tr>
      <w:tr w:rsidR="009C3C86" w14:paraId="638C03C8" w14:textId="77777777" w:rsidTr="009C3C86">
        <w:trPr>
          <w:trHeight w:val="292"/>
        </w:trPr>
        <w:tc>
          <w:tcPr>
            <w:tcW w:w="2835" w:type="dxa"/>
            <w:hideMark/>
          </w:tcPr>
          <w:p w14:paraId="4ED5C53C" w14:textId="77777777" w:rsidR="009C3C86" w:rsidRDefault="009C3C86" w:rsidP="00027769">
            <w:r>
              <w:rPr>
                <w:b/>
              </w:rPr>
              <w:t xml:space="preserve">Sponsor </w:t>
            </w:r>
          </w:p>
        </w:tc>
        <w:tc>
          <w:tcPr>
            <w:tcW w:w="5852" w:type="dxa"/>
            <w:hideMark/>
          </w:tcPr>
          <w:p w14:paraId="79FC6A6E" w14:textId="77777777" w:rsidR="009C3C86" w:rsidRDefault="009C3C86" w:rsidP="00027769">
            <w:r>
              <w:rPr>
                <w:b/>
              </w:rPr>
              <w:t>Staffordshire University</w:t>
            </w:r>
            <w:r>
              <w:rPr>
                <w:b/>
                <w:color w:val="FF0000"/>
              </w:rPr>
              <w:t xml:space="preserve"> </w:t>
            </w:r>
          </w:p>
        </w:tc>
      </w:tr>
    </w:tbl>
    <w:p w14:paraId="0D79F962" w14:textId="77777777" w:rsidR="009C3C86" w:rsidRDefault="009C3C86" w:rsidP="00027769">
      <w:pPr>
        <w:rPr>
          <w:rFonts w:ascii="Arial" w:eastAsia="Arial" w:hAnsi="Arial" w:cs="Arial"/>
          <w:color w:val="000000"/>
        </w:rPr>
      </w:pPr>
      <w:r>
        <w:rPr>
          <w:b/>
        </w:rPr>
        <w:t xml:space="preserve"> </w:t>
      </w:r>
    </w:p>
    <w:p w14:paraId="1B60E365" w14:textId="77777777" w:rsidR="009C3C86" w:rsidRDefault="009C3C86" w:rsidP="00027769">
      <w:r>
        <w:t xml:space="preserve">I am pleased to confirm that </w:t>
      </w:r>
      <w:hyperlink r:id="rId144" w:history="1">
        <w:r>
          <w:rPr>
            <w:rStyle w:val="Hyperlink"/>
            <w:b/>
          </w:rPr>
          <w:t>HRA and Health and</w:t>
        </w:r>
      </w:hyperlink>
      <w:hyperlink r:id="rId145" w:history="1">
        <w:r>
          <w:rPr>
            <w:rStyle w:val="Hyperlink"/>
            <w:b/>
          </w:rPr>
          <w:t xml:space="preserve"> </w:t>
        </w:r>
      </w:hyperlink>
      <w:hyperlink r:id="rId146" w:history="1">
        <w:r>
          <w:rPr>
            <w:rStyle w:val="Hyperlink"/>
            <w:b/>
          </w:rPr>
          <w:t>Care Research Wales (HCRW) Approval</w:t>
        </w:r>
      </w:hyperlink>
      <w:hyperlink r:id="rId147" w:history="1">
        <w:r>
          <w:rPr>
            <w:rStyle w:val="Hyperlink"/>
            <w:color w:val="000000"/>
          </w:rPr>
          <w:t xml:space="preserve"> </w:t>
        </w:r>
      </w:hyperlink>
      <w:r>
        <w:t xml:space="preserve">has been given for the above referenced study, on the basis described in the application form, protocol, supporting documentation and any clarifications received. You should not expect to receive anything further relating to this application. </w:t>
      </w:r>
    </w:p>
    <w:p w14:paraId="6F005568" w14:textId="77777777" w:rsidR="009C3C86" w:rsidRDefault="009C3C86" w:rsidP="00027769">
      <w:r>
        <w:t xml:space="preserve"> </w:t>
      </w:r>
    </w:p>
    <w:p w14:paraId="7AD96E10" w14:textId="77777777" w:rsidR="009C3C86" w:rsidRDefault="009C3C86" w:rsidP="00027769">
      <w:r>
        <w:t xml:space="preserve">Please now work with participating NHS organisations to confirm capacity and capability, </w:t>
      </w:r>
      <w:r>
        <w:rPr>
          <w:u w:val="single" w:color="000000"/>
        </w:rPr>
        <w:t>in</w:t>
      </w:r>
      <w:r>
        <w:t xml:space="preserve"> </w:t>
      </w:r>
      <w:r>
        <w:rPr>
          <w:u w:val="single" w:color="000000"/>
        </w:rPr>
        <w:t>line with the instructions provided in the “Information to support study set up” section towards</w:t>
      </w:r>
      <w:r>
        <w:t xml:space="preserve"> </w:t>
      </w:r>
      <w:r>
        <w:rPr>
          <w:u w:val="single" w:color="000000"/>
        </w:rPr>
        <w:t>the end of this letter</w:t>
      </w:r>
      <w:r>
        <w:t xml:space="preserve">. </w:t>
      </w:r>
    </w:p>
    <w:p w14:paraId="0260629D" w14:textId="77777777" w:rsidR="009C3C86" w:rsidRDefault="009C3C86" w:rsidP="00027769">
      <w:r>
        <w:lastRenderedPageBreak/>
        <w:t xml:space="preserve"> </w:t>
      </w:r>
    </w:p>
    <w:p w14:paraId="46B3CBD2" w14:textId="77777777" w:rsidR="009C3C86" w:rsidRDefault="009C3C86" w:rsidP="00027769">
      <w:r>
        <w:rPr>
          <w:b/>
        </w:rPr>
        <w:t xml:space="preserve">How should I work with participating NHS/HSC organisations in Northern Ireland and Scotland? </w:t>
      </w:r>
    </w:p>
    <w:p w14:paraId="7A9F0643" w14:textId="77777777" w:rsidR="009C3C86" w:rsidRDefault="009C3C86" w:rsidP="00027769">
      <w:r>
        <w:t xml:space="preserve">HRA and HCRW Approval does not apply to NHS/HSC organisations within Northern Ireland and Scotland. </w:t>
      </w:r>
    </w:p>
    <w:p w14:paraId="41C03A6A" w14:textId="77777777" w:rsidR="009C3C86" w:rsidRDefault="009C3C86" w:rsidP="00027769">
      <w:r>
        <w:rPr>
          <w:i/>
        </w:rPr>
        <w:t xml:space="preserve"> </w:t>
      </w:r>
    </w:p>
    <w:p w14:paraId="068DDAF0" w14:textId="77777777" w:rsidR="009C3C86" w:rsidRDefault="009C3C86" w:rsidP="00027769">
      <w:r>
        <w:t xml:space="preserve">If you indicated in your IRAS form that you do have participating organisations in either of these devolved administrations, the final document set and the study wide governance report (including this letter) have been sent to the coordinating centre of each participating nation. </w:t>
      </w:r>
    </w:p>
    <w:p w14:paraId="0B14E848" w14:textId="77777777" w:rsidR="009C3C86" w:rsidRDefault="009C3C86" w:rsidP="00027769">
      <w:r>
        <w:t>The relevant national coordinating function/s will contact you as appropriate.</w:t>
      </w:r>
      <w:r>
        <w:rPr>
          <w:i/>
        </w:rPr>
        <w:t xml:space="preserve"> </w:t>
      </w:r>
    </w:p>
    <w:p w14:paraId="314CEA5A" w14:textId="135432D5" w:rsidR="009C3C86" w:rsidRDefault="00476035" w:rsidP="00027769">
      <w:r>
        <w:t xml:space="preserve"> </w:t>
      </w:r>
    </w:p>
    <w:p w14:paraId="6EC741AE" w14:textId="77777777" w:rsidR="009C3C86" w:rsidRDefault="009C3C86" w:rsidP="00027769">
      <w:r>
        <w:t xml:space="preserve">Please see </w:t>
      </w:r>
      <w:hyperlink r:id="rId148" w:history="1">
        <w:r>
          <w:rPr>
            <w:rStyle w:val="Hyperlink"/>
          </w:rPr>
          <w:t>IRAS Help</w:t>
        </w:r>
      </w:hyperlink>
      <w:hyperlink r:id="rId149" w:history="1">
        <w:r>
          <w:rPr>
            <w:rStyle w:val="Hyperlink"/>
            <w:color w:val="000000"/>
          </w:rPr>
          <w:t xml:space="preserve"> </w:t>
        </w:r>
      </w:hyperlink>
      <w:r>
        <w:t xml:space="preserve">for information on working with NHS/HSC organisations in Northern Ireland and Scotland. </w:t>
      </w:r>
      <w:r>
        <w:rPr>
          <w:color w:val="0000FF"/>
          <w:sz w:val="28"/>
        </w:rPr>
        <w:t xml:space="preserve"> </w:t>
      </w:r>
    </w:p>
    <w:p w14:paraId="6D2F98E2" w14:textId="77777777" w:rsidR="009C3C86" w:rsidRDefault="009C3C86" w:rsidP="00027769">
      <w:r>
        <w:t xml:space="preserve"> </w:t>
      </w:r>
    </w:p>
    <w:p w14:paraId="56090CDD" w14:textId="77777777" w:rsidR="009C3C86" w:rsidRDefault="009C3C86" w:rsidP="00027769">
      <w:r>
        <w:rPr>
          <w:b/>
        </w:rPr>
        <w:t xml:space="preserve">How should I work with participating non-NHS organisations? </w:t>
      </w:r>
    </w:p>
    <w:p w14:paraId="343F5061" w14:textId="77777777" w:rsidR="009C3C86" w:rsidRDefault="009C3C86" w:rsidP="00027769">
      <w:r>
        <w:t xml:space="preserve">HRA and HCRW Approval does not apply to non-NHS organisations. You should work with your non-NHS organisations to </w:t>
      </w:r>
      <w:hyperlink r:id="rId150" w:anchor="non-NHS-SSI" w:history="1">
        <w:r>
          <w:rPr>
            <w:rStyle w:val="Hyperlink"/>
          </w:rPr>
          <w:t>obtain local agreement</w:t>
        </w:r>
      </w:hyperlink>
      <w:hyperlink r:id="rId151" w:anchor="non-NHS-SSI" w:history="1">
        <w:r>
          <w:rPr>
            <w:rStyle w:val="Hyperlink"/>
            <w:color w:val="000000"/>
          </w:rPr>
          <w:t xml:space="preserve"> </w:t>
        </w:r>
      </w:hyperlink>
      <w:r>
        <w:t xml:space="preserve">in accordance with their procedures. </w:t>
      </w:r>
    </w:p>
    <w:p w14:paraId="7BFB67C3" w14:textId="77777777" w:rsidR="009C3C86" w:rsidRDefault="009C3C86" w:rsidP="00027769">
      <w:r>
        <w:t xml:space="preserve"> </w:t>
      </w:r>
    </w:p>
    <w:p w14:paraId="76C88B76" w14:textId="77777777" w:rsidR="009C3C86" w:rsidRDefault="009C3C86" w:rsidP="00027769">
      <w:r>
        <w:rPr>
          <w:b/>
        </w:rPr>
        <w:t xml:space="preserve">What are my notification responsibilities during the study? </w:t>
      </w:r>
      <w:r>
        <w:t xml:space="preserve"> </w:t>
      </w:r>
    </w:p>
    <w:p w14:paraId="069B362A" w14:textId="77777777" w:rsidR="009C3C86" w:rsidRDefault="009C3C86" w:rsidP="00027769">
      <w:r>
        <w:rPr>
          <w:b/>
          <w:color w:val="FF0000"/>
        </w:rPr>
        <w:t xml:space="preserve"> </w:t>
      </w:r>
      <w:r>
        <w:rPr>
          <w:b/>
        </w:rPr>
        <w:t xml:space="preserve"> </w:t>
      </w:r>
    </w:p>
    <w:p w14:paraId="0B79AC52" w14:textId="77777777" w:rsidR="009C3C86" w:rsidRDefault="009C3C86" w:rsidP="00027769">
      <w:r>
        <w:t>The standard conditions document “</w:t>
      </w:r>
      <w:hyperlink r:id="rId152" w:history="1">
        <w:r>
          <w:rPr>
            <w:rStyle w:val="Hyperlink"/>
            <w:i/>
          </w:rPr>
          <w:t xml:space="preserve">After Ethical Review </w:t>
        </w:r>
      </w:hyperlink>
      <w:hyperlink r:id="rId153" w:history="1">
        <w:r>
          <w:rPr>
            <w:rStyle w:val="Hyperlink"/>
            <w:i/>
          </w:rPr>
          <w:t xml:space="preserve">– </w:t>
        </w:r>
      </w:hyperlink>
      <w:hyperlink r:id="rId154" w:history="1">
        <w:r>
          <w:rPr>
            <w:rStyle w:val="Hyperlink"/>
            <w:i/>
          </w:rPr>
          <w:t>guidance for sponsors and</w:t>
        </w:r>
      </w:hyperlink>
      <w:hyperlink r:id="rId155" w:history="1">
        <w:r>
          <w:rPr>
            <w:rStyle w:val="Hyperlink"/>
            <w:i/>
          </w:rPr>
          <w:t xml:space="preserve"> </w:t>
        </w:r>
      </w:hyperlink>
      <w:hyperlink r:id="rId156" w:history="1">
        <w:r>
          <w:rPr>
            <w:rStyle w:val="Hyperlink"/>
            <w:i/>
          </w:rPr>
          <w:t>investigators</w:t>
        </w:r>
      </w:hyperlink>
      <w:hyperlink r:id="rId157" w:history="1">
        <w:r>
          <w:rPr>
            <w:rStyle w:val="Hyperlink"/>
            <w:color w:val="000000"/>
          </w:rPr>
          <w:t>”</w:t>
        </w:r>
      </w:hyperlink>
      <w:r>
        <w:t xml:space="preserve">, issued with your REC favourable opinion, gives detailed guidance on reporting expectations for studies, including: </w:t>
      </w:r>
    </w:p>
    <w:p w14:paraId="55D48F11" w14:textId="77777777" w:rsidR="009C3C86" w:rsidRDefault="009C3C86" w:rsidP="00027769">
      <w:r>
        <w:t xml:space="preserve">Registration of research </w:t>
      </w:r>
    </w:p>
    <w:p w14:paraId="568171BD" w14:textId="77777777" w:rsidR="009C3C86" w:rsidRDefault="009C3C86" w:rsidP="00027769">
      <w:r>
        <w:t xml:space="preserve">Notifying amendments </w:t>
      </w:r>
    </w:p>
    <w:p w14:paraId="3EF55573" w14:textId="77777777" w:rsidR="009C3C86" w:rsidRDefault="009C3C86" w:rsidP="00027769">
      <w:r>
        <w:t xml:space="preserve">Notifying the end of the study </w:t>
      </w:r>
    </w:p>
    <w:p w14:paraId="589436BB" w14:textId="726BD1F2" w:rsidR="009C3C86" w:rsidRDefault="009C3C86" w:rsidP="00027769">
      <w:r>
        <w:t xml:space="preserve">The </w:t>
      </w:r>
      <w:hyperlink r:id="rId158" w:history="1">
        <w:r>
          <w:rPr>
            <w:rStyle w:val="Hyperlink"/>
          </w:rPr>
          <w:t>HRA website</w:t>
        </w:r>
      </w:hyperlink>
      <w:hyperlink r:id="rId159" w:history="1">
        <w:r>
          <w:rPr>
            <w:rStyle w:val="Hyperlink"/>
            <w:color w:val="000000"/>
          </w:rPr>
          <w:t xml:space="preserve"> </w:t>
        </w:r>
      </w:hyperlink>
      <w:r>
        <w:t>also provides guidance on these topics, and is updated in the light of changes in reporti</w:t>
      </w:r>
      <w:r w:rsidR="00476035">
        <w:t xml:space="preserve">ng expectations or procedures. </w:t>
      </w:r>
    </w:p>
    <w:p w14:paraId="2D6217F1" w14:textId="77777777" w:rsidR="00476035" w:rsidRDefault="00476035" w:rsidP="00027769"/>
    <w:p w14:paraId="49048CD5" w14:textId="77777777" w:rsidR="009C3C86" w:rsidRDefault="009C3C86" w:rsidP="00027769">
      <w:r>
        <w:rPr>
          <w:b/>
        </w:rPr>
        <w:t>Who should I contact for further information?</w:t>
      </w:r>
      <w:r>
        <w:t xml:space="preserve"> </w:t>
      </w:r>
    </w:p>
    <w:p w14:paraId="4E9BAC9B" w14:textId="77777777" w:rsidR="009C3C86" w:rsidRDefault="009C3C86" w:rsidP="00027769">
      <w:r>
        <w:t xml:space="preserve">Please do not hesitate to contact me for assistance with this application. My contact details are below. </w:t>
      </w:r>
    </w:p>
    <w:p w14:paraId="45399F5C" w14:textId="77777777" w:rsidR="009C3C86" w:rsidRDefault="009C3C86" w:rsidP="00027769">
      <w:r>
        <w:t xml:space="preserve"> </w:t>
      </w:r>
    </w:p>
    <w:p w14:paraId="4EA35939" w14:textId="77777777" w:rsidR="009C3C86" w:rsidRDefault="009C3C86" w:rsidP="00027769">
      <w:r>
        <w:t xml:space="preserve">Your IRAS project ID is </w:t>
      </w:r>
      <w:r>
        <w:rPr>
          <w:b/>
        </w:rPr>
        <w:t>316771</w:t>
      </w:r>
      <w:r>
        <w:t>.</w:t>
      </w:r>
      <w:r>
        <w:rPr>
          <w:b/>
          <w:i/>
          <w:color w:val="FF0000"/>
        </w:rPr>
        <w:t xml:space="preserve"> </w:t>
      </w:r>
      <w:r>
        <w:t xml:space="preserve">Please quote this on all correspondence. </w:t>
      </w:r>
    </w:p>
    <w:p w14:paraId="6BA2C083" w14:textId="77777777" w:rsidR="009C3C86" w:rsidRDefault="009C3C86" w:rsidP="00027769">
      <w:r>
        <w:t xml:space="preserve"> </w:t>
      </w:r>
    </w:p>
    <w:p w14:paraId="5DC05581" w14:textId="77777777" w:rsidR="009C3C86" w:rsidRDefault="009C3C86" w:rsidP="00027769">
      <w:r>
        <w:lastRenderedPageBreak/>
        <w:t xml:space="preserve">Yours sincerely, </w:t>
      </w:r>
    </w:p>
    <w:p w14:paraId="369D0FB4" w14:textId="77777777" w:rsidR="009C3C86" w:rsidRDefault="009C3C86" w:rsidP="00027769">
      <w:r>
        <w:rPr>
          <w:noProof/>
          <w:lang w:eastAsia="en-GB"/>
        </w:rPr>
        <w:drawing>
          <wp:inline distT="0" distB="0" distL="0" distR="0" wp14:anchorId="4A339A18" wp14:editId="7D462FB5">
            <wp:extent cx="2063750" cy="800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063750" cy="800100"/>
                    </a:xfrm>
                    <a:prstGeom prst="rect">
                      <a:avLst/>
                    </a:prstGeom>
                    <a:noFill/>
                    <a:ln>
                      <a:noFill/>
                    </a:ln>
                  </pic:spPr>
                </pic:pic>
              </a:graphicData>
            </a:graphic>
          </wp:inline>
        </w:drawing>
      </w:r>
    </w:p>
    <w:p w14:paraId="42703E10" w14:textId="77777777" w:rsidR="009C3C86" w:rsidRDefault="009C3C86" w:rsidP="00027769">
      <w:r>
        <w:t xml:space="preserve"> </w:t>
      </w:r>
    </w:p>
    <w:p w14:paraId="6709C533" w14:textId="77777777" w:rsidR="009C3C86" w:rsidRDefault="009C3C86" w:rsidP="00027769">
      <w:r w:rsidRPr="00F855DE">
        <w:rPr>
          <w:highlight w:val="black"/>
        </w:rPr>
        <w:t>Natalie Marking</w:t>
      </w:r>
      <w:r>
        <w:t xml:space="preserve"> </w:t>
      </w:r>
    </w:p>
    <w:p w14:paraId="185F8CA7" w14:textId="46220DDF" w:rsidR="009C3C86" w:rsidRDefault="00476035" w:rsidP="00027769">
      <w:r>
        <w:t xml:space="preserve">Approvals Specialist </w:t>
      </w:r>
    </w:p>
    <w:p w14:paraId="287EB6F0" w14:textId="5F750AEB" w:rsidR="009C3C86" w:rsidRPr="00476035" w:rsidRDefault="009C3C86" w:rsidP="00027769">
      <w:r>
        <w:t xml:space="preserve">Email: </w:t>
      </w:r>
      <w:r>
        <w:rPr>
          <w:color w:val="0000FF"/>
        </w:rPr>
        <w:t>approvals@hra.nhs.uk</w:t>
      </w:r>
      <w:r w:rsidR="00476035">
        <w:t xml:space="preserve">     </w:t>
      </w:r>
    </w:p>
    <w:p w14:paraId="203CDA93" w14:textId="77777777" w:rsidR="009C3C86" w:rsidRDefault="009C3C86" w:rsidP="00027769">
      <w:pPr>
        <w:rPr>
          <w:lang w:eastAsia="en-GB"/>
        </w:rPr>
      </w:pPr>
      <w:bookmarkStart w:id="176" w:name="_Toc133141550"/>
      <w:bookmarkStart w:id="177" w:name="_Toc133144208"/>
      <w:r>
        <w:rPr>
          <w:lang w:eastAsia="en-GB"/>
        </w:rPr>
        <w:t>Site approval for recruitment at Northern Care Alliance NHS Foundation Trust</w:t>
      </w:r>
      <w:bookmarkEnd w:id="176"/>
      <w:bookmarkEnd w:id="177"/>
    </w:p>
    <w:p w14:paraId="5999F485" w14:textId="77777777" w:rsidR="009C3C86" w:rsidRDefault="009C3C86" w:rsidP="00027769">
      <w:pPr>
        <w:rPr>
          <w:rFonts w:ascii="Arial" w:hAnsi="Arial" w:cs="Arial"/>
          <w:lang w:eastAsia="en-GB"/>
        </w:rPr>
      </w:pPr>
    </w:p>
    <w:p w14:paraId="02467839" w14:textId="77777777" w:rsidR="009C3C86" w:rsidRDefault="009C3C86" w:rsidP="00027769">
      <w:pPr>
        <w:rPr>
          <w:rFonts w:ascii="Arial" w:hAnsi="Arial" w:cs="Arial"/>
          <w:lang w:eastAsia="en-GB"/>
        </w:rPr>
      </w:pPr>
      <w:r>
        <w:rPr>
          <w:rFonts w:ascii="Arial" w:hAnsi="Arial" w:cs="Arial"/>
          <w:lang w:eastAsia="en-GB"/>
        </w:rPr>
        <w:t xml:space="preserve">Dear Sponsor Representative, </w:t>
      </w:r>
    </w:p>
    <w:p w14:paraId="647ED761" w14:textId="77777777" w:rsidR="009C3C86" w:rsidRDefault="009C3C86" w:rsidP="00027769">
      <w:pPr>
        <w:rPr>
          <w:rFonts w:ascii="Arial" w:hAnsi="Arial" w:cs="Arial"/>
          <w:lang w:eastAsia="en-GB"/>
        </w:rPr>
      </w:pPr>
    </w:p>
    <w:tbl>
      <w:tblPr>
        <w:tblW w:w="0" w:type="auto"/>
        <w:tblCellMar>
          <w:left w:w="0" w:type="dxa"/>
          <w:right w:w="0" w:type="dxa"/>
        </w:tblCellMar>
        <w:tblLook w:val="04A0" w:firstRow="1" w:lastRow="0" w:firstColumn="1" w:lastColumn="0" w:noHBand="0" w:noVBand="1"/>
      </w:tblPr>
      <w:tblGrid>
        <w:gridCol w:w="3327"/>
        <w:gridCol w:w="5679"/>
      </w:tblGrid>
      <w:tr w:rsidR="009C3C86" w14:paraId="58F09E0F" w14:textId="77777777" w:rsidTr="009C3C86">
        <w:tc>
          <w:tcPr>
            <w:tcW w:w="3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1998AD" w14:textId="77777777" w:rsidR="009C3C86" w:rsidRDefault="009C3C86" w:rsidP="00027769">
            <w:pPr>
              <w:rPr>
                <w:rFonts w:ascii="Arial" w:hAnsi="Arial" w:cs="Arial"/>
                <w:b/>
                <w:bCs/>
                <w:color w:val="000000"/>
              </w:rPr>
            </w:pPr>
            <w:r>
              <w:rPr>
                <w:rFonts w:ascii="Arial" w:hAnsi="Arial" w:cs="Arial"/>
                <w:b/>
                <w:bCs/>
                <w:color w:val="000000"/>
              </w:rPr>
              <w:t>IRAS reference:</w:t>
            </w:r>
          </w:p>
        </w:tc>
        <w:tc>
          <w:tcPr>
            <w:tcW w:w="584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E032007" w14:textId="77777777" w:rsidR="009C3C86" w:rsidRDefault="009C3C86" w:rsidP="00027769">
            <w:pPr>
              <w:rPr>
                <w:rFonts w:ascii="Arial" w:hAnsi="Arial" w:cs="Arial"/>
                <w:b/>
                <w:bCs/>
                <w:color w:val="000000"/>
              </w:rPr>
            </w:pPr>
            <w:r>
              <w:rPr>
                <w:rFonts w:ascii="Arial" w:hAnsi="Arial" w:cs="Arial"/>
                <w:b/>
                <w:bCs/>
                <w:color w:val="000000"/>
              </w:rPr>
              <w:t>316771</w:t>
            </w:r>
          </w:p>
        </w:tc>
      </w:tr>
      <w:tr w:rsidR="009C3C86" w14:paraId="571BD57A" w14:textId="77777777" w:rsidTr="009C3C86">
        <w:tc>
          <w:tcPr>
            <w:tcW w:w="33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1EC867C" w14:textId="77777777" w:rsidR="009C3C86" w:rsidRDefault="009C3C86" w:rsidP="00027769">
            <w:pPr>
              <w:rPr>
                <w:rFonts w:ascii="Arial" w:hAnsi="Arial" w:cs="Arial"/>
                <w:b/>
                <w:bCs/>
                <w:color w:val="000000"/>
              </w:rPr>
            </w:pPr>
            <w:r>
              <w:rPr>
                <w:rFonts w:ascii="Arial" w:hAnsi="Arial" w:cs="Arial"/>
                <w:b/>
                <w:bCs/>
                <w:color w:val="000000"/>
              </w:rPr>
              <w:t>R&amp;I reference:</w:t>
            </w:r>
          </w:p>
        </w:tc>
        <w:tc>
          <w:tcPr>
            <w:tcW w:w="5846" w:type="dxa"/>
            <w:tcBorders>
              <w:top w:val="nil"/>
              <w:left w:val="nil"/>
              <w:bottom w:val="single" w:sz="8" w:space="0" w:color="000000"/>
              <w:right w:val="single" w:sz="8" w:space="0" w:color="000000"/>
            </w:tcBorders>
            <w:tcMar>
              <w:top w:w="0" w:type="dxa"/>
              <w:left w:w="108" w:type="dxa"/>
              <w:bottom w:w="0" w:type="dxa"/>
              <w:right w:w="108" w:type="dxa"/>
            </w:tcMar>
            <w:hideMark/>
          </w:tcPr>
          <w:p w14:paraId="09EFFF25" w14:textId="77777777" w:rsidR="009C3C86" w:rsidRDefault="009C3C86" w:rsidP="00027769">
            <w:pPr>
              <w:rPr>
                <w:rFonts w:ascii="Arial" w:hAnsi="Arial" w:cs="Arial"/>
                <w:b/>
                <w:bCs/>
                <w:color w:val="000000"/>
              </w:rPr>
            </w:pPr>
            <w:r>
              <w:rPr>
                <w:rFonts w:ascii="Arial" w:hAnsi="Arial" w:cs="Arial"/>
                <w:b/>
                <w:bCs/>
                <w:color w:val="000000"/>
              </w:rPr>
              <w:t>22NEURO23</w:t>
            </w:r>
          </w:p>
        </w:tc>
      </w:tr>
      <w:tr w:rsidR="009C3C86" w14:paraId="676D3B87" w14:textId="77777777" w:rsidTr="009C3C86">
        <w:tc>
          <w:tcPr>
            <w:tcW w:w="33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1D99B82" w14:textId="77777777" w:rsidR="009C3C86" w:rsidRDefault="009C3C86" w:rsidP="00027769">
            <w:pPr>
              <w:rPr>
                <w:rFonts w:ascii="Arial" w:hAnsi="Arial" w:cs="Arial"/>
                <w:b/>
                <w:bCs/>
                <w:color w:val="000000"/>
              </w:rPr>
            </w:pPr>
            <w:r>
              <w:rPr>
                <w:rFonts w:ascii="Arial" w:hAnsi="Arial" w:cs="Arial"/>
                <w:b/>
                <w:bCs/>
                <w:color w:val="000000"/>
              </w:rPr>
              <w:t>Study title:</w:t>
            </w:r>
            <w:r>
              <w:rPr>
                <w:rFonts w:ascii="Arial" w:hAnsi="Arial" w:cs="Arial"/>
                <w:b/>
                <w:bCs/>
              </w:rPr>
              <w:t xml:space="preserve"> </w:t>
            </w:r>
          </w:p>
        </w:tc>
        <w:tc>
          <w:tcPr>
            <w:tcW w:w="5846" w:type="dxa"/>
            <w:tcBorders>
              <w:top w:val="nil"/>
              <w:left w:val="nil"/>
              <w:bottom w:val="single" w:sz="8" w:space="0" w:color="000000"/>
              <w:right w:val="single" w:sz="8" w:space="0" w:color="000000"/>
            </w:tcBorders>
            <w:tcMar>
              <w:top w:w="0" w:type="dxa"/>
              <w:left w:w="108" w:type="dxa"/>
              <w:bottom w:w="0" w:type="dxa"/>
              <w:right w:w="108" w:type="dxa"/>
            </w:tcMar>
            <w:hideMark/>
          </w:tcPr>
          <w:p w14:paraId="742FC388" w14:textId="77777777" w:rsidR="009C3C86" w:rsidRDefault="009C3C86" w:rsidP="00027769">
            <w:pPr>
              <w:rPr>
                <w:rFonts w:ascii="Arial" w:hAnsi="Arial" w:cs="Arial"/>
                <w:b/>
                <w:bCs/>
                <w:lang w:eastAsia="en-GB"/>
              </w:rPr>
            </w:pPr>
            <w:r>
              <w:rPr>
                <w:rFonts w:ascii="Arial" w:hAnsi="Arial" w:cs="Arial"/>
                <w:b/>
                <w:bCs/>
                <w:lang w:eastAsia="en-GB"/>
              </w:rPr>
              <w:t>Intolerance of Uncertainty, Anxiety Sensitivity, and Seizures</w:t>
            </w:r>
          </w:p>
        </w:tc>
      </w:tr>
      <w:tr w:rsidR="009C3C86" w14:paraId="054A4257" w14:textId="77777777" w:rsidTr="009C3C86">
        <w:tc>
          <w:tcPr>
            <w:tcW w:w="33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91A573" w14:textId="77777777" w:rsidR="009C3C86" w:rsidRDefault="009C3C86" w:rsidP="00027769">
            <w:pPr>
              <w:rPr>
                <w:rFonts w:ascii="Arial" w:hAnsi="Arial" w:cs="Arial"/>
                <w:b/>
                <w:bCs/>
                <w:color w:val="000000"/>
              </w:rPr>
            </w:pPr>
            <w:r>
              <w:rPr>
                <w:rFonts w:ascii="Arial" w:hAnsi="Arial" w:cs="Arial"/>
                <w:b/>
                <w:bCs/>
                <w:color w:val="000000"/>
              </w:rPr>
              <w:t>Study acronym:</w:t>
            </w:r>
          </w:p>
        </w:tc>
        <w:tc>
          <w:tcPr>
            <w:tcW w:w="5846" w:type="dxa"/>
            <w:tcBorders>
              <w:top w:val="nil"/>
              <w:left w:val="nil"/>
              <w:bottom w:val="single" w:sz="8" w:space="0" w:color="auto"/>
              <w:right w:val="single" w:sz="8" w:space="0" w:color="auto"/>
            </w:tcBorders>
            <w:tcMar>
              <w:top w:w="0" w:type="dxa"/>
              <w:left w:w="108" w:type="dxa"/>
              <w:bottom w:w="0" w:type="dxa"/>
              <w:right w:w="108" w:type="dxa"/>
            </w:tcMar>
            <w:hideMark/>
          </w:tcPr>
          <w:p w14:paraId="42850CD6" w14:textId="77777777" w:rsidR="009C3C86" w:rsidRDefault="009C3C86" w:rsidP="00027769">
            <w:pPr>
              <w:rPr>
                <w:rFonts w:ascii="Arial" w:hAnsi="Arial" w:cs="Arial"/>
                <w:b/>
                <w:bCs/>
                <w:color w:val="000000"/>
              </w:rPr>
            </w:pPr>
            <w:r>
              <w:rPr>
                <w:rFonts w:ascii="Arial" w:hAnsi="Arial" w:cs="Arial"/>
                <w:b/>
                <w:bCs/>
                <w:color w:val="000000"/>
              </w:rPr>
              <w:t>IUASS</w:t>
            </w:r>
          </w:p>
        </w:tc>
      </w:tr>
      <w:tr w:rsidR="009C3C86" w14:paraId="0D7E1B52" w14:textId="77777777" w:rsidTr="009C3C86">
        <w:tc>
          <w:tcPr>
            <w:tcW w:w="33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DFB9DB" w14:textId="77777777" w:rsidR="009C3C86" w:rsidRDefault="009C3C86" w:rsidP="00027769">
            <w:pPr>
              <w:rPr>
                <w:rFonts w:ascii="Arial" w:hAnsi="Arial" w:cs="Arial"/>
                <w:b/>
                <w:bCs/>
                <w:color w:val="000000"/>
              </w:rPr>
            </w:pPr>
            <w:r>
              <w:rPr>
                <w:rFonts w:ascii="Arial" w:hAnsi="Arial" w:cs="Arial"/>
                <w:b/>
                <w:bCs/>
                <w:color w:val="000000"/>
              </w:rPr>
              <w:t>PI:</w:t>
            </w:r>
          </w:p>
        </w:tc>
        <w:tc>
          <w:tcPr>
            <w:tcW w:w="5846" w:type="dxa"/>
            <w:tcBorders>
              <w:top w:val="nil"/>
              <w:left w:val="nil"/>
              <w:bottom w:val="single" w:sz="8" w:space="0" w:color="auto"/>
              <w:right w:val="single" w:sz="8" w:space="0" w:color="auto"/>
            </w:tcBorders>
            <w:tcMar>
              <w:top w:w="0" w:type="dxa"/>
              <w:left w:w="108" w:type="dxa"/>
              <w:bottom w:w="0" w:type="dxa"/>
              <w:right w:w="108" w:type="dxa"/>
            </w:tcMar>
            <w:hideMark/>
          </w:tcPr>
          <w:p w14:paraId="7DE9CD83" w14:textId="77777777" w:rsidR="009C3C86" w:rsidRDefault="009C3C86" w:rsidP="00027769">
            <w:pPr>
              <w:rPr>
                <w:rFonts w:ascii="Arial" w:hAnsi="Arial" w:cs="Arial"/>
                <w:b/>
                <w:bCs/>
                <w:color w:val="000000"/>
              </w:rPr>
            </w:pPr>
            <w:r w:rsidRPr="00F855DE">
              <w:rPr>
                <w:rFonts w:ascii="Arial" w:hAnsi="Arial" w:cs="Arial"/>
                <w:b/>
                <w:bCs/>
                <w:color w:val="000000"/>
                <w:highlight w:val="black"/>
              </w:rPr>
              <w:t>Danielle Verity</w:t>
            </w:r>
          </w:p>
        </w:tc>
      </w:tr>
      <w:tr w:rsidR="009C3C86" w14:paraId="2B865EC4" w14:textId="77777777" w:rsidTr="009C3C86">
        <w:tc>
          <w:tcPr>
            <w:tcW w:w="33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EACEAA" w14:textId="77777777" w:rsidR="009C3C86" w:rsidRDefault="009C3C86" w:rsidP="00027769">
            <w:pPr>
              <w:rPr>
                <w:rFonts w:ascii="Arial" w:hAnsi="Arial" w:cs="Arial"/>
                <w:b/>
                <w:bCs/>
                <w:color w:val="000000"/>
              </w:rPr>
            </w:pPr>
            <w:r>
              <w:rPr>
                <w:rFonts w:ascii="Arial" w:hAnsi="Arial" w:cs="Arial"/>
                <w:b/>
                <w:bCs/>
                <w:color w:val="000000"/>
              </w:rPr>
              <w:t xml:space="preserve">Care Organisation: </w:t>
            </w:r>
          </w:p>
        </w:tc>
        <w:tc>
          <w:tcPr>
            <w:tcW w:w="5846" w:type="dxa"/>
            <w:tcBorders>
              <w:top w:val="nil"/>
              <w:left w:val="nil"/>
              <w:bottom w:val="single" w:sz="8" w:space="0" w:color="auto"/>
              <w:right w:val="single" w:sz="8" w:space="0" w:color="auto"/>
            </w:tcBorders>
            <w:tcMar>
              <w:top w:w="0" w:type="dxa"/>
              <w:left w:w="108" w:type="dxa"/>
              <w:bottom w:w="0" w:type="dxa"/>
              <w:right w:w="108" w:type="dxa"/>
            </w:tcMar>
            <w:hideMark/>
          </w:tcPr>
          <w:p w14:paraId="00071A3E" w14:textId="77777777" w:rsidR="009C3C86" w:rsidRDefault="009C3C86" w:rsidP="00027769">
            <w:pPr>
              <w:rPr>
                <w:rFonts w:ascii="Arial" w:hAnsi="Arial" w:cs="Arial"/>
                <w:b/>
                <w:bCs/>
                <w:color w:val="000000"/>
              </w:rPr>
            </w:pPr>
            <w:r>
              <w:rPr>
                <w:rFonts w:ascii="Arial" w:hAnsi="Arial" w:cs="Arial"/>
                <w:b/>
                <w:bCs/>
                <w:color w:val="000000"/>
              </w:rPr>
              <w:t>Salford Care Organisation</w:t>
            </w:r>
          </w:p>
        </w:tc>
      </w:tr>
      <w:tr w:rsidR="009C3C86" w14:paraId="12C8856E" w14:textId="77777777" w:rsidTr="009C3C86">
        <w:tc>
          <w:tcPr>
            <w:tcW w:w="33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EE5F6B" w14:textId="77777777" w:rsidR="009C3C86" w:rsidRDefault="009C3C86" w:rsidP="00027769">
            <w:pPr>
              <w:rPr>
                <w:rFonts w:ascii="Arial" w:hAnsi="Arial" w:cs="Arial"/>
                <w:b/>
                <w:bCs/>
                <w:color w:val="000000"/>
              </w:rPr>
            </w:pPr>
            <w:r>
              <w:rPr>
                <w:rFonts w:ascii="Arial" w:hAnsi="Arial" w:cs="Arial"/>
                <w:b/>
                <w:bCs/>
                <w:color w:val="000000"/>
              </w:rPr>
              <w:t>NIHR:</w:t>
            </w:r>
          </w:p>
        </w:tc>
        <w:tc>
          <w:tcPr>
            <w:tcW w:w="5846" w:type="dxa"/>
            <w:tcBorders>
              <w:top w:val="nil"/>
              <w:left w:val="nil"/>
              <w:bottom w:val="single" w:sz="8" w:space="0" w:color="auto"/>
              <w:right w:val="single" w:sz="8" w:space="0" w:color="auto"/>
            </w:tcBorders>
            <w:tcMar>
              <w:top w:w="0" w:type="dxa"/>
              <w:left w:w="108" w:type="dxa"/>
              <w:bottom w:w="0" w:type="dxa"/>
              <w:right w:w="108" w:type="dxa"/>
            </w:tcMar>
            <w:hideMark/>
          </w:tcPr>
          <w:p w14:paraId="3FCF67A9" w14:textId="77777777" w:rsidR="009C3C86" w:rsidRDefault="009C3C86" w:rsidP="00027769">
            <w:pPr>
              <w:rPr>
                <w:rFonts w:ascii="Arial" w:hAnsi="Arial" w:cs="Arial"/>
                <w:b/>
                <w:bCs/>
                <w:color w:val="000000"/>
              </w:rPr>
            </w:pPr>
            <w:r>
              <w:rPr>
                <w:rFonts w:ascii="Arial" w:hAnsi="Arial" w:cs="Arial"/>
                <w:b/>
                <w:bCs/>
                <w:color w:val="000000"/>
              </w:rPr>
              <w:t>No</w:t>
            </w:r>
          </w:p>
        </w:tc>
      </w:tr>
      <w:tr w:rsidR="009C3C86" w14:paraId="78A871E0" w14:textId="77777777" w:rsidTr="009C3C86">
        <w:tc>
          <w:tcPr>
            <w:tcW w:w="33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B387EE" w14:textId="77777777" w:rsidR="009C3C86" w:rsidRDefault="009C3C86" w:rsidP="00027769">
            <w:pPr>
              <w:rPr>
                <w:rFonts w:ascii="Arial" w:hAnsi="Arial" w:cs="Arial"/>
                <w:b/>
                <w:bCs/>
                <w:color w:val="000000"/>
              </w:rPr>
            </w:pPr>
            <w:r>
              <w:rPr>
                <w:rFonts w:ascii="Arial" w:hAnsi="Arial" w:cs="Arial"/>
                <w:b/>
                <w:bCs/>
                <w:color w:val="000000"/>
              </w:rPr>
              <w:t>CPMS ID:</w:t>
            </w:r>
          </w:p>
        </w:tc>
        <w:tc>
          <w:tcPr>
            <w:tcW w:w="5846" w:type="dxa"/>
            <w:tcBorders>
              <w:top w:val="nil"/>
              <w:left w:val="nil"/>
              <w:bottom w:val="single" w:sz="8" w:space="0" w:color="auto"/>
              <w:right w:val="single" w:sz="8" w:space="0" w:color="auto"/>
            </w:tcBorders>
            <w:tcMar>
              <w:top w:w="0" w:type="dxa"/>
              <w:left w:w="108" w:type="dxa"/>
              <w:bottom w:w="0" w:type="dxa"/>
              <w:right w:w="108" w:type="dxa"/>
            </w:tcMar>
            <w:hideMark/>
          </w:tcPr>
          <w:p w14:paraId="4F728D6D" w14:textId="77777777" w:rsidR="009C3C86" w:rsidRDefault="009C3C86" w:rsidP="00027769">
            <w:pPr>
              <w:rPr>
                <w:rFonts w:ascii="Arial" w:hAnsi="Arial" w:cs="Arial"/>
                <w:b/>
                <w:bCs/>
                <w:color w:val="000000"/>
              </w:rPr>
            </w:pPr>
            <w:r>
              <w:rPr>
                <w:rFonts w:ascii="Arial" w:hAnsi="Arial" w:cs="Arial"/>
                <w:b/>
                <w:bCs/>
                <w:color w:val="000000"/>
              </w:rPr>
              <w:t>N/A</w:t>
            </w:r>
          </w:p>
        </w:tc>
      </w:tr>
      <w:tr w:rsidR="009C3C86" w14:paraId="36EE3F69" w14:textId="77777777" w:rsidTr="009C3C86">
        <w:tc>
          <w:tcPr>
            <w:tcW w:w="33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259210" w14:textId="77777777" w:rsidR="009C3C86" w:rsidRDefault="009C3C86" w:rsidP="00027769">
            <w:pPr>
              <w:rPr>
                <w:rFonts w:ascii="Arial" w:hAnsi="Arial" w:cs="Arial"/>
                <w:b/>
                <w:bCs/>
                <w:color w:val="000000"/>
              </w:rPr>
            </w:pPr>
            <w:r>
              <w:rPr>
                <w:rFonts w:ascii="Arial" w:hAnsi="Arial" w:cs="Arial"/>
                <w:b/>
                <w:bCs/>
                <w:color w:val="000000"/>
              </w:rPr>
              <w:t>Delivery Reportable to DoH:</w:t>
            </w:r>
          </w:p>
        </w:tc>
        <w:tc>
          <w:tcPr>
            <w:tcW w:w="5846" w:type="dxa"/>
            <w:tcBorders>
              <w:top w:val="nil"/>
              <w:left w:val="nil"/>
              <w:bottom w:val="single" w:sz="8" w:space="0" w:color="auto"/>
              <w:right w:val="single" w:sz="8" w:space="0" w:color="auto"/>
            </w:tcBorders>
            <w:tcMar>
              <w:top w:w="0" w:type="dxa"/>
              <w:left w:w="108" w:type="dxa"/>
              <w:bottom w:w="0" w:type="dxa"/>
              <w:right w:w="108" w:type="dxa"/>
            </w:tcMar>
            <w:hideMark/>
          </w:tcPr>
          <w:p w14:paraId="49615B09" w14:textId="77777777" w:rsidR="009C3C86" w:rsidRDefault="009C3C86" w:rsidP="00027769">
            <w:pPr>
              <w:rPr>
                <w:rFonts w:ascii="Arial" w:hAnsi="Arial" w:cs="Arial"/>
                <w:b/>
                <w:bCs/>
                <w:color w:val="000000"/>
              </w:rPr>
            </w:pPr>
            <w:r>
              <w:rPr>
                <w:rFonts w:ascii="Arial" w:hAnsi="Arial" w:cs="Arial"/>
                <w:b/>
                <w:bCs/>
                <w:color w:val="000000"/>
              </w:rPr>
              <w:t>No</w:t>
            </w:r>
          </w:p>
        </w:tc>
      </w:tr>
      <w:tr w:rsidR="009C3C86" w14:paraId="62D31EEC" w14:textId="77777777" w:rsidTr="009C3C86">
        <w:tc>
          <w:tcPr>
            <w:tcW w:w="33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03827F" w14:textId="77777777" w:rsidR="009C3C86" w:rsidRDefault="009C3C86" w:rsidP="00027769">
            <w:pPr>
              <w:rPr>
                <w:rFonts w:ascii="Arial" w:hAnsi="Arial" w:cs="Arial"/>
                <w:b/>
                <w:bCs/>
                <w:color w:val="000000"/>
              </w:rPr>
            </w:pPr>
            <w:r>
              <w:rPr>
                <w:rFonts w:ascii="Arial" w:hAnsi="Arial" w:cs="Arial"/>
                <w:b/>
                <w:bCs/>
                <w:color w:val="000000"/>
              </w:rPr>
              <w:t>Funding source:</w:t>
            </w:r>
          </w:p>
        </w:tc>
        <w:tc>
          <w:tcPr>
            <w:tcW w:w="5846" w:type="dxa"/>
            <w:tcBorders>
              <w:top w:val="nil"/>
              <w:left w:val="nil"/>
              <w:bottom w:val="single" w:sz="8" w:space="0" w:color="auto"/>
              <w:right w:val="single" w:sz="8" w:space="0" w:color="auto"/>
            </w:tcBorders>
            <w:tcMar>
              <w:top w:w="0" w:type="dxa"/>
              <w:left w:w="108" w:type="dxa"/>
              <w:bottom w:w="0" w:type="dxa"/>
              <w:right w:w="108" w:type="dxa"/>
            </w:tcMar>
            <w:hideMark/>
          </w:tcPr>
          <w:p w14:paraId="3AB23CCC" w14:textId="77777777" w:rsidR="009C3C86" w:rsidRDefault="009C3C86" w:rsidP="00027769">
            <w:pPr>
              <w:rPr>
                <w:rFonts w:ascii="Arial" w:hAnsi="Arial" w:cs="Arial"/>
                <w:b/>
                <w:bCs/>
                <w:color w:val="000000"/>
              </w:rPr>
            </w:pPr>
            <w:r>
              <w:rPr>
                <w:rFonts w:ascii="Arial" w:hAnsi="Arial" w:cs="Arial"/>
                <w:b/>
                <w:bCs/>
                <w:color w:val="000000"/>
              </w:rPr>
              <w:t>Non-commercial</w:t>
            </w:r>
          </w:p>
        </w:tc>
      </w:tr>
      <w:tr w:rsidR="009C3C86" w14:paraId="7BBB879E" w14:textId="77777777" w:rsidTr="009C3C86">
        <w:trPr>
          <w:trHeight w:val="210"/>
        </w:trPr>
        <w:tc>
          <w:tcPr>
            <w:tcW w:w="33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562225" w14:textId="77777777" w:rsidR="009C3C86" w:rsidRDefault="009C3C86" w:rsidP="00027769">
            <w:pPr>
              <w:rPr>
                <w:rFonts w:ascii="Arial" w:hAnsi="Arial" w:cs="Arial"/>
                <w:b/>
                <w:bCs/>
                <w:color w:val="000000"/>
              </w:rPr>
            </w:pPr>
            <w:r>
              <w:rPr>
                <w:rFonts w:ascii="Arial" w:hAnsi="Arial" w:cs="Arial"/>
                <w:b/>
                <w:bCs/>
                <w:color w:val="000000"/>
              </w:rPr>
              <w:t>Date site selected:</w:t>
            </w:r>
          </w:p>
        </w:tc>
        <w:tc>
          <w:tcPr>
            <w:tcW w:w="5846" w:type="dxa"/>
            <w:tcBorders>
              <w:top w:val="nil"/>
              <w:left w:val="nil"/>
              <w:bottom w:val="single" w:sz="8" w:space="0" w:color="auto"/>
              <w:right w:val="single" w:sz="8" w:space="0" w:color="auto"/>
            </w:tcBorders>
            <w:tcMar>
              <w:top w:w="0" w:type="dxa"/>
              <w:left w:w="108" w:type="dxa"/>
              <w:bottom w:w="0" w:type="dxa"/>
              <w:right w:w="108" w:type="dxa"/>
            </w:tcMar>
            <w:hideMark/>
          </w:tcPr>
          <w:p w14:paraId="7B68BA2F" w14:textId="77777777" w:rsidR="009C3C86" w:rsidRDefault="009C3C86" w:rsidP="00027769">
            <w:pPr>
              <w:rPr>
                <w:rFonts w:ascii="Arial" w:hAnsi="Arial" w:cs="Arial"/>
                <w:b/>
                <w:bCs/>
                <w:color w:val="000000"/>
              </w:rPr>
            </w:pPr>
            <w:r>
              <w:rPr>
                <w:rFonts w:ascii="Arial" w:hAnsi="Arial" w:cs="Arial"/>
                <w:b/>
                <w:bCs/>
                <w:color w:val="000000"/>
              </w:rPr>
              <w:t>03.02.2023</w:t>
            </w:r>
          </w:p>
        </w:tc>
      </w:tr>
      <w:tr w:rsidR="009C3C86" w14:paraId="6CA4EF09" w14:textId="77777777" w:rsidTr="009C3C86">
        <w:trPr>
          <w:trHeight w:val="210"/>
        </w:trPr>
        <w:tc>
          <w:tcPr>
            <w:tcW w:w="33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4EC3FD" w14:textId="77777777" w:rsidR="009C3C86" w:rsidRDefault="009C3C86" w:rsidP="00027769">
            <w:pPr>
              <w:rPr>
                <w:rFonts w:ascii="Arial" w:hAnsi="Arial" w:cs="Arial"/>
                <w:b/>
                <w:bCs/>
                <w:color w:val="000000"/>
              </w:rPr>
            </w:pPr>
            <w:r>
              <w:rPr>
                <w:rFonts w:ascii="Arial" w:hAnsi="Arial" w:cs="Arial"/>
                <w:b/>
                <w:bCs/>
                <w:color w:val="000000"/>
              </w:rPr>
              <w:t>Number of calendar days to recruit 1</w:t>
            </w:r>
            <w:r>
              <w:rPr>
                <w:rFonts w:ascii="Arial" w:hAnsi="Arial" w:cs="Arial"/>
                <w:b/>
                <w:bCs/>
                <w:color w:val="000000"/>
                <w:vertAlign w:val="superscript"/>
              </w:rPr>
              <w:t>st</w:t>
            </w:r>
            <w:r>
              <w:rPr>
                <w:rFonts w:ascii="Arial" w:hAnsi="Arial" w:cs="Arial"/>
                <w:b/>
                <w:bCs/>
                <w:color w:val="000000"/>
              </w:rPr>
              <w:t xml:space="preserve"> participant: </w:t>
            </w:r>
          </w:p>
        </w:tc>
        <w:tc>
          <w:tcPr>
            <w:tcW w:w="5846" w:type="dxa"/>
            <w:tcBorders>
              <w:top w:val="nil"/>
              <w:left w:val="nil"/>
              <w:bottom w:val="single" w:sz="8" w:space="0" w:color="auto"/>
              <w:right w:val="single" w:sz="8" w:space="0" w:color="auto"/>
            </w:tcBorders>
            <w:tcMar>
              <w:top w:w="0" w:type="dxa"/>
              <w:left w:w="108" w:type="dxa"/>
              <w:bottom w:w="0" w:type="dxa"/>
              <w:right w:w="108" w:type="dxa"/>
            </w:tcMar>
            <w:hideMark/>
          </w:tcPr>
          <w:p w14:paraId="3CC1AA09" w14:textId="77777777" w:rsidR="009C3C86" w:rsidRDefault="009C3C86" w:rsidP="00027769">
            <w:pPr>
              <w:rPr>
                <w:rFonts w:ascii="Arial" w:hAnsi="Arial" w:cs="Arial"/>
                <w:b/>
                <w:bCs/>
                <w:color w:val="000000"/>
              </w:rPr>
            </w:pPr>
            <w:r>
              <w:rPr>
                <w:rFonts w:ascii="Arial" w:hAnsi="Arial" w:cs="Arial"/>
                <w:b/>
                <w:bCs/>
                <w:color w:val="000000"/>
              </w:rPr>
              <w:t xml:space="preserve">70 </w:t>
            </w:r>
          </w:p>
        </w:tc>
      </w:tr>
      <w:tr w:rsidR="009C3C86" w14:paraId="1FD56499" w14:textId="77777777" w:rsidTr="009C3C86">
        <w:trPr>
          <w:trHeight w:val="510"/>
        </w:trPr>
        <w:tc>
          <w:tcPr>
            <w:tcW w:w="33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732F53" w14:textId="77777777" w:rsidR="009C3C86" w:rsidRDefault="009C3C86" w:rsidP="00027769">
            <w:pPr>
              <w:rPr>
                <w:rFonts w:ascii="Arial" w:hAnsi="Arial" w:cs="Arial"/>
                <w:b/>
                <w:bCs/>
                <w:color w:val="000000"/>
              </w:rPr>
            </w:pPr>
            <w:r>
              <w:rPr>
                <w:rFonts w:ascii="Arial" w:hAnsi="Arial" w:cs="Arial"/>
                <w:b/>
                <w:bCs/>
                <w:color w:val="000000"/>
              </w:rPr>
              <w:t>Target date for first participant recruited:</w:t>
            </w:r>
          </w:p>
        </w:tc>
        <w:tc>
          <w:tcPr>
            <w:tcW w:w="5846" w:type="dxa"/>
            <w:tcBorders>
              <w:top w:val="nil"/>
              <w:left w:val="nil"/>
              <w:bottom w:val="single" w:sz="8" w:space="0" w:color="auto"/>
              <w:right w:val="single" w:sz="8" w:space="0" w:color="auto"/>
            </w:tcBorders>
            <w:tcMar>
              <w:top w:w="0" w:type="dxa"/>
              <w:left w:w="108" w:type="dxa"/>
              <w:bottom w:w="0" w:type="dxa"/>
              <w:right w:w="108" w:type="dxa"/>
            </w:tcMar>
            <w:hideMark/>
          </w:tcPr>
          <w:p w14:paraId="73EB2AC9" w14:textId="77777777" w:rsidR="009C3C86" w:rsidRDefault="009C3C86" w:rsidP="00027769">
            <w:pPr>
              <w:rPr>
                <w:rFonts w:ascii="Arial" w:hAnsi="Arial" w:cs="Arial"/>
                <w:b/>
                <w:bCs/>
                <w:color w:val="000000"/>
              </w:rPr>
            </w:pPr>
            <w:r>
              <w:rPr>
                <w:rFonts w:ascii="Arial" w:hAnsi="Arial" w:cs="Arial"/>
                <w:b/>
                <w:bCs/>
                <w:color w:val="000000"/>
              </w:rPr>
              <w:t>14.04.2023</w:t>
            </w:r>
          </w:p>
        </w:tc>
      </w:tr>
      <w:tr w:rsidR="009C3C86" w14:paraId="0BB1C2D7" w14:textId="77777777" w:rsidTr="009C3C86">
        <w:trPr>
          <w:trHeight w:val="80"/>
        </w:trPr>
        <w:tc>
          <w:tcPr>
            <w:tcW w:w="33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80F38F" w14:textId="77777777" w:rsidR="009C3C86" w:rsidRDefault="009C3C86" w:rsidP="00027769">
            <w:pPr>
              <w:rPr>
                <w:rFonts w:ascii="Arial" w:hAnsi="Arial" w:cs="Arial"/>
                <w:b/>
                <w:bCs/>
              </w:rPr>
            </w:pPr>
            <w:r>
              <w:rPr>
                <w:rFonts w:ascii="Arial" w:hAnsi="Arial" w:cs="Arial"/>
                <w:b/>
                <w:bCs/>
                <w:color w:val="000000"/>
              </w:rPr>
              <w:t xml:space="preserve">Target </w:t>
            </w:r>
            <w:r>
              <w:rPr>
                <w:rFonts w:ascii="Arial" w:hAnsi="Arial" w:cs="Arial"/>
                <w:b/>
                <w:bCs/>
              </w:rPr>
              <w:t>a</w:t>
            </w:r>
            <w:r>
              <w:rPr>
                <w:rFonts w:ascii="Arial" w:hAnsi="Arial" w:cs="Arial"/>
                <w:b/>
                <w:bCs/>
                <w:color w:val="000000"/>
              </w:rPr>
              <w:t xml:space="preserve">s confirmed in the </w:t>
            </w:r>
            <w:r>
              <w:rPr>
                <w:rFonts w:ascii="Arial" w:hAnsi="Arial" w:cs="Arial"/>
                <w:b/>
                <w:bCs/>
                <w:lang w:eastAsia="en-GB"/>
              </w:rPr>
              <w:t>Organisation Information Document:</w:t>
            </w:r>
          </w:p>
        </w:tc>
        <w:tc>
          <w:tcPr>
            <w:tcW w:w="5846" w:type="dxa"/>
            <w:tcBorders>
              <w:top w:val="nil"/>
              <w:left w:val="nil"/>
              <w:bottom w:val="single" w:sz="8" w:space="0" w:color="auto"/>
              <w:right w:val="single" w:sz="8" w:space="0" w:color="auto"/>
            </w:tcBorders>
            <w:tcMar>
              <w:top w:w="0" w:type="dxa"/>
              <w:left w:w="108" w:type="dxa"/>
              <w:bottom w:w="0" w:type="dxa"/>
              <w:right w:w="108" w:type="dxa"/>
            </w:tcMar>
            <w:hideMark/>
          </w:tcPr>
          <w:p w14:paraId="660C94B5" w14:textId="77777777" w:rsidR="009C3C86" w:rsidRDefault="009C3C86" w:rsidP="00027769">
            <w:pPr>
              <w:rPr>
                <w:rFonts w:ascii="Arial" w:hAnsi="Arial" w:cs="Arial"/>
                <w:b/>
                <w:bCs/>
              </w:rPr>
            </w:pPr>
            <w:r>
              <w:rPr>
                <w:rFonts w:ascii="Arial" w:hAnsi="Arial" w:cs="Arial"/>
                <w:b/>
                <w:bCs/>
              </w:rPr>
              <w:t>25</w:t>
            </w:r>
          </w:p>
        </w:tc>
      </w:tr>
      <w:tr w:rsidR="009C3C86" w14:paraId="37EA9DC3" w14:textId="77777777" w:rsidTr="009C3C86">
        <w:trPr>
          <w:trHeight w:val="80"/>
        </w:trPr>
        <w:tc>
          <w:tcPr>
            <w:tcW w:w="33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8C78D7" w14:textId="77777777" w:rsidR="009C3C86" w:rsidRDefault="009C3C86" w:rsidP="00027769">
            <w:pPr>
              <w:rPr>
                <w:rFonts w:ascii="Arial" w:hAnsi="Arial" w:cs="Arial"/>
                <w:b/>
                <w:bCs/>
                <w:color w:val="000000"/>
              </w:rPr>
            </w:pPr>
            <w:r>
              <w:rPr>
                <w:rFonts w:ascii="Arial" w:hAnsi="Arial" w:cs="Arial"/>
                <w:b/>
                <w:bCs/>
                <w:color w:val="000000"/>
              </w:rPr>
              <w:t>Recruitment end date:</w:t>
            </w:r>
          </w:p>
        </w:tc>
        <w:tc>
          <w:tcPr>
            <w:tcW w:w="5846" w:type="dxa"/>
            <w:tcBorders>
              <w:top w:val="nil"/>
              <w:left w:val="nil"/>
              <w:bottom w:val="single" w:sz="8" w:space="0" w:color="auto"/>
              <w:right w:val="single" w:sz="8" w:space="0" w:color="auto"/>
            </w:tcBorders>
            <w:tcMar>
              <w:top w:w="0" w:type="dxa"/>
              <w:left w:w="108" w:type="dxa"/>
              <w:bottom w:w="0" w:type="dxa"/>
              <w:right w:w="108" w:type="dxa"/>
            </w:tcMar>
            <w:hideMark/>
          </w:tcPr>
          <w:p w14:paraId="51049590" w14:textId="77777777" w:rsidR="009C3C86" w:rsidRDefault="009C3C86" w:rsidP="00027769">
            <w:pPr>
              <w:rPr>
                <w:rFonts w:ascii="Arial" w:hAnsi="Arial" w:cs="Arial"/>
                <w:b/>
                <w:bCs/>
                <w:color w:val="000000"/>
              </w:rPr>
            </w:pPr>
            <w:r>
              <w:rPr>
                <w:rFonts w:ascii="Arial" w:hAnsi="Arial" w:cs="Arial"/>
                <w:b/>
                <w:bCs/>
                <w:color w:val="000000"/>
              </w:rPr>
              <w:t>01.09.2023</w:t>
            </w:r>
          </w:p>
        </w:tc>
      </w:tr>
    </w:tbl>
    <w:p w14:paraId="3EB3239F" w14:textId="77777777" w:rsidR="009C3C86" w:rsidRDefault="009C3C86" w:rsidP="00027769">
      <w:pPr>
        <w:rPr>
          <w:rFonts w:ascii="Arial" w:eastAsia="Calibri" w:hAnsi="Arial" w:cs="Arial"/>
          <w:lang w:eastAsia="en-GB"/>
        </w:rPr>
      </w:pPr>
    </w:p>
    <w:p w14:paraId="796A662C" w14:textId="77777777" w:rsidR="009C3C86" w:rsidRDefault="009C3C86" w:rsidP="00027769">
      <w:pPr>
        <w:rPr>
          <w:rFonts w:ascii="Arial" w:hAnsi="Arial" w:cs="Arial"/>
          <w:lang w:eastAsia="en-GB"/>
        </w:rPr>
      </w:pPr>
      <w:r>
        <w:rPr>
          <w:rFonts w:ascii="Arial" w:hAnsi="Arial" w:cs="Arial"/>
          <w:lang w:eastAsia="en-GB"/>
        </w:rPr>
        <w:lastRenderedPageBreak/>
        <w:t xml:space="preserve">This email confirms </w:t>
      </w:r>
      <w:r>
        <w:rPr>
          <w:rFonts w:ascii="Arial" w:hAnsi="Arial" w:cs="Arial"/>
          <w:color w:val="000000"/>
          <w:lang w:eastAsia="en-GB"/>
        </w:rPr>
        <w:t xml:space="preserve">that </w:t>
      </w:r>
      <w:r>
        <w:rPr>
          <w:rFonts w:ascii="Arial" w:hAnsi="Arial" w:cs="Arial"/>
          <w:color w:val="000000"/>
        </w:rPr>
        <w:t>Northern Care Alliance NHS Foundation</w:t>
      </w:r>
      <w:r>
        <w:rPr>
          <w:rFonts w:ascii="Arial" w:hAnsi="Arial" w:cs="Arial"/>
          <w:b/>
          <w:bCs/>
          <w:color w:val="000000"/>
          <w:sz w:val="24"/>
          <w:szCs w:val="24"/>
        </w:rPr>
        <w:t xml:space="preserve"> </w:t>
      </w:r>
      <w:r>
        <w:rPr>
          <w:rFonts w:ascii="Arial" w:hAnsi="Arial" w:cs="Arial"/>
          <w:lang w:eastAsia="en-GB"/>
        </w:rPr>
        <w:t xml:space="preserve">Trust </w:t>
      </w:r>
      <w:r>
        <w:rPr>
          <w:rFonts w:ascii="Arial" w:hAnsi="Arial" w:cs="Arial"/>
          <w:color w:val="000000"/>
          <w:lang w:eastAsia="en-GB"/>
        </w:rPr>
        <w:t xml:space="preserve">has the </w:t>
      </w:r>
      <w:r>
        <w:rPr>
          <w:rFonts w:ascii="Arial" w:hAnsi="Arial" w:cs="Arial"/>
          <w:lang w:eastAsia="en-GB"/>
        </w:rPr>
        <w:t>capacity and capability to deliver the above referenced study. Please find attached our</w:t>
      </w:r>
      <w:r>
        <w:rPr>
          <w:rFonts w:ascii="Arial" w:hAnsi="Arial" w:cs="Arial"/>
          <w:b/>
          <w:bCs/>
          <w:color w:val="FF0000"/>
          <w:lang w:eastAsia="en-GB"/>
        </w:rPr>
        <w:t xml:space="preserve"> </w:t>
      </w:r>
      <w:r>
        <w:rPr>
          <w:rFonts w:ascii="Arial" w:hAnsi="Arial" w:cs="Arial"/>
          <w:lang w:eastAsia="en-GB"/>
        </w:rPr>
        <w:t xml:space="preserve">agreed Organisation Information Document as confirmation. Also attached is the HRA approval letter dated </w:t>
      </w:r>
      <w:r>
        <w:rPr>
          <w:rFonts w:ascii="Arial" w:hAnsi="Arial" w:cs="Arial"/>
          <w:b/>
          <w:bCs/>
          <w:lang w:eastAsia="en-GB"/>
        </w:rPr>
        <w:t>20.12.2022</w:t>
      </w:r>
      <w:r>
        <w:rPr>
          <w:rFonts w:ascii="Arial" w:hAnsi="Arial" w:cs="Arial"/>
          <w:lang w:eastAsia="en-GB"/>
        </w:rPr>
        <w:t>.</w:t>
      </w:r>
      <w:r>
        <w:rPr>
          <w:rFonts w:ascii="Arial" w:hAnsi="Arial" w:cs="Arial"/>
          <w:color w:val="1F497D"/>
          <w:lang w:eastAsia="en-GB"/>
        </w:rPr>
        <w:t xml:space="preserve"> </w:t>
      </w:r>
      <w:r>
        <w:rPr>
          <w:rFonts w:ascii="Arial" w:hAnsi="Arial" w:cs="Arial"/>
          <w:lang w:eastAsia="en-GB"/>
        </w:rPr>
        <w:t xml:space="preserve">The documents highlighted on this letter have been reviewed and approved at </w:t>
      </w:r>
      <w:r>
        <w:rPr>
          <w:rFonts w:ascii="Arial" w:hAnsi="Arial" w:cs="Arial"/>
          <w:color w:val="000000"/>
        </w:rPr>
        <w:t>Northern Care Alliance NHS Foundation Trust</w:t>
      </w:r>
      <w:r>
        <w:rPr>
          <w:rFonts w:ascii="Arial" w:hAnsi="Arial" w:cs="Arial"/>
          <w:lang w:eastAsia="en-GB"/>
        </w:rPr>
        <w:t>.</w:t>
      </w:r>
    </w:p>
    <w:p w14:paraId="01DE96E8" w14:textId="77777777" w:rsidR="009C3C86" w:rsidRDefault="009C3C86" w:rsidP="00027769">
      <w:pPr>
        <w:rPr>
          <w:rFonts w:ascii="Arial" w:hAnsi="Arial" w:cs="Arial"/>
        </w:rPr>
      </w:pPr>
    </w:p>
    <w:p w14:paraId="534FEB91" w14:textId="77777777" w:rsidR="009C3C86" w:rsidRDefault="009C3C86" w:rsidP="00027769">
      <w:pPr>
        <w:rPr>
          <w:rFonts w:ascii="Arial" w:hAnsi="Arial" w:cs="Arial"/>
          <w:lang w:eastAsia="en-GB"/>
        </w:rPr>
      </w:pPr>
      <w:r>
        <w:rPr>
          <w:rFonts w:ascii="Arial" w:hAnsi="Arial" w:cs="Arial"/>
          <w:lang w:eastAsia="en-GB"/>
        </w:rPr>
        <w:t>We agree to start this study on a date to be agreed when you as sponsor give the green light to begin. Once agreed, please confirm the site activation date to all in this email.</w:t>
      </w:r>
    </w:p>
    <w:p w14:paraId="3C0CF6BD" w14:textId="77777777" w:rsidR="009C3C86" w:rsidRDefault="009C3C86" w:rsidP="00027769">
      <w:pPr>
        <w:rPr>
          <w:rFonts w:ascii="Arial" w:hAnsi="Arial" w:cs="Arial"/>
          <w:lang w:eastAsia="en-GB"/>
        </w:rPr>
      </w:pPr>
    </w:p>
    <w:p w14:paraId="58629211" w14:textId="77777777" w:rsidR="009C3C86" w:rsidRDefault="009C3C86" w:rsidP="00027769">
      <w:pPr>
        <w:rPr>
          <w:lang w:eastAsia="en-GB"/>
        </w:rPr>
      </w:pPr>
      <w:bookmarkStart w:id="178" w:name="_Toc133141551"/>
      <w:bookmarkStart w:id="179" w:name="_Toc133144209"/>
      <w:r>
        <w:rPr>
          <w:lang w:eastAsia="en-GB"/>
        </w:rPr>
        <w:t>Site approval for recruitment at Northern Care Alliance NHS Foundation Trust</w:t>
      </w:r>
      <w:bookmarkEnd w:id="178"/>
      <w:bookmarkEnd w:id="179"/>
    </w:p>
    <w:p w14:paraId="588A751C" w14:textId="77777777" w:rsidR="009C3C86" w:rsidRDefault="009C3C86" w:rsidP="00027769"/>
    <w:p w14:paraId="52BB9254" w14:textId="77777777" w:rsidR="009C3C86" w:rsidRDefault="009C3C86" w:rsidP="00027769">
      <w:pPr>
        <w:rPr>
          <w:b/>
          <w:bCs/>
        </w:rPr>
      </w:pPr>
      <w:r>
        <w:rPr>
          <w:b/>
          <w:bCs/>
        </w:rPr>
        <w:t>RE: IRAS 316771. Confirmation of Capacity and Capability at University Hospitals of North Midlands NHS Trust.</w:t>
      </w:r>
    </w:p>
    <w:p w14:paraId="00E99495" w14:textId="77777777" w:rsidR="009C3C86" w:rsidRDefault="009C3C86" w:rsidP="00027769"/>
    <w:p w14:paraId="1BF5D978" w14:textId="77777777" w:rsidR="009C3C86" w:rsidRDefault="009C3C86" w:rsidP="00027769">
      <w:pPr>
        <w:rPr>
          <w:b/>
          <w:bCs/>
        </w:rPr>
      </w:pPr>
      <w:r>
        <w:rPr>
          <w:b/>
          <w:bCs/>
        </w:rPr>
        <w:t xml:space="preserve">Full Study Title: </w:t>
      </w:r>
      <w:r>
        <w:t xml:space="preserve">Intolerance of Uncertainty, Anxiety Sensitivity, and Somatisation in Seizure Conditions </w:t>
      </w:r>
      <w:r>
        <w:rPr>
          <w:b/>
          <w:bCs/>
        </w:rPr>
        <w:t>(PIC SITE ONLY)</w:t>
      </w:r>
    </w:p>
    <w:p w14:paraId="41A4930E" w14:textId="77777777" w:rsidR="009C3C86" w:rsidRDefault="009C3C86" w:rsidP="00027769"/>
    <w:p w14:paraId="61AA69D8" w14:textId="77777777" w:rsidR="009C3C86" w:rsidRDefault="009C3C86" w:rsidP="00027769">
      <w:r>
        <w:t>This email confirms that University Hospitals of North Midlands NHS Trust has the capacity and capability to deliver the above referenced study as a PIC site. Please find attached our fully signed PIC agreement as confirmation.</w:t>
      </w:r>
    </w:p>
    <w:p w14:paraId="61AB7F40" w14:textId="77777777" w:rsidR="009C3C86" w:rsidRDefault="009C3C86" w:rsidP="00027769"/>
    <w:p w14:paraId="0B3D96CA" w14:textId="77777777" w:rsidR="009C3C86" w:rsidRDefault="009C3C86" w:rsidP="00027769">
      <w:r>
        <w:t>We agree to start this study on a date to be agreed when you as sponsor give the green light to begin.</w:t>
      </w:r>
    </w:p>
    <w:p w14:paraId="54CE835F" w14:textId="77777777" w:rsidR="009C3C86" w:rsidRDefault="009C3C86" w:rsidP="00027769"/>
    <w:p w14:paraId="1192B200" w14:textId="77777777" w:rsidR="009C3C86" w:rsidRDefault="009C3C86" w:rsidP="00027769">
      <w:r>
        <w:t>If you wish to discuss further, please do not hesitate to contact me.</w:t>
      </w:r>
    </w:p>
    <w:p w14:paraId="43C35F59" w14:textId="77777777" w:rsidR="009C3C86" w:rsidRDefault="009C3C86" w:rsidP="00027769"/>
    <w:p w14:paraId="47F9C77E" w14:textId="49BFA5A1" w:rsidR="00F855DE" w:rsidRDefault="009C3C86" w:rsidP="00F855DE">
      <w:r>
        <w:t>Kind regards</w:t>
      </w:r>
    </w:p>
    <w:p w14:paraId="0AC11028" w14:textId="1D0B2CF5" w:rsidR="00F855DE" w:rsidRDefault="00F855DE" w:rsidP="00027769">
      <w:pPr>
        <w:pStyle w:val="Heading1"/>
      </w:pPr>
    </w:p>
    <w:p w14:paraId="50C885F3" w14:textId="4FFC2B50" w:rsidR="00F855DE" w:rsidRDefault="00F855DE" w:rsidP="00F855DE"/>
    <w:p w14:paraId="18168D48" w14:textId="77777777" w:rsidR="00F855DE" w:rsidRPr="00F855DE" w:rsidRDefault="00F855DE" w:rsidP="00F855DE"/>
    <w:p w14:paraId="1CFC8D25" w14:textId="77777777" w:rsidR="00A53770" w:rsidRDefault="00A53770">
      <w:pPr>
        <w:rPr>
          <w:rFonts w:eastAsiaTheme="majorEastAsia" w:cstheme="minorHAnsi"/>
          <w:b/>
        </w:rPr>
      </w:pPr>
      <w:r>
        <w:br w:type="page"/>
      </w:r>
    </w:p>
    <w:p w14:paraId="4E57617E" w14:textId="19062D17" w:rsidR="009C3C86" w:rsidRDefault="009C3C86" w:rsidP="00027769">
      <w:pPr>
        <w:pStyle w:val="Heading1"/>
      </w:pPr>
      <w:bookmarkStart w:id="180" w:name="_Toc133487848"/>
      <w:r>
        <w:rPr>
          <w:noProof/>
          <w:lang w:eastAsia="en-GB"/>
        </w:rPr>
        <w:lastRenderedPageBreak/>
        <w:drawing>
          <wp:anchor distT="0" distB="0" distL="114300" distR="114300" simplePos="0" relativeHeight="251688960" behindDoc="0" locked="0" layoutInCell="1" allowOverlap="1" wp14:anchorId="23294905" wp14:editId="08A13EB9">
            <wp:simplePos x="0" y="0"/>
            <wp:positionH relativeFrom="page">
              <wp:posOffset>180731</wp:posOffset>
            </wp:positionH>
            <wp:positionV relativeFrom="margin">
              <wp:posOffset>-873076</wp:posOffset>
            </wp:positionV>
            <wp:extent cx="1130935" cy="10350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130935" cy="1035050"/>
                    </a:xfrm>
                    <a:prstGeom prst="rect">
                      <a:avLst/>
                    </a:prstGeom>
                    <a:noFill/>
                  </pic:spPr>
                </pic:pic>
              </a:graphicData>
            </a:graphic>
            <wp14:sizeRelH relativeFrom="page">
              <wp14:pctWidth>0</wp14:pctWidth>
            </wp14:sizeRelH>
            <wp14:sizeRelV relativeFrom="page">
              <wp14:pctHeight>0</wp14:pctHeight>
            </wp14:sizeRelV>
          </wp:anchor>
        </w:drawing>
      </w:r>
      <w:r>
        <w:t>Appendix D</w:t>
      </w:r>
      <w:bookmarkEnd w:id="180"/>
    </w:p>
    <w:p w14:paraId="0943EF1A" w14:textId="430C1E35" w:rsidR="009C3C86" w:rsidRPr="00A53770" w:rsidRDefault="009C3C86" w:rsidP="00A53770">
      <w:pPr>
        <w:rPr>
          <w:b/>
        </w:rPr>
      </w:pPr>
      <w:r w:rsidRPr="00A53770">
        <w:rPr>
          <w:b/>
        </w:rPr>
        <w:t xml:space="preserve">       </w:t>
      </w:r>
      <w:r w:rsidR="00FA1AA6">
        <w:rPr>
          <w:b/>
        </w:rPr>
        <w:tab/>
      </w:r>
      <w:r w:rsidR="00FA1AA6">
        <w:rPr>
          <w:b/>
        </w:rPr>
        <w:tab/>
      </w:r>
      <w:r w:rsidR="00FA1AA6">
        <w:rPr>
          <w:b/>
        </w:rPr>
        <w:tab/>
      </w:r>
      <w:r w:rsidR="00FA1AA6">
        <w:rPr>
          <w:b/>
        </w:rPr>
        <w:tab/>
      </w:r>
      <w:r w:rsidR="00FA1AA6">
        <w:rPr>
          <w:b/>
        </w:rPr>
        <w:tab/>
      </w:r>
      <w:r w:rsidRPr="00A53770">
        <w:rPr>
          <w:b/>
        </w:rPr>
        <w:t xml:space="preserve"> </w:t>
      </w:r>
      <w:bookmarkStart w:id="181" w:name="_Toc133144211"/>
      <w:r w:rsidRPr="00A53770">
        <w:rPr>
          <w:b/>
        </w:rPr>
        <w:t>Research Advertisement</w:t>
      </w:r>
      <w:bookmarkEnd w:id="181"/>
    </w:p>
    <w:p w14:paraId="0E386122" w14:textId="77777777" w:rsidR="009C3C86" w:rsidRDefault="009C3C86" w:rsidP="009C3C86">
      <w:pPr>
        <w:pStyle w:val="Title"/>
        <w:spacing w:after="120"/>
        <w:jc w:val="left"/>
        <w:rPr>
          <w:rFonts w:ascii="Arial" w:hAnsi="Arial" w:cs="Arial"/>
          <w:szCs w:val="28"/>
        </w:rPr>
      </w:pPr>
    </w:p>
    <w:p w14:paraId="23F32108" w14:textId="77777777" w:rsidR="009C3C86" w:rsidRDefault="009C3C86" w:rsidP="009C3C86">
      <w:pPr>
        <w:spacing w:before="240"/>
        <w:ind w:left="-567" w:right="-613"/>
        <w:jc w:val="center"/>
        <w:rPr>
          <w:rFonts w:ascii="Arial" w:hAnsi="Arial" w:cs="Arial"/>
          <w:b/>
          <w:sz w:val="28"/>
          <w:szCs w:val="28"/>
        </w:rPr>
      </w:pPr>
      <w:r>
        <w:rPr>
          <w:rFonts w:ascii="Arial" w:hAnsi="Arial" w:cs="Arial"/>
          <w:b/>
          <w:sz w:val="28"/>
          <w:szCs w:val="28"/>
        </w:rPr>
        <w:t>Intolerance of Uncertainty and Anxiety Sensitivity in Seizure Conditions</w:t>
      </w:r>
    </w:p>
    <w:p w14:paraId="4146F4EA" w14:textId="77777777" w:rsidR="009C3C86" w:rsidRDefault="009C3C86" w:rsidP="009C3C86">
      <w:pPr>
        <w:pStyle w:val="Title"/>
        <w:spacing w:after="120"/>
        <w:ind w:right="-1"/>
        <w:rPr>
          <w:rFonts w:ascii="Arial" w:hAnsi="Arial" w:cs="Arial"/>
          <w:b w:val="0"/>
          <w:sz w:val="22"/>
        </w:rPr>
      </w:pPr>
      <w:r>
        <w:rPr>
          <w:noProof/>
        </w:rPr>
        <w:drawing>
          <wp:anchor distT="0" distB="0" distL="114300" distR="114300" simplePos="0" relativeHeight="251686912" behindDoc="1" locked="0" layoutInCell="1" allowOverlap="1" wp14:anchorId="7C649B04" wp14:editId="2CEFFE60">
            <wp:simplePos x="0" y="0"/>
            <wp:positionH relativeFrom="column">
              <wp:posOffset>2393950</wp:posOffset>
            </wp:positionH>
            <wp:positionV relativeFrom="paragraph">
              <wp:posOffset>167005</wp:posOffset>
            </wp:positionV>
            <wp:extent cx="952500" cy="532765"/>
            <wp:effectExtent l="0" t="0" r="0" b="6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52500" cy="53276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val="0"/>
          <w:sz w:val="22"/>
        </w:rPr>
        <w:t>(Recruitment Flyer, Version 1.0, 06/09/2022, IRAS ID.</w:t>
      </w:r>
      <w:r w:rsidRPr="00EF633A">
        <w:t xml:space="preserve"> </w:t>
      </w:r>
      <w:r w:rsidRPr="00EF633A">
        <w:rPr>
          <w:rFonts w:ascii="Arial" w:hAnsi="Arial" w:cs="Arial"/>
          <w:b w:val="0"/>
          <w:sz w:val="22"/>
        </w:rPr>
        <w:t>316771</w:t>
      </w:r>
      <w:r>
        <w:rPr>
          <w:rFonts w:ascii="Arial" w:hAnsi="Arial" w:cs="Arial"/>
          <w:b w:val="0"/>
          <w:sz w:val="22"/>
        </w:rPr>
        <w:t>)</w:t>
      </w:r>
    </w:p>
    <w:p w14:paraId="5A2E9A03" w14:textId="77777777" w:rsidR="009C3C86" w:rsidRDefault="009C3C86" w:rsidP="009C3C86">
      <w:pPr>
        <w:pStyle w:val="Title"/>
        <w:spacing w:before="720" w:after="120"/>
        <w:ind w:right="-1"/>
        <w:rPr>
          <w:rFonts w:ascii="Arial" w:hAnsi="Arial" w:cs="Arial"/>
          <w:color w:val="FF6600"/>
          <w:sz w:val="36"/>
          <w:szCs w:val="36"/>
        </w:rPr>
      </w:pPr>
      <w:r>
        <w:rPr>
          <w:rFonts w:ascii="Arial" w:hAnsi="Arial" w:cs="Arial"/>
          <w:color w:val="FF6600"/>
          <w:sz w:val="36"/>
          <w:szCs w:val="36"/>
        </w:rPr>
        <w:t>Participants wanted!</w:t>
      </w:r>
    </w:p>
    <w:p w14:paraId="48D7393C" w14:textId="77777777" w:rsidR="009C3C86" w:rsidRDefault="009C3C86" w:rsidP="009C3C86">
      <w:pPr>
        <w:pStyle w:val="Title"/>
        <w:spacing w:before="240" w:after="240"/>
        <w:ind w:right="-1"/>
        <w:rPr>
          <w:rFonts w:ascii="Arial" w:hAnsi="Arial" w:cs="Arial"/>
          <w:color w:val="006699"/>
          <w:sz w:val="32"/>
          <w:szCs w:val="32"/>
        </w:rPr>
      </w:pPr>
      <w:r>
        <w:rPr>
          <w:rFonts w:ascii="Arial" w:hAnsi="Arial" w:cs="Arial"/>
          <w:color w:val="006699"/>
          <w:sz w:val="32"/>
          <w:szCs w:val="32"/>
        </w:rPr>
        <w:t>ARE YOU?</w:t>
      </w:r>
    </w:p>
    <w:p w14:paraId="03BB8BF7" w14:textId="77777777" w:rsidR="009C3C86" w:rsidRDefault="009C3C86" w:rsidP="009C3C86">
      <w:pPr>
        <w:pStyle w:val="Title"/>
        <w:numPr>
          <w:ilvl w:val="0"/>
          <w:numId w:val="13"/>
        </w:numPr>
        <w:spacing w:after="120"/>
        <w:ind w:right="-1"/>
        <w:rPr>
          <w:rFonts w:ascii="Arial" w:hAnsi="Arial" w:cs="Arial"/>
          <w:b w:val="0"/>
          <w:sz w:val="32"/>
          <w:szCs w:val="32"/>
        </w:rPr>
      </w:pPr>
      <w:r>
        <w:rPr>
          <w:rFonts w:ascii="Arial" w:hAnsi="Arial" w:cs="Arial"/>
          <w:b w:val="0"/>
          <w:sz w:val="32"/>
          <w:szCs w:val="32"/>
        </w:rPr>
        <w:t>Aged 18+</w:t>
      </w:r>
    </w:p>
    <w:p w14:paraId="4CF53C0D" w14:textId="77777777" w:rsidR="009C3C86" w:rsidRDefault="009C3C86" w:rsidP="009C3C86">
      <w:pPr>
        <w:pStyle w:val="Title"/>
        <w:numPr>
          <w:ilvl w:val="0"/>
          <w:numId w:val="13"/>
        </w:numPr>
        <w:spacing w:after="120"/>
        <w:ind w:right="-1"/>
        <w:rPr>
          <w:rFonts w:ascii="Arial" w:hAnsi="Arial" w:cs="Arial"/>
          <w:b w:val="0"/>
          <w:sz w:val="32"/>
          <w:szCs w:val="32"/>
        </w:rPr>
      </w:pPr>
      <w:r>
        <w:rPr>
          <w:rFonts w:ascii="Arial" w:hAnsi="Arial" w:cs="Arial"/>
          <w:b w:val="0"/>
          <w:sz w:val="32"/>
          <w:szCs w:val="32"/>
        </w:rPr>
        <w:t>Diagnosed with either epilepsy or dissociative seizures (not both)</w:t>
      </w:r>
    </w:p>
    <w:p w14:paraId="770D96D6" w14:textId="77777777" w:rsidR="009C3C86" w:rsidRDefault="009C3C86" w:rsidP="009C3C86">
      <w:pPr>
        <w:pStyle w:val="Title"/>
        <w:numPr>
          <w:ilvl w:val="0"/>
          <w:numId w:val="13"/>
        </w:numPr>
        <w:spacing w:after="120"/>
        <w:ind w:right="-1"/>
        <w:rPr>
          <w:rFonts w:ascii="Arial" w:hAnsi="Arial" w:cs="Arial"/>
          <w:b w:val="0"/>
          <w:sz w:val="32"/>
          <w:szCs w:val="32"/>
        </w:rPr>
      </w:pPr>
      <w:r>
        <w:rPr>
          <w:rFonts w:ascii="Arial" w:hAnsi="Arial" w:cs="Arial"/>
          <w:b w:val="0"/>
          <w:sz w:val="32"/>
          <w:szCs w:val="32"/>
        </w:rPr>
        <w:t>English speaking</w:t>
      </w:r>
    </w:p>
    <w:p w14:paraId="5F6080F5" w14:textId="77777777" w:rsidR="009C3C86" w:rsidRDefault="009C3C86" w:rsidP="009C3C86">
      <w:pPr>
        <w:pStyle w:val="Title"/>
        <w:numPr>
          <w:ilvl w:val="0"/>
          <w:numId w:val="13"/>
        </w:numPr>
        <w:spacing w:after="120"/>
        <w:ind w:right="-1"/>
        <w:rPr>
          <w:rFonts w:ascii="Arial" w:hAnsi="Arial" w:cs="Arial"/>
          <w:b w:val="0"/>
          <w:sz w:val="32"/>
          <w:szCs w:val="32"/>
        </w:rPr>
      </w:pPr>
      <w:r>
        <w:rPr>
          <w:rFonts w:ascii="Arial" w:hAnsi="Arial" w:cs="Arial"/>
          <w:b w:val="0"/>
          <w:sz w:val="32"/>
          <w:szCs w:val="32"/>
        </w:rPr>
        <w:t>Able to access the internet</w:t>
      </w:r>
    </w:p>
    <w:p w14:paraId="14402287" w14:textId="77777777" w:rsidR="009C3C86" w:rsidRDefault="009C3C86" w:rsidP="009C3C86">
      <w:pPr>
        <w:pStyle w:val="Title"/>
        <w:numPr>
          <w:ilvl w:val="0"/>
          <w:numId w:val="13"/>
        </w:numPr>
        <w:spacing w:after="120"/>
        <w:ind w:right="-1"/>
        <w:rPr>
          <w:rFonts w:ascii="Arial" w:hAnsi="Arial" w:cs="Arial"/>
          <w:b w:val="0"/>
          <w:sz w:val="32"/>
          <w:szCs w:val="32"/>
        </w:rPr>
      </w:pPr>
      <w:r>
        <w:rPr>
          <w:rFonts w:ascii="Arial" w:hAnsi="Arial" w:cs="Arial"/>
          <w:b w:val="0"/>
          <w:sz w:val="32"/>
          <w:szCs w:val="32"/>
        </w:rPr>
        <w:t>Able to provide informed consent</w:t>
      </w:r>
    </w:p>
    <w:p w14:paraId="7B79619E" w14:textId="77777777" w:rsidR="009C3C86" w:rsidRDefault="009C3C86" w:rsidP="009C3C86">
      <w:pPr>
        <w:pStyle w:val="Title"/>
        <w:spacing w:after="120"/>
        <w:ind w:right="-1"/>
        <w:rPr>
          <w:rFonts w:ascii="Arial" w:hAnsi="Arial" w:cs="Arial"/>
          <w:sz w:val="32"/>
          <w:szCs w:val="32"/>
        </w:rPr>
      </w:pPr>
    </w:p>
    <w:p w14:paraId="7AA2DCA9" w14:textId="77777777" w:rsidR="009C3C86" w:rsidRPr="006C7813" w:rsidRDefault="009C3C86" w:rsidP="009C3C86">
      <w:pPr>
        <w:pStyle w:val="Title"/>
        <w:spacing w:after="120"/>
        <w:ind w:right="-1"/>
        <w:rPr>
          <w:rFonts w:ascii="Arial" w:hAnsi="Arial" w:cs="Arial"/>
          <w:b w:val="0"/>
          <w:sz w:val="24"/>
          <w:szCs w:val="24"/>
        </w:rPr>
      </w:pPr>
      <w:r w:rsidRPr="007B5B78">
        <w:rPr>
          <w:rFonts w:ascii="Arial" w:hAnsi="Arial" w:cs="Arial"/>
          <w:b w:val="0"/>
          <w:sz w:val="24"/>
          <w:szCs w:val="24"/>
        </w:rPr>
        <w:t>This is a study to explore the experiences of people with seizure related conditions, aiming to promote improvements in treatment</w:t>
      </w:r>
    </w:p>
    <w:p w14:paraId="54F83FBF" w14:textId="77777777" w:rsidR="009C3C86" w:rsidRPr="006C7813" w:rsidRDefault="009C3C86" w:rsidP="009C3C86">
      <w:pPr>
        <w:pStyle w:val="Title"/>
        <w:spacing w:after="120"/>
        <w:ind w:right="-1"/>
        <w:rPr>
          <w:rFonts w:ascii="Arial" w:hAnsi="Arial" w:cs="Arial"/>
          <w:sz w:val="24"/>
          <w:szCs w:val="24"/>
        </w:rPr>
      </w:pPr>
    </w:p>
    <w:p w14:paraId="52B26212" w14:textId="77777777" w:rsidR="009C3C86" w:rsidRPr="006C7813" w:rsidRDefault="009C3C86" w:rsidP="009C3C86">
      <w:pPr>
        <w:pStyle w:val="Title"/>
        <w:spacing w:after="240"/>
        <w:ind w:right="-1"/>
        <w:rPr>
          <w:rFonts w:ascii="Arial" w:hAnsi="Arial" w:cs="Arial"/>
          <w:sz w:val="24"/>
          <w:szCs w:val="24"/>
        </w:rPr>
      </w:pPr>
      <w:r w:rsidRPr="006C7813">
        <w:rPr>
          <w:rFonts w:ascii="Arial" w:hAnsi="Arial" w:cs="Arial"/>
          <w:sz w:val="24"/>
          <w:szCs w:val="24"/>
        </w:rPr>
        <w:t>WHAT IS INVOLVED?</w:t>
      </w:r>
    </w:p>
    <w:p w14:paraId="206924A8" w14:textId="77777777" w:rsidR="009C3C86" w:rsidRPr="006C7813" w:rsidRDefault="009C3C86" w:rsidP="009C3C86">
      <w:pPr>
        <w:pStyle w:val="Title"/>
        <w:numPr>
          <w:ilvl w:val="0"/>
          <w:numId w:val="14"/>
        </w:numPr>
        <w:spacing w:after="120"/>
        <w:ind w:left="284" w:right="-1" w:hanging="284"/>
        <w:rPr>
          <w:rFonts w:ascii="Arial" w:hAnsi="Arial" w:cs="Arial"/>
          <w:b w:val="0"/>
          <w:sz w:val="24"/>
          <w:szCs w:val="24"/>
        </w:rPr>
      </w:pPr>
      <w:r w:rsidRPr="006C7813">
        <w:rPr>
          <w:rFonts w:ascii="Arial" w:hAnsi="Arial" w:cs="Arial"/>
          <w:b w:val="0"/>
          <w:sz w:val="24"/>
          <w:szCs w:val="24"/>
        </w:rPr>
        <w:t>Completion of a range of online questionnaires (</w:t>
      </w:r>
      <w:r>
        <w:rPr>
          <w:rFonts w:ascii="Arial" w:hAnsi="Arial" w:cs="Arial"/>
          <w:b w:val="0"/>
          <w:sz w:val="24"/>
          <w:szCs w:val="24"/>
        </w:rPr>
        <w:t>25 minutes estimated time</w:t>
      </w:r>
      <w:r w:rsidRPr="006C7813">
        <w:rPr>
          <w:rFonts w:ascii="Arial" w:hAnsi="Arial" w:cs="Arial"/>
          <w:b w:val="0"/>
          <w:sz w:val="24"/>
          <w:szCs w:val="24"/>
        </w:rPr>
        <w:t>)</w:t>
      </w:r>
    </w:p>
    <w:p w14:paraId="7CB00BE2" w14:textId="77777777" w:rsidR="009C3C86" w:rsidRPr="006C7813" w:rsidRDefault="009C3C86" w:rsidP="009C3C86">
      <w:pPr>
        <w:pStyle w:val="Title"/>
        <w:spacing w:after="120"/>
        <w:ind w:right="-1"/>
        <w:rPr>
          <w:rFonts w:ascii="Arial" w:hAnsi="Arial" w:cs="Arial"/>
          <w:b w:val="0"/>
          <w:sz w:val="24"/>
          <w:szCs w:val="24"/>
        </w:rPr>
      </w:pPr>
    </w:p>
    <w:p w14:paraId="08C4C88D" w14:textId="77777777" w:rsidR="009C3C86" w:rsidRPr="006C7813" w:rsidRDefault="009C3C86" w:rsidP="009C3C86">
      <w:pPr>
        <w:pStyle w:val="Title"/>
        <w:spacing w:after="240"/>
        <w:ind w:right="-1"/>
        <w:rPr>
          <w:rFonts w:ascii="Arial" w:hAnsi="Arial" w:cs="Arial"/>
          <w:sz w:val="24"/>
          <w:szCs w:val="24"/>
        </w:rPr>
      </w:pPr>
      <w:r w:rsidRPr="006C7813">
        <w:rPr>
          <w:rFonts w:ascii="Arial" w:hAnsi="Arial" w:cs="Arial"/>
          <w:sz w:val="24"/>
          <w:szCs w:val="24"/>
        </w:rPr>
        <w:t>HOW TO GET INVOLVED?</w:t>
      </w:r>
    </w:p>
    <w:p w14:paraId="004E8EFC" w14:textId="77777777" w:rsidR="009C3C86" w:rsidRDefault="009C3C86" w:rsidP="009C3C86">
      <w:pPr>
        <w:pStyle w:val="Title"/>
        <w:spacing w:after="120"/>
        <w:ind w:right="-1"/>
        <w:rPr>
          <w:rFonts w:ascii="Arial" w:hAnsi="Arial" w:cs="Arial"/>
          <w:b w:val="0"/>
          <w:sz w:val="24"/>
          <w:szCs w:val="24"/>
        </w:rPr>
      </w:pPr>
      <w:r>
        <w:rPr>
          <w:rFonts w:ascii="Arial" w:hAnsi="Arial" w:cs="Arial"/>
          <w:b w:val="0"/>
          <w:sz w:val="24"/>
          <w:szCs w:val="24"/>
        </w:rPr>
        <w:t>T</w:t>
      </w:r>
      <w:r w:rsidRPr="006C7813">
        <w:rPr>
          <w:rFonts w:ascii="Arial" w:hAnsi="Arial" w:cs="Arial"/>
          <w:b w:val="0"/>
          <w:sz w:val="24"/>
          <w:szCs w:val="24"/>
        </w:rPr>
        <w:t>o take part</w:t>
      </w:r>
      <w:r>
        <w:rPr>
          <w:rFonts w:ascii="Arial" w:hAnsi="Arial" w:cs="Arial"/>
          <w:b w:val="0"/>
          <w:sz w:val="24"/>
          <w:szCs w:val="24"/>
        </w:rPr>
        <w:t>,</w:t>
      </w:r>
      <w:r w:rsidRPr="006C7813">
        <w:rPr>
          <w:rFonts w:ascii="Arial" w:hAnsi="Arial" w:cs="Arial"/>
          <w:b w:val="0"/>
          <w:sz w:val="24"/>
          <w:szCs w:val="24"/>
        </w:rPr>
        <w:t xml:space="preserve"> please visit the study website</w:t>
      </w:r>
      <w:r>
        <w:rPr>
          <w:rFonts w:ascii="Arial" w:hAnsi="Arial" w:cs="Arial"/>
          <w:b w:val="0"/>
          <w:sz w:val="24"/>
          <w:szCs w:val="24"/>
        </w:rPr>
        <w:t xml:space="preserve"> using the link or QR code below. For further info, please</w:t>
      </w:r>
      <w:r w:rsidRPr="006C7813">
        <w:rPr>
          <w:rFonts w:ascii="Arial" w:hAnsi="Arial" w:cs="Arial"/>
          <w:b w:val="0"/>
          <w:sz w:val="24"/>
          <w:szCs w:val="24"/>
        </w:rPr>
        <w:t xml:space="preserve"> contact</w:t>
      </w:r>
      <w:r>
        <w:rPr>
          <w:rFonts w:ascii="Arial" w:hAnsi="Arial" w:cs="Arial"/>
          <w:b w:val="0"/>
          <w:sz w:val="24"/>
          <w:szCs w:val="24"/>
        </w:rPr>
        <w:t xml:space="preserve"> the Principal Investigator</w:t>
      </w:r>
    </w:p>
    <w:p w14:paraId="60D01124" w14:textId="77777777" w:rsidR="009C3C86" w:rsidRPr="006C7813" w:rsidRDefault="009C3C86" w:rsidP="009C3C86">
      <w:pPr>
        <w:pStyle w:val="Title"/>
        <w:spacing w:after="120"/>
        <w:ind w:right="-1"/>
        <w:rPr>
          <w:rFonts w:ascii="Arial" w:hAnsi="Arial" w:cs="Arial"/>
          <w:b w:val="0"/>
          <w:sz w:val="24"/>
          <w:szCs w:val="24"/>
        </w:rPr>
      </w:pPr>
    </w:p>
    <w:p w14:paraId="292E89BE" w14:textId="77777777" w:rsidR="009C3C86" w:rsidRDefault="009C3C86" w:rsidP="009C3C86">
      <w:pPr>
        <w:pStyle w:val="Title"/>
        <w:spacing w:after="120"/>
        <w:ind w:right="-1"/>
        <w:jc w:val="left"/>
        <w:rPr>
          <w:rFonts w:ascii="Arial" w:hAnsi="Arial" w:cs="Arial"/>
          <w:b w:val="0"/>
          <w:szCs w:val="28"/>
        </w:rPr>
      </w:pPr>
      <w:r w:rsidRPr="001D180E">
        <w:rPr>
          <w:rFonts w:ascii="Arial" w:hAnsi="Arial" w:cs="Arial"/>
          <w:szCs w:val="28"/>
        </w:rPr>
        <w:t>Website -</w:t>
      </w:r>
      <w:r w:rsidRPr="001D180E">
        <w:rPr>
          <w:rFonts w:ascii="Arial" w:hAnsi="Arial" w:cs="Arial"/>
          <w:b w:val="0"/>
          <w:szCs w:val="28"/>
        </w:rPr>
        <w:t xml:space="preserve"> </w:t>
      </w:r>
      <w:hyperlink r:id="rId163" w:history="1">
        <w:r w:rsidRPr="006C7813">
          <w:t>https://staffordshire.qualtrics.com/jfe/form/SV_cwoDqBPtmm4SULA</w:t>
        </w:r>
      </w:hyperlink>
    </w:p>
    <w:p w14:paraId="796702F4" w14:textId="77777777" w:rsidR="009C3C86" w:rsidRPr="001D180E" w:rsidRDefault="009C3C86" w:rsidP="009C3C86">
      <w:pPr>
        <w:pStyle w:val="Title"/>
        <w:spacing w:after="120"/>
        <w:ind w:right="-1"/>
        <w:jc w:val="left"/>
        <w:rPr>
          <w:rFonts w:ascii="Arial" w:hAnsi="Arial" w:cs="Arial"/>
          <w:b w:val="0"/>
          <w:szCs w:val="28"/>
        </w:rPr>
      </w:pPr>
      <w:r w:rsidRPr="006C7813">
        <w:rPr>
          <w:rFonts w:ascii="Arial" w:hAnsi="Arial" w:cs="Arial"/>
          <w:b w:val="0"/>
          <w:noProof/>
          <w:sz w:val="24"/>
          <w:szCs w:val="24"/>
        </w:rPr>
        <w:drawing>
          <wp:anchor distT="0" distB="0" distL="114300" distR="114300" simplePos="0" relativeHeight="251687936" behindDoc="1" locked="0" layoutInCell="1" allowOverlap="1" wp14:anchorId="0AD496BA" wp14:editId="0DFE6113">
            <wp:simplePos x="0" y="0"/>
            <wp:positionH relativeFrom="column">
              <wp:posOffset>5092016</wp:posOffset>
            </wp:positionH>
            <wp:positionV relativeFrom="paragraph">
              <wp:posOffset>5080</wp:posOffset>
            </wp:positionV>
            <wp:extent cx="1258717" cy="1258717"/>
            <wp:effectExtent l="0" t="0" r="0" b="0"/>
            <wp:wrapNone/>
            <wp:docPr id="46" name="Picture 46" descr="C:\Users\rowlja2\Downloads\SV_cwoDqBPtmm4SULA-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wlja2\Downloads\SV_cwoDqBPtmm4SULA-qrcode.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58717" cy="12587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80E">
        <w:rPr>
          <w:rFonts w:ascii="Arial" w:hAnsi="Arial" w:cs="Arial"/>
          <w:szCs w:val="28"/>
        </w:rPr>
        <w:t>Principal Investigator –</w:t>
      </w:r>
      <w:r w:rsidRPr="001D180E">
        <w:rPr>
          <w:rFonts w:ascii="Arial" w:hAnsi="Arial" w:cs="Arial"/>
          <w:b w:val="0"/>
          <w:szCs w:val="28"/>
        </w:rPr>
        <w:t xml:space="preserve"> </w:t>
      </w:r>
      <w:r w:rsidRPr="00F855DE">
        <w:rPr>
          <w:rFonts w:ascii="Arial" w:hAnsi="Arial" w:cs="Arial"/>
          <w:b w:val="0"/>
          <w:szCs w:val="28"/>
          <w:highlight w:val="black"/>
        </w:rPr>
        <w:t>James Rowland</w:t>
      </w:r>
    </w:p>
    <w:p w14:paraId="7FE94F09" w14:textId="77777777" w:rsidR="009C3C86" w:rsidRPr="001D180E" w:rsidRDefault="009C3C86" w:rsidP="009C3C86">
      <w:pPr>
        <w:pStyle w:val="Title"/>
        <w:spacing w:after="120"/>
        <w:ind w:right="-1"/>
        <w:jc w:val="left"/>
        <w:rPr>
          <w:rFonts w:ascii="Arial" w:hAnsi="Arial" w:cs="Arial"/>
          <w:b w:val="0"/>
          <w:szCs w:val="28"/>
        </w:rPr>
      </w:pPr>
      <w:r w:rsidRPr="001D180E">
        <w:rPr>
          <w:rFonts w:ascii="Arial" w:hAnsi="Arial" w:cs="Arial"/>
          <w:szCs w:val="28"/>
        </w:rPr>
        <w:t>Mobile:</w:t>
      </w:r>
      <w:r w:rsidRPr="001D180E">
        <w:rPr>
          <w:rFonts w:ascii="Arial" w:hAnsi="Arial" w:cs="Arial"/>
          <w:b w:val="0"/>
          <w:szCs w:val="28"/>
        </w:rPr>
        <w:t xml:space="preserve"> </w:t>
      </w:r>
      <w:r w:rsidRPr="00F855DE">
        <w:rPr>
          <w:rFonts w:ascii="Arial" w:hAnsi="Arial" w:cs="Arial"/>
          <w:b w:val="0"/>
          <w:szCs w:val="28"/>
          <w:highlight w:val="black"/>
        </w:rPr>
        <w:t>07814 752784</w:t>
      </w:r>
      <w:r w:rsidRPr="001D180E">
        <w:rPr>
          <w:rFonts w:ascii="Arial" w:hAnsi="Arial" w:cs="Arial"/>
          <w:b w:val="0"/>
          <w:szCs w:val="28"/>
        </w:rPr>
        <w:t xml:space="preserve"> </w:t>
      </w:r>
    </w:p>
    <w:p w14:paraId="348A0AF9" w14:textId="77777777" w:rsidR="009C3C86" w:rsidRPr="001D180E" w:rsidRDefault="009C3C86" w:rsidP="009C3C86">
      <w:pPr>
        <w:pStyle w:val="Title"/>
        <w:spacing w:after="120"/>
        <w:ind w:right="-1"/>
        <w:jc w:val="left"/>
        <w:rPr>
          <w:rFonts w:ascii="Arial" w:hAnsi="Arial" w:cs="Arial"/>
          <w:b w:val="0"/>
          <w:szCs w:val="28"/>
        </w:rPr>
      </w:pPr>
      <w:r w:rsidRPr="001D180E">
        <w:rPr>
          <w:rFonts w:ascii="Arial" w:hAnsi="Arial" w:cs="Arial"/>
          <w:szCs w:val="28"/>
        </w:rPr>
        <w:t>Email:</w:t>
      </w:r>
      <w:r w:rsidRPr="001D180E">
        <w:rPr>
          <w:rFonts w:ascii="Arial" w:hAnsi="Arial" w:cs="Arial"/>
          <w:b w:val="0"/>
          <w:szCs w:val="28"/>
        </w:rPr>
        <w:t xml:space="preserve"> </w:t>
      </w:r>
      <w:r w:rsidRPr="00F855DE">
        <w:rPr>
          <w:rFonts w:ascii="Arial" w:hAnsi="Arial" w:cs="Arial"/>
          <w:b w:val="0"/>
          <w:szCs w:val="28"/>
          <w:highlight w:val="black"/>
        </w:rPr>
        <w:t>james.rowland@student.staffs.ac.uk</w:t>
      </w:r>
      <w:r w:rsidRPr="001D180E">
        <w:rPr>
          <w:rFonts w:ascii="Arial" w:hAnsi="Arial" w:cs="Arial"/>
          <w:b w:val="0"/>
          <w:szCs w:val="28"/>
        </w:rPr>
        <w:t xml:space="preserve"> </w:t>
      </w:r>
    </w:p>
    <w:p w14:paraId="2ED3D24B" w14:textId="77777777" w:rsidR="009C3C86" w:rsidRDefault="009C3C86" w:rsidP="009C3C86"/>
    <w:p w14:paraId="0F3746F0" w14:textId="77777777" w:rsidR="009C3C86" w:rsidRDefault="009C3C86" w:rsidP="00027769">
      <w:pPr>
        <w:pStyle w:val="Heading1"/>
      </w:pPr>
      <w:bookmarkStart w:id="182" w:name="_Toc133487849"/>
      <w:r>
        <w:rPr>
          <w:noProof/>
          <w:lang w:eastAsia="en-GB"/>
        </w:rPr>
        <w:lastRenderedPageBreak/>
        <w:drawing>
          <wp:anchor distT="0" distB="0" distL="114300" distR="114300" simplePos="0" relativeHeight="251689984" behindDoc="0" locked="0" layoutInCell="1" allowOverlap="1" wp14:anchorId="5BFDEE43" wp14:editId="72DED238">
            <wp:simplePos x="0" y="0"/>
            <wp:positionH relativeFrom="margin">
              <wp:posOffset>-751010</wp:posOffset>
            </wp:positionH>
            <wp:positionV relativeFrom="margin">
              <wp:posOffset>-799563</wp:posOffset>
            </wp:positionV>
            <wp:extent cx="1130935" cy="10350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130935" cy="1035050"/>
                    </a:xfrm>
                    <a:prstGeom prst="rect">
                      <a:avLst/>
                    </a:prstGeom>
                    <a:noFill/>
                  </pic:spPr>
                </pic:pic>
              </a:graphicData>
            </a:graphic>
            <wp14:sizeRelH relativeFrom="page">
              <wp14:pctWidth>0</wp14:pctWidth>
            </wp14:sizeRelH>
            <wp14:sizeRelV relativeFrom="page">
              <wp14:pctHeight>0</wp14:pctHeight>
            </wp14:sizeRelV>
          </wp:anchor>
        </w:drawing>
      </w:r>
      <w:r>
        <w:t>Appendix E</w:t>
      </w:r>
      <w:bookmarkEnd w:id="182"/>
    </w:p>
    <w:p w14:paraId="56A927CC" w14:textId="1C4B17BE" w:rsidR="009C3C86" w:rsidRPr="00A53770" w:rsidRDefault="009C3C86" w:rsidP="00FA1AA6">
      <w:pPr>
        <w:ind w:left="2880" w:firstLine="720"/>
        <w:rPr>
          <w:b/>
        </w:rPr>
      </w:pPr>
      <w:bookmarkStart w:id="183" w:name="_Toc133144213"/>
      <w:r w:rsidRPr="00A53770">
        <w:rPr>
          <w:b/>
        </w:rPr>
        <w:t>Participant Information Sheet</w:t>
      </w:r>
      <w:bookmarkEnd w:id="183"/>
    </w:p>
    <w:p w14:paraId="3268A94F" w14:textId="77777777" w:rsidR="009C3C86" w:rsidRDefault="009C3C86" w:rsidP="009C3C86">
      <w:pPr>
        <w:pStyle w:val="Title"/>
        <w:spacing w:after="120"/>
        <w:jc w:val="left"/>
        <w:rPr>
          <w:rFonts w:ascii="Arial" w:hAnsi="Arial" w:cs="Arial"/>
          <w:i/>
          <w:szCs w:val="28"/>
        </w:rPr>
      </w:pPr>
    </w:p>
    <w:p w14:paraId="7433FA43" w14:textId="77777777" w:rsidR="009C3C86" w:rsidRDefault="009C3C86" w:rsidP="009C3C86">
      <w:pPr>
        <w:jc w:val="both"/>
        <w:rPr>
          <w:rFonts w:ascii="Arial" w:eastAsia="Arial" w:hAnsi="Arial" w:cs="Arial"/>
          <w:b/>
          <w:sz w:val="28"/>
          <w:szCs w:val="28"/>
        </w:rPr>
      </w:pPr>
    </w:p>
    <w:p w14:paraId="0914CFE2" w14:textId="77777777" w:rsidR="009C3C86" w:rsidRDefault="009C3C86" w:rsidP="009C3C86">
      <w:pPr>
        <w:spacing w:before="240"/>
        <w:ind w:left="-567" w:right="-613"/>
        <w:jc w:val="center"/>
        <w:rPr>
          <w:rFonts w:ascii="Arial" w:eastAsia="Calibri" w:hAnsi="Arial" w:cs="Arial"/>
          <w:b/>
          <w:sz w:val="28"/>
          <w:szCs w:val="28"/>
        </w:rPr>
      </w:pPr>
      <w:r>
        <w:rPr>
          <w:rFonts w:ascii="Arial" w:hAnsi="Arial" w:cs="Arial"/>
          <w:b/>
          <w:sz w:val="28"/>
          <w:szCs w:val="28"/>
        </w:rPr>
        <w:t>Intolerance of Uncertainty and Anxiety Sensitivity in Seizure Conditions</w:t>
      </w:r>
    </w:p>
    <w:p w14:paraId="7E77C82C" w14:textId="77777777" w:rsidR="009C3C86" w:rsidRDefault="009C3C86" w:rsidP="009C3C86">
      <w:pPr>
        <w:spacing w:before="240"/>
        <w:ind w:left="-567" w:right="-613"/>
        <w:jc w:val="center"/>
        <w:rPr>
          <w:rFonts w:ascii="Arial" w:hAnsi="Arial" w:cs="Arial"/>
          <w:b/>
          <w:sz w:val="28"/>
          <w:szCs w:val="28"/>
        </w:rPr>
      </w:pPr>
      <w:r>
        <w:rPr>
          <w:rFonts w:ascii="Arial" w:hAnsi="Arial" w:cs="Arial"/>
          <w:b/>
          <w:sz w:val="28"/>
          <w:szCs w:val="28"/>
        </w:rPr>
        <w:t>Participant Information Sheet</w:t>
      </w:r>
    </w:p>
    <w:p w14:paraId="54472D3B" w14:textId="77777777" w:rsidR="009C3C86" w:rsidRDefault="009C3C86" w:rsidP="009C3C86">
      <w:pPr>
        <w:ind w:firstLine="720"/>
        <w:jc w:val="both"/>
        <w:rPr>
          <w:rFonts w:ascii="Arial" w:hAnsi="Arial" w:cs="Arial"/>
        </w:rPr>
      </w:pPr>
      <w:r>
        <w:rPr>
          <w:rFonts w:ascii="Arial" w:hAnsi="Arial" w:cs="Arial"/>
          <w:b/>
        </w:rPr>
        <w:t>(Information Sheet, Version 4.0, 20/12/2022, IRAS ID.</w:t>
      </w:r>
      <w:r w:rsidRPr="00FA550F">
        <w:t xml:space="preserve"> </w:t>
      </w:r>
      <w:r w:rsidRPr="00FA550F">
        <w:rPr>
          <w:rFonts w:ascii="Arial" w:hAnsi="Arial" w:cs="Arial"/>
          <w:b/>
        </w:rPr>
        <w:t>316771</w:t>
      </w:r>
      <w:r>
        <w:rPr>
          <w:rFonts w:ascii="Arial" w:hAnsi="Arial" w:cs="Arial"/>
          <w:b/>
        </w:rPr>
        <w:t>)</w:t>
      </w:r>
    </w:p>
    <w:p w14:paraId="499F03FA" w14:textId="77777777" w:rsidR="009C3C86" w:rsidRDefault="009C3C86" w:rsidP="009C3C86">
      <w:pPr>
        <w:rPr>
          <w:rFonts w:ascii="Arial" w:eastAsia="Arial" w:hAnsi="Arial" w:cs="Arial"/>
        </w:rPr>
      </w:pPr>
    </w:p>
    <w:p w14:paraId="74687BF6" w14:textId="77777777" w:rsidR="009C3C86" w:rsidRDefault="009C3C86" w:rsidP="009C3C86">
      <w:pPr>
        <w:rPr>
          <w:rFonts w:ascii="Arial" w:eastAsia="Arial" w:hAnsi="Arial" w:cs="Arial"/>
          <w:b/>
          <w:color w:val="000000"/>
          <w:u w:val="single"/>
        </w:rPr>
      </w:pPr>
      <w:r>
        <w:rPr>
          <w:rFonts w:ascii="Arial" w:eastAsia="Arial" w:hAnsi="Arial" w:cs="Arial"/>
          <w:b/>
          <w:color w:val="000000"/>
          <w:u w:val="single"/>
        </w:rPr>
        <w:t>Title of study</w:t>
      </w:r>
    </w:p>
    <w:p w14:paraId="67688D04" w14:textId="77777777" w:rsidR="009C3C86" w:rsidRDefault="009C3C86" w:rsidP="009C3C86">
      <w:pPr>
        <w:rPr>
          <w:rFonts w:ascii="Arial" w:eastAsia="Arial" w:hAnsi="Arial" w:cs="Arial"/>
          <w:b/>
          <w:color w:val="000000"/>
          <w:u w:val="single"/>
        </w:rPr>
      </w:pPr>
    </w:p>
    <w:p w14:paraId="30F6CE03" w14:textId="77777777" w:rsidR="009C3C86" w:rsidRDefault="009C3C86" w:rsidP="009C3C86">
      <w:pPr>
        <w:rPr>
          <w:rFonts w:ascii="Arial" w:eastAsia="Arial" w:hAnsi="Arial" w:cs="Arial"/>
          <w:b/>
          <w:color w:val="000000"/>
        </w:rPr>
      </w:pPr>
      <w:r>
        <w:rPr>
          <w:rFonts w:ascii="Arial" w:eastAsia="Arial" w:hAnsi="Arial" w:cs="Arial"/>
          <w:b/>
          <w:color w:val="000000"/>
        </w:rPr>
        <w:t>Intolerance of Uncertainty and Anxiety Sensitivity in Seizure Conditions</w:t>
      </w:r>
    </w:p>
    <w:p w14:paraId="074A10BA" w14:textId="77777777" w:rsidR="009C3C86" w:rsidRDefault="009C3C86" w:rsidP="009C3C86">
      <w:pPr>
        <w:rPr>
          <w:rFonts w:ascii="Arial" w:eastAsia="Arial" w:hAnsi="Arial" w:cs="Arial"/>
        </w:rPr>
      </w:pPr>
    </w:p>
    <w:p w14:paraId="3F70558F" w14:textId="77777777" w:rsidR="009C3C86" w:rsidRDefault="009C3C86" w:rsidP="009C3C86">
      <w:pPr>
        <w:rPr>
          <w:rFonts w:ascii="Arial" w:eastAsia="Arial" w:hAnsi="Arial" w:cs="Arial"/>
          <w:b/>
          <w:u w:val="single"/>
        </w:rPr>
      </w:pPr>
      <w:r>
        <w:rPr>
          <w:rFonts w:ascii="Arial" w:eastAsia="Arial" w:hAnsi="Arial" w:cs="Arial"/>
          <w:b/>
          <w:u w:val="single"/>
        </w:rPr>
        <w:t>Invitation Paragraph</w:t>
      </w:r>
    </w:p>
    <w:p w14:paraId="538F2C4F" w14:textId="77777777" w:rsidR="009C3C86" w:rsidRDefault="009C3C86" w:rsidP="009C3C86">
      <w:pPr>
        <w:rPr>
          <w:rFonts w:ascii="Arial" w:eastAsia="Arial" w:hAnsi="Arial" w:cs="Arial"/>
          <w:b/>
          <w:u w:val="single"/>
        </w:rPr>
      </w:pPr>
    </w:p>
    <w:p w14:paraId="36A3B8FA" w14:textId="77777777" w:rsidR="009C3C86" w:rsidRDefault="009C3C86" w:rsidP="009C3C86">
      <w:pPr>
        <w:rPr>
          <w:rFonts w:ascii="Arial" w:eastAsia="Arial" w:hAnsi="Arial" w:cs="Arial"/>
        </w:rPr>
      </w:pPr>
      <w:r>
        <w:rPr>
          <w:rFonts w:ascii="Arial" w:eastAsia="Arial" w:hAnsi="Arial" w:cs="Arial"/>
        </w:rPr>
        <w:t>Thank you for considering involvement in this study, which forms part of my doctoral research. Before you decide whether you want to take part, it is important for you to understand why the research is being done and what your participation will involve. Please take time to read the following information carefully and discuss it with others if you wish. Please contact us if there is anything that is not clear or if you would like more information.</w:t>
      </w:r>
    </w:p>
    <w:p w14:paraId="41FC2656" w14:textId="77777777" w:rsidR="009C3C86" w:rsidRDefault="009C3C86" w:rsidP="009C3C86">
      <w:pPr>
        <w:rPr>
          <w:rFonts w:ascii="Arial" w:eastAsia="Arial" w:hAnsi="Arial" w:cs="Arial"/>
          <w:color w:val="FF0000"/>
        </w:rPr>
      </w:pPr>
    </w:p>
    <w:p w14:paraId="01579114" w14:textId="77777777" w:rsidR="009C3C86" w:rsidRDefault="009C3C86" w:rsidP="009C3C86">
      <w:pPr>
        <w:rPr>
          <w:rFonts w:ascii="Arial" w:eastAsia="Arial" w:hAnsi="Arial" w:cs="Arial"/>
          <w:b/>
          <w:u w:val="single"/>
        </w:rPr>
      </w:pPr>
      <w:r>
        <w:rPr>
          <w:rFonts w:ascii="Arial" w:eastAsia="Arial" w:hAnsi="Arial" w:cs="Arial"/>
          <w:b/>
          <w:u w:val="single"/>
        </w:rPr>
        <w:t>What is the purpose of the study?</w:t>
      </w:r>
    </w:p>
    <w:p w14:paraId="17656BF5" w14:textId="77777777" w:rsidR="009C3C86" w:rsidRDefault="009C3C86" w:rsidP="009C3C86">
      <w:pPr>
        <w:rPr>
          <w:rFonts w:ascii="Arial" w:eastAsia="Arial" w:hAnsi="Arial" w:cs="Arial"/>
        </w:rPr>
      </w:pPr>
    </w:p>
    <w:p w14:paraId="28EB589E" w14:textId="77777777" w:rsidR="009C3C86" w:rsidRDefault="009C3C86" w:rsidP="009C3C86">
      <w:pPr>
        <w:rPr>
          <w:rFonts w:ascii="Arial" w:eastAsia="Arial" w:hAnsi="Arial" w:cs="Arial"/>
        </w:rPr>
      </w:pPr>
      <w:r>
        <w:rPr>
          <w:rFonts w:ascii="Arial" w:eastAsia="Arial" w:hAnsi="Arial" w:cs="Arial"/>
        </w:rPr>
        <w:t>We are exploring the experiences of people with epilepsy and dissociative seizures (otherwise known as Nonepileptic Attack Disorder NEAD, or Psychogenic Nonepileptic Seizures PNES). W</w:t>
      </w:r>
      <w:r w:rsidRPr="00AD7B7F">
        <w:rPr>
          <w:rFonts w:ascii="Arial" w:eastAsia="Arial" w:hAnsi="Arial" w:cs="Arial"/>
        </w:rPr>
        <w:t>e want to gain a better understanding of seizure conditions, which could lead to improved clinical care to service-users in the future.</w:t>
      </w:r>
      <w:r>
        <w:rPr>
          <w:rFonts w:ascii="Arial" w:eastAsia="Arial" w:hAnsi="Arial" w:cs="Arial"/>
        </w:rPr>
        <w:t xml:space="preserve"> As an individual with one of these diagnoses, we would highly value your participation.</w:t>
      </w:r>
    </w:p>
    <w:p w14:paraId="67B376BB" w14:textId="77777777" w:rsidR="009C3C86" w:rsidRDefault="009C3C86" w:rsidP="009C3C86">
      <w:pPr>
        <w:rPr>
          <w:rFonts w:ascii="Arial" w:eastAsia="Arial" w:hAnsi="Arial" w:cs="Arial"/>
        </w:rPr>
      </w:pPr>
    </w:p>
    <w:p w14:paraId="6ADED782" w14:textId="77777777" w:rsidR="009C3C86" w:rsidRDefault="009C3C86" w:rsidP="009C3C86">
      <w:pPr>
        <w:rPr>
          <w:rFonts w:ascii="Arial" w:eastAsia="Arial" w:hAnsi="Arial" w:cs="Arial"/>
          <w:b/>
          <w:u w:val="single"/>
        </w:rPr>
      </w:pPr>
      <w:r>
        <w:rPr>
          <w:rFonts w:ascii="Arial" w:eastAsia="Arial" w:hAnsi="Arial" w:cs="Arial"/>
          <w:b/>
          <w:u w:val="single"/>
        </w:rPr>
        <w:t>Why have I been invited to take part?</w:t>
      </w:r>
    </w:p>
    <w:p w14:paraId="01FE8A38" w14:textId="77777777" w:rsidR="009C3C86" w:rsidRDefault="009C3C86" w:rsidP="009C3C86">
      <w:pPr>
        <w:rPr>
          <w:rFonts w:ascii="Arial" w:eastAsia="Arial" w:hAnsi="Arial" w:cs="Arial"/>
          <w:b/>
          <w:u w:val="single"/>
        </w:rPr>
      </w:pPr>
    </w:p>
    <w:p w14:paraId="1D0940B7" w14:textId="77777777" w:rsidR="009C3C86" w:rsidRDefault="009C3C86" w:rsidP="009C3C86">
      <w:pPr>
        <w:rPr>
          <w:rFonts w:ascii="Arial" w:eastAsia="Arial" w:hAnsi="Arial" w:cs="Arial"/>
        </w:rPr>
      </w:pPr>
      <w:r>
        <w:rPr>
          <w:rFonts w:ascii="Arial" w:eastAsia="Arial" w:hAnsi="Arial" w:cs="Arial"/>
        </w:rPr>
        <w:t>We aim to recruit adults with diagnoses of either epilepsy or dissociative seizures. We are recruiting from a number of NHS sites and possibly through seizure charities and support groups. The study will be anonymised and will not lead to any changes in treatment from services. We hope to recruit people from a range of different backgrounds. This survey is only intended to be completed by people 18 years or older. If you are younger, please do not continue.</w:t>
      </w:r>
    </w:p>
    <w:p w14:paraId="07047312" w14:textId="77777777" w:rsidR="009C3C86" w:rsidRDefault="009C3C86" w:rsidP="009C3C86">
      <w:pPr>
        <w:rPr>
          <w:rFonts w:ascii="Arial" w:eastAsia="Arial" w:hAnsi="Arial" w:cs="Arial"/>
          <w:b/>
          <w:u w:val="single"/>
        </w:rPr>
      </w:pPr>
    </w:p>
    <w:p w14:paraId="50BF21B3" w14:textId="77777777" w:rsidR="009C3C86" w:rsidRDefault="009C3C86" w:rsidP="009C3C86">
      <w:pPr>
        <w:rPr>
          <w:rFonts w:ascii="Arial" w:eastAsia="Arial" w:hAnsi="Arial" w:cs="Arial"/>
          <w:b/>
          <w:u w:val="single"/>
        </w:rPr>
      </w:pPr>
      <w:r>
        <w:rPr>
          <w:rFonts w:ascii="Arial" w:eastAsia="Arial" w:hAnsi="Arial" w:cs="Arial"/>
          <w:b/>
          <w:u w:val="single"/>
        </w:rPr>
        <w:t>What will happen if I take part?</w:t>
      </w:r>
    </w:p>
    <w:p w14:paraId="4F7CB7A7" w14:textId="77777777" w:rsidR="009C3C86" w:rsidRDefault="009C3C86" w:rsidP="009C3C86">
      <w:pPr>
        <w:rPr>
          <w:rFonts w:ascii="Arial" w:eastAsia="Arial" w:hAnsi="Arial" w:cs="Arial"/>
        </w:rPr>
      </w:pPr>
    </w:p>
    <w:p w14:paraId="7E9E6385" w14:textId="77777777" w:rsidR="009C3C86" w:rsidRDefault="009C3C86" w:rsidP="009C3C86">
      <w:pPr>
        <w:rPr>
          <w:rFonts w:ascii="Arial" w:eastAsia="Arial" w:hAnsi="Arial" w:cs="Arial"/>
        </w:rPr>
      </w:pPr>
      <w:r>
        <w:rPr>
          <w:rFonts w:ascii="Arial" w:eastAsia="Arial" w:hAnsi="Arial" w:cs="Arial"/>
        </w:rPr>
        <w:t>The study involves completing a single online survey which includes 5 questionnaires and some background questions. The questionnaires will ask about some of the symptoms related to seizure experience. They will also ask about mental health.</w:t>
      </w:r>
    </w:p>
    <w:p w14:paraId="1D5CEE10" w14:textId="77777777" w:rsidR="009C3C86" w:rsidRDefault="009C3C86" w:rsidP="009C3C86">
      <w:pPr>
        <w:rPr>
          <w:rFonts w:ascii="Arial" w:eastAsia="Arial" w:hAnsi="Arial" w:cs="Arial"/>
        </w:rPr>
      </w:pPr>
    </w:p>
    <w:p w14:paraId="1125A253" w14:textId="77777777" w:rsidR="009C3C86" w:rsidRDefault="009C3C86" w:rsidP="009C3C86">
      <w:pPr>
        <w:rPr>
          <w:rFonts w:ascii="Arial" w:eastAsia="Arial" w:hAnsi="Arial" w:cs="Arial"/>
        </w:rPr>
      </w:pPr>
      <w:r>
        <w:rPr>
          <w:rFonts w:ascii="Arial" w:eastAsia="Arial" w:hAnsi="Arial" w:cs="Arial"/>
        </w:rPr>
        <w:t>The questionnaires should take between 30 minutes and one hour to complete. They will cover topics including experience of anxiety and depression and how you respond to unpredictable events.</w:t>
      </w:r>
    </w:p>
    <w:p w14:paraId="6BD0FAB4" w14:textId="77777777" w:rsidR="009C3C86" w:rsidRDefault="009C3C86" w:rsidP="009C3C86">
      <w:pPr>
        <w:rPr>
          <w:rFonts w:ascii="Arial" w:eastAsia="Arial" w:hAnsi="Arial" w:cs="Arial"/>
        </w:rPr>
      </w:pPr>
    </w:p>
    <w:p w14:paraId="4B2EC034" w14:textId="77777777" w:rsidR="009C3C86" w:rsidRDefault="009C3C86" w:rsidP="009C3C86">
      <w:pPr>
        <w:rPr>
          <w:rFonts w:ascii="Arial" w:eastAsia="Arial" w:hAnsi="Arial" w:cs="Arial"/>
          <w:b/>
          <w:u w:val="single"/>
        </w:rPr>
      </w:pPr>
      <w:r>
        <w:rPr>
          <w:rFonts w:ascii="Arial" w:eastAsia="Arial" w:hAnsi="Arial" w:cs="Arial"/>
          <w:b/>
          <w:u w:val="single"/>
        </w:rPr>
        <w:t>Do I have to take part?</w:t>
      </w:r>
    </w:p>
    <w:p w14:paraId="5B906B9F" w14:textId="77777777" w:rsidR="009C3C86" w:rsidRDefault="009C3C86" w:rsidP="009C3C86">
      <w:pPr>
        <w:rPr>
          <w:rFonts w:ascii="Arial" w:eastAsia="Arial" w:hAnsi="Arial" w:cs="Arial"/>
          <w:b/>
          <w:u w:val="single"/>
        </w:rPr>
      </w:pPr>
    </w:p>
    <w:p w14:paraId="4E7D9FB5" w14:textId="77777777" w:rsidR="009C3C86" w:rsidRDefault="009C3C86" w:rsidP="009C3C86">
      <w:pPr>
        <w:rPr>
          <w:rFonts w:ascii="Arial" w:eastAsia="Calibri" w:hAnsi="Arial" w:cs="Arial"/>
        </w:rPr>
      </w:pPr>
      <w:r>
        <w:rPr>
          <w:rFonts w:ascii="Arial" w:eastAsia="Arial" w:hAnsi="Arial" w:cs="Arial"/>
        </w:rPr>
        <w:t xml:space="preserve">Participation is voluntary and up to you. You should only take part if you want to, and choosing not to take part will not affect your support from any service. Once you have read this information sheet, please contact us if you have any questions that will help you make a decision about taking part. If you decide to take part we will ask you to sign an online consent form on the next page. </w:t>
      </w:r>
    </w:p>
    <w:p w14:paraId="4464C0A4" w14:textId="77777777" w:rsidR="009C3C86" w:rsidRDefault="009C3C86" w:rsidP="009C3C86">
      <w:pPr>
        <w:rPr>
          <w:rFonts w:ascii="Arial" w:eastAsia="Arial" w:hAnsi="Arial" w:cs="Arial"/>
        </w:rPr>
      </w:pPr>
    </w:p>
    <w:p w14:paraId="683F1DE8" w14:textId="77777777" w:rsidR="009C3C86" w:rsidRDefault="009C3C86" w:rsidP="009C3C86">
      <w:pPr>
        <w:rPr>
          <w:rFonts w:ascii="Arial" w:eastAsia="Arial" w:hAnsi="Arial" w:cs="Arial"/>
          <w:b/>
          <w:u w:val="single"/>
        </w:rPr>
      </w:pPr>
      <w:r>
        <w:rPr>
          <w:rFonts w:ascii="Arial" w:eastAsia="Arial" w:hAnsi="Arial" w:cs="Arial"/>
          <w:b/>
          <w:u w:val="single"/>
        </w:rPr>
        <w:t>What are the possible risks of taking part?</w:t>
      </w:r>
    </w:p>
    <w:p w14:paraId="586B2E50" w14:textId="77777777" w:rsidR="009C3C86" w:rsidRDefault="009C3C86" w:rsidP="009C3C86">
      <w:pPr>
        <w:rPr>
          <w:rFonts w:ascii="Arial" w:eastAsia="Arial" w:hAnsi="Arial" w:cs="Arial"/>
          <w:b/>
          <w:u w:val="single"/>
        </w:rPr>
      </w:pPr>
    </w:p>
    <w:p w14:paraId="22DC9585" w14:textId="77777777" w:rsidR="009C3C86" w:rsidRDefault="009C3C86" w:rsidP="009C3C86">
      <w:pPr>
        <w:pStyle w:val="NormalWeb"/>
        <w:spacing w:before="0" w:beforeAutospacing="0" w:after="0" w:afterAutospacing="0"/>
        <w:jc w:val="both"/>
        <w:rPr>
          <w:rFonts w:ascii="Arial" w:hAnsi="Arial" w:cs="Arial"/>
          <w:sz w:val="22"/>
          <w:szCs w:val="22"/>
        </w:rPr>
      </w:pPr>
      <w:r>
        <w:rPr>
          <w:rFonts w:ascii="Arial" w:eastAsia="Arial" w:hAnsi="Arial" w:cs="Arial"/>
          <w:sz w:val="22"/>
          <w:szCs w:val="22"/>
          <w:lang w:eastAsia="en-US"/>
        </w:rPr>
        <w:t>We recommend sitting comfortably, with a good posture whilst completing the questionnaires. We recommend completing the questionnaires somewhere private as they contain confidential information</w:t>
      </w:r>
      <w:r>
        <w:rPr>
          <w:rFonts w:ascii="Arial" w:hAnsi="Arial" w:cs="Arial"/>
          <w:sz w:val="22"/>
          <w:szCs w:val="22"/>
        </w:rPr>
        <w:t>.</w:t>
      </w:r>
    </w:p>
    <w:p w14:paraId="0360DCB9" w14:textId="77777777" w:rsidR="009C3C86" w:rsidRDefault="009C3C86" w:rsidP="009C3C86">
      <w:pPr>
        <w:pStyle w:val="NormalWeb"/>
        <w:spacing w:before="0" w:beforeAutospacing="0" w:after="0" w:afterAutospacing="0"/>
        <w:jc w:val="both"/>
        <w:rPr>
          <w:rFonts w:ascii="Arial" w:hAnsi="Arial" w:cs="Arial"/>
          <w:sz w:val="22"/>
          <w:szCs w:val="22"/>
        </w:rPr>
      </w:pPr>
    </w:p>
    <w:p w14:paraId="36004AAC" w14:textId="77777777" w:rsidR="009C3C86" w:rsidRDefault="009C3C86" w:rsidP="009C3C86">
      <w:pPr>
        <w:rPr>
          <w:rFonts w:ascii="Arial" w:hAnsi="Arial" w:cs="Arial"/>
        </w:rPr>
      </w:pPr>
      <w:r>
        <w:rPr>
          <w:rFonts w:ascii="Arial" w:hAnsi="Arial" w:cs="Arial"/>
        </w:rPr>
        <w:t>Answering questions about physical and mental health can be distressing. If you feel distressed at any point, we would recommend taking a break and to consider not completing the rest of the questions. You will be able to pause and then reopen the survey but we would ask you to try to complete questions within a day to improve validity.</w:t>
      </w:r>
    </w:p>
    <w:p w14:paraId="443D7B6E" w14:textId="77777777" w:rsidR="009C3C86" w:rsidRDefault="009C3C86" w:rsidP="009C3C86">
      <w:pPr>
        <w:rPr>
          <w:rFonts w:ascii="Arial" w:eastAsia="Arial" w:hAnsi="Arial" w:cs="Arial"/>
        </w:rPr>
      </w:pPr>
      <w:r>
        <w:rPr>
          <w:rFonts w:ascii="Arial" w:eastAsia="Arial" w:hAnsi="Arial" w:cs="Arial"/>
        </w:rPr>
        <w:t>If reading this information, or taking part in the survey leads to distressing feelings, please consider speaking to someone you are close to. If further advice is needed, please think about contacting the</w:t>
      </w:r>
      <w:r w:rsidRPr="004C4A47">
        <w:rPr>
          <w:rFonts w:ascii="Arial" w:eastAsia="Arial" w:hAnsi="Arial" w:cs="Arial"/>
        </w:rPr>
        <w:t xml:space="preserve"> NHS service responsible for your care in regard to epilepsy or dissociative seizures</w:t>
      </w:r>
      <w:r>
        <w:rPr>
          <w:rFonts w:ascii="Arial" w:eastAsia="Arial" w:hAnsi="Arial" w:cs="Arial"/>
        </w:rPr>
        <w:t>. Due to the anonymity of the survey process, staff from</w:t>
      </w:r>
      <w:r w:rsidRPr="00BD1172">
        <w:rPr>
          <w:rFonts w:ascii="Arial" w:eastAsia="Arial" w:hAnsi="Arial" w:cs="Arial"/>
        </w:rPr>
        <w:t xml:space="preserve"> NHS teams collaborating with the research</w:t>
      </w:r>
      <w:r>
        <w:rPr>
          <w:rFonts w:ascii="Arial" w:eastAsia="Arial" w:hAnsi="Arial" w:cs="Arial"/>
        </w:rPr>
        <w:t xml:space="preserve"> will not be made aware of your involvement unless you inform them. The below supportive services could also be helpful:</w:t>
      </w:r>
    </w:p>
    <w:p w14:paraId="05B507BA" w14:textId="77777777" w:rsidR="009C3C86" w:rsidRDefault="009C3C86" w:rsidP="009C3C86">
      <w:pPr>
        <w:rPr>
          <w:rStyle w:val="Hyperlink"/>
          <w:rFonts w:ascii="Arial" w:eastAsia="Arial" w:hAnsi="Arial" w:cs="Arial"/>
        </w:rPr>
      </w:pPr>
      <w:r>
        <w:rPr>
          <w:rFonts w:ascii="Arial" w:eastAsia="Arial" w:hAnsi="Arial" w:cs="Arial"/>
        </w:rPr>
        <w:t xml:space="preserve">Mind – the mental health charity. Their website includes a range of mental health resources including practical and encouraging advice for when feeling distressed. They also have supportive helplines: </w:t>
      </w:r>
      <w:r>
        <w:rPr>
          <w:rFonts w:ascii="Arial" w:eastAsia="Arial" w:hAnsi="Arial" w:cs="Arial"/>
        </w:rPr>
        <w:tab/>
      </w:r>
      <w:r>
        <w:rPr>
          <w:rFonts w:ascii="Arial" w:eastAsia="Arial" w:hAnsi="Arial" w:cs="Arial"/>
        </w:rPr>
        <w:tab/>
      </w:r>
      <w:hyperlink r:id="rId165" w:history="1">
        <w:r w:rsidRPr="005F10D0">
          <w:rPr>
            <w:rStyle w:val="Hyperlink"/>
            <w:rFonts w:ascii="Arial" w:eastAsia="Arial" w:hAnsi="Arial" w:cs="Arial"/>
          </w:rPr>
          <w:t>www.mind.org.uk</w:t>
        </w:r>
      </w:hyperlink>
    </w:p>
    <w:p w14:paraId="0CF6191B" w14:textId="77777777" w:rsidR="009C3C86" w:rsidRPr="004A2F74" w:rsidRDefault="009C3C86" w:rsidP="009C3C86">
      <w:pPr>
        <w:rPr>
          <w:rFonts w:ascii="Arial" w:eastAsia="Arial" w:hAnsi="Arial" w:cs="Arial"/>
        </w:rPr>
      </w:pPr>
      <w:r w:rsidRPr="004A2F74">
        <w:rPr>
          <w:rStyle w:val="Hyperlink"/>
          <w:rFonts w:ascii="Arial" w:eastAsia="Arial" w:hAnsi="Arial" w:cs="Arial"/>
        </w:rPr>
        <w:t>The “Get help now” section of the Mind website, for example, includes some helpful videos teaching calming techniques such as breathing skills:  https://www.mind.org.uk/need-urgent-help/</w:t>
      </w:r>
    </w:p>
    <w:p w14:paraId="582DCC91" w14:textId="77777777" w:rsidR="009C3C86" w:rsidRDefault="009C3C86" w:rsidP="009C3C86">
      <w:pPr>
        <w:rPr>
          <w:rFonts w:ascii="Arial" w:eastAsia="Arial" w:hAnsi="Arial" w:cs="Arial"/>
        </w:rPr>
      </w:pPr>
      <w:r>
        <w:rPr>
          <w:rFonts w:ascii="Arial" w:eastAsia="Arial" w:hAnsi="Arial" w:cs="Arial"/>
        </w:rPr>
        <w:lastRenderedPageBreak/>
        <w:t xml:space="preserve">The ACT Mindfully website includes a range of resources for helping when experiencing strong emotions including videos and podcasts: </w:t>
      </w:r>
      <w:r>
        <w:rPr>
          <w:rFonts w:ascii="Arial" w:eastAsia="Arial" w:hAnsi="Arial" w:cs="Arial"/>
        </w:rPr>
        <w:tab/>
      </w:r>
      <w:r>
        <w:rPr>
          <w:rFonts w:ascii="Arial" w:eastAsia="Arial" w:hAnsi="Arial" w:cs="Arial"/>
        </w:rPr>
        <w:tab/>
      </w:r>
      <w:hyperlink r:id="rId166" w:history="1">
        <w:r w:rsidRPr="005F10D0">
          <w:rPr>
            <w:rStyle w:val="Hyperlink"/>
            <w:rFonts w:ascii="Arial" w:eastAsia="Arial" w:hAnsi="Arial" w:cs="Arial"/>
          </w:rPr>
          <w:t>www.actmindfully.com.au</w:t>
        </w:r>
      </w:hyperlink>
      <w:r>
        <w:rPr>
          <w:rFonts w:ascii="Arial" w:eastAsia="Arial" w:hAnsi="Arial" w:cs="Arial"/>
        </w:rPr>
        <w:t xml:space="preserve"> </w:t>
      </w:r>
    </w:p>
    <w:p w14:paraId="700DB382" w14:textId="77777777" w:rsidR="009C3C86" w:rsidRDefault="009C3C86" w:rsidP="009C3C86">
      <w:pPr>
        <w:rPr>
          <w:rFonts w:ascii="Arial" w:eastAsia="Arial" w:hAnsi="Arial" w:cs="Arial"/>
        </w:rPr>
      </w:pPr>
      <w:r>
        <w:rPr>
          <w:rFonts w:ascii="Arial" w:eastAsia="Arial" w:hAnsi="Arial" w:cs="Arial"/>
        </w:rPr>
        <w:t>In the event of a medical emergency, please contact NHS 111, or 999.</w:t>
      </w:r>
    </w:p>
    <w:p w14:paraId="58AC8473" w14:textId="77777777" w:rsidR="009C3C86" w:rsidRDefault="009C3C86" w:rsidP="009C3C86">
      <w:pPr>
        <w:rPr>
          <w:rFonts w:ascii="Arial" w:eastAsia="Arial" w:hAnsi="Arial" w:cs="Arial"/>
          <w:b/>
          <w:u w:val="single"/>
        </w:rPr>
      </w:pPr>
    </w:p>
    <w:p w14:paraId="6D62244A" w14:textId="77777777" w:rsidR="009C3C86" w:rsidRDefault="009C3C86" w:rsidP="009C3C86">
      <w:pPr>
        <w:rPr>
          <w:rFonts w:ascii="Arial" w:eastAsia="Arial" w:hAnsi="Arial" w:cs="Arial"/>
          <w:b/>
          <w:u w:val="single"/>
        </w:rPr>
      </w:pPr>
      <w:r>
        <w:rPr>
          <w:rFonts w:ascii="Arial" w:eastAsia="Arial" w:hAnsi="Arial" w:cs="Arial"/>
          <w:b/>
          <w:u w:val="single"/>
        </w:rPr>
        <w:t>What are the possible benefits of taking part?</w:t>
      </w:r>
    </w:p>
    <w:p w14:paraId="69171607" w14:textId="77777777" w:rsidR="009C3C86" w:rsidRDefault="009C3C86" w:rsidP="009C3C86">
      <w:pPr>
        <w:rPr>
          <w:rFonts w:ascii="Arial" w:eastAsia="Arial" w:hAnsi="Arial" w:cs="Arial"/>
        </w:rPr>
      </w:pPr>
    </w:p>
    <w:p w14:paraId="35B50128" w14:textId="77777777" w:rsidR="009C3C86" w:rsidRPr="006E6924" w:rsidRDefault="009C3C86" w:rsidP="009C3C86">
      <w:pPr>
        <w:rPr>
          <w:rFonts w:ascii="Arial" w:eastAsia="Arial" w:hAnsi="Arial" w:cs="Arial"/>
        </w:rPr>
      </w:pPr>
      <w:r>
        <w:rPr>
          <w:rFonts w:ascii="Arial" w:eastAsia="Arial" w:hAnsi="Arial" w:cs="Arial"/>
        </w:rPr>
        <w:t>There are no expected direct benefits to participation beyond contributing to a better understanding of seizure conditions, which could lead to improved clinical care to service-users in the future.</w:t>
      </w:r>
    </w:p>
    <w:p w14:paraId="7BFA239C" w14:textId="77777777" w:rsidR="009C3C86" w:rsidRDefault="009C3C86" w:rsidP="009C3C86">
      <w:pPr>
        <w:rPr>
          <w:rFonts w:ascii="Arial" w:eastAsia="Calibri" w:hAnsi="Arial" w:cs="Arial"/>
        </w:rPr>
      </w:pPr>
    </w:p>
    <w:p w14:paraId="46350DD5" w14:textId="77777777" w:rsidR="009C3C86" w:rsidRPr="00400123" w:rsidRDefault="009C3C86" w:rsidP="009C3C86">
      <w:pPr>
        <w:rPr>
          <w:rFonts w:ascii="Arial" w:hAnsi="Arial" w:cs="Arial"/>
          <w:b/>
          <w:u w:val="single"/>
        </w:rPr>
      </w:pPr>
      <w:r w:rsidRPr="00400123">
        <w:rPr>
          <w:rFonts w:ascii="Arial" w:hAnsi="Arial" w:cs="Arial"/>
          <w:b/>
          <w:u w:val="single"/>
        </w:rPr>
        <w:t xml:space="preserve">How will we use information about you? </w:t>
      </w:r>
    </w:p>
    <w:p w14:paraId="7C608F73" w14:textId="77777777" w:rsidR="009C3C86" w:rsidRPr="00C37EC8" w:rsidRDefault="009C3C86" w:rsidP="009C3C86">
      <w:pPr>
        <w:rPr>
          <w:rFonts w:ascii="Arial" w:hAnsi="Arial" w:cs="Arial"/>
        </w:rPr>
      </w:pPr>
      <w:r w:rsidRPr="00C37EC8">
        <w:rPr>
          <w:rFonts w:ascii="Arial" w:hAnsi="Arial" w:cs="Arial"/>
        </w:rPr>
        <w:t>We will n</w:t>
      </w:r>
      <w:r>
        <w:rPr>
          <w:rFonts w:ascii="Arial" w:hAnsi="Arial" w:cs="Arial"/>
        </w:rPr>
        <w:t xml:space="preserve">eed to use information from you </w:t>
      </w:r>
      <w:r w:rsidRPr="00C37EC8">
        <w:rPr>
          <w:rFonts w:ascii="Arial" w:hAnsi="Arial" w:cs="Arial"/>
        </w:rPr>
        <w:t xml:space="preserve">for this research project. </w:t>
      </w:r>
    </w:p>
    <w:p w14:paraId="1F6C1E46" w14:textId="77777777" w:rsidR="009C3C86" w:rsidRPr="00C37EC8" w:rsidRDefault="009C3C86" w:rsidP="009C3C86">
      <w:pPr>
        <w:rPr>
          <w:rFonts w:ascii="Arial" w:hAnsi="Arial" w:cs="Arial"/>
        </w:rPr>
      </w:pPr>
      <w:r w:rsidRPr="00C37EC8">
        <w:rPr>
          <w:rFonts w:ascii="Arial" w:hAnsi="Arial" w:cs="Arial"/>
        </w:rPr>
        <w:t xml:space="preserve">This information </w:t>
      </w:r>
      <w:r>
        <w:rPr>
          <w:rFonts w:ascii="Arial" w:hAnsi="Arial" w:cs="Arial"/>
        </w:rPr>
        <w:t>will include the answers you provide to the survey if you choose to take part, although they will not be linked to any identifiable information. Your care team have access to your contact details which they may use to contact you about the study. If you choose to contact the researcher (</w:t>
      </w:r>
      <w:r w:rsidRPr="00F855DE">
        <w:rPr>
          <w:rFonts w:ascii="Arial" w:hAnsi="Arial" w:cs="Arial"/>
          <w:highlight w:val="black"/>
        </w:rPr>
        <w:t>James Rowland</w:t>
      </w:r>
      <w:r>
        <w:rPr>
          <w:rFonts w:ascii="Arial" w:hAnsi="Arial" w:cs="Arial"/>
        </w:rPr>
        <w:t>) via telephone or email, they will have access to these contact details which will be securely saved up until the end of the study when they will be no longer be accessible to people outside of your existing care team.</w:t>
      </w:r>
    </w:p>
    <w:p w14:paraId="11D221B3" w14:textId="77777777" w:rsidR="009C3C86" w:rsidRPr="00C37EC8" w:rsidRDefault="009C3C86" w:rsidP="009C3C86">
      <w:pPr>
        <w:rPr>
          <w:rFonts w:ascii="Arial" w:hAnsi="Arial" w:cs="Arial"/>
        </w:rPr>
      </w:pPr>
      <w:r w:rsidRPr="00C37EC8">
        <w:rPr>
          <w:rFonts w:ascii="Arial" w:hAnsi="Arial" w:cs="Arial"/>
        </w:rPr>
        <w:t xml:space="preserve">People who do not need to know who you are will not be able to see your name or contact details. Your data will have a code number instead. </w:t>
      </w:r>
    </w:p>
    <w:p w14:paraId="45638155" w14:textId="77777777" w:rsidR="009C3C86" w:rsidRPr="00C37EC8" w:rsidRDefault="009C3C86" w:rsidP="009C3C86">
      <w:pPr>
        <w:rPr>
          <w:rFonts w:ascii="Arial" w:hAnsi="Arial" w:cs="Arial"/>
        </w:rPr>
      </w:pPr>
      <w:r w:rsidRPr="00C37EC8">
        <w:rPr>
          <w:rFonts w:ascii="Arial" w:hAnsi="Arial" w:cs="Arial"/>
        </w:rPr>
        <w:t>We will keep all information about you safe an</w:t>
      </w:r>
      <w:r>
        <w:rPr>
          <w:rFonts w:ascii="Arial" w:hAnsi="Arial" w:cs="Arial"/>
        </w:rPr>
        <w:t xml:space="preserve">d secure. </w:t>
      </w:r>
    </w:p>
    <w:p w14:paraId="1565614A" w14:textId="77777777" w:rsidR="009C3C86" w:rsidRDefault="009C3C86" w:rsidP="009C3C86">
      <w:pPr>
        <w:rPr>
          <w:rFonts w:ascii="Arial" w:hAnsi="Arial" w:cs="Arial"/>
        </w:rPr>
      </w:pPr>
      <w:r w:rsidRPr="00C37EC8">
        <w:rPr>
          <w:rFonts w:ascii="Arial" w:hAnsi="Arial" w:cs="Arial"/>
        </w:rPr>
        <w:t>Once we have finished the study, we will keep some of the data so we can check the results. We will write our reports in a way that no-one can work out that you took part in the study.</w:t>
      </w:r>
    </w:p>
    <w:p w14:paraId="6D520B54" w14:textId="77777777" w:rsidR="009C3C86" w:rsidRPr="00865F1F" w:rsidRDefault="009C3C86" w:rsidP="009C3C86">
      <w:pPr>
        <w:rPr>
          <w:rFonts w:ascii="Arial" w:eastAsia="Arial" w:hAnsi="Arial" w:cs="Arial"/>
        </w:rPr>
      </w:pPr>
      <w:r w:rsidRPr="00865F1F">
        <w:rPr>
          <w:rFonts w:ascii="Arial" w:eastAsia="Arial" w:hAnsi="Arial" w:cs="Arial"/>
        </w:rPr>
        <w:t xml:space="preserve">People will use this information to do the research or to check your records to make sure that the research is being done properly. </w:t>
      </w:r>
    </w:p>
    <w:p w14:paraId="7F897F3C" w14:textId="77777777" w:rsidR="009C3C86" w:rsidRDefault="009C3C86" w:rsidP="009C3C86">
      <w:pPr>
        <w:rPr>
          <w:rFonts w:ascii="Arial" w:hAnsi="Arial" w:cs="Arial"/>
        </w:rPr>
      </w:pPr>
      <w:r w:rsidRPr="00865F1F">
        <w:rPr>
          <w:rFonts w:ascii="Tahoma" w:eastAsia="Arial" w:hAnsi="Tahoma" w:cs="Tahoma"/>
        </w:rPr>
        <w:t>﻿</w:t>
      </w:r>
      <w:r w:rsidRPr="00865F1F">
        <w:rPr>
          <w:rFonts w:ascii="Arial" w:eastAsia="Arial" w:hAnsi="Arial" w:cs="Arial"/>
        </w:rPr>
        <w:t>We need to manage your records in specific ways for the research to be reliable. This means that we won’t be able to let you see or change the data we hold about you.</w:t>
      </w:r>
    </w:p>
    <w:p w14:paraId="58E32C63" w14:textId="77777777" w:rsidR="009C3C86" w:rsidRPr="00865F1F" w:rsidRDefault="009C3C86" w:rsidP="009C3C86">
      <w:pPr>
        <w:rPr>
          <w:rFonts w:ascii="Arial" w:hAnsi="Arial" w:cs="Arial"/>
        </w:rPr>
      </w:pPr>
      <w:r>
        <w:rPr>
          <w:rFonts w:ascii="Arial" w:hAnsi="Arial" w:cs="Arial"/>
        </w:rPr>
        <w:t xml:space="preserve">Analysed data will be written up into a paper, which is intended to be submitted for publication and anonymised material may be used for other purposes such as teaching or training. Data will be archived for potential future review for up to 10 years in accordance with Staffordshire University research policy. All data will be stored exclusively on </w:t>
      </w:r>
      <w:r w:rsidRPr="00865F1F">
        <w:rPr>
          <w:rFonts w:ascii="Arial" w:hAnsi="Arial" w:cs="Arial"/>
        </w:rPr>
        <w:t>Staffordshire University’s secure One Drive system. If you have any questions or concerns about confidentiality, please get in touch with me (</w:t>
      </w:r>
      <w:r w:rsidRPr="00F855DE">
        <w:rPr>
          <w:rFonts w:ascii="Arial" w:hAnsi="Arial" w:cs="Arial"/>
          <w:highlight w:val="black"/>
        </w:rPr>
        <w:t>James Rowland</w:t>
      </w:r>
      <w:r w:rsidRPr="00865F1F">
        <w:rPr>
          <w:rFonts w:ascii="Arial" w:hAnsi="Arial" w:cs="Arial"/>
        </w:rPr>
        <w:t>), using my contact details below.</w:t>
      </w:r>
    </w:p>
    <w:p w14:paraId="1E2ABB17" w14:textId="77777777" w:rsidR="009C3C86" w:rsidRPr="00C37EC8" w:rsidRDefault="009C3C86" w:rsidP="009C3C86">
      <w:pPr>
        <w:rPr>
          <w:rFonts w:ascii="Arial" w:hAnsi="Arial" w:cs="Arial"/>
        </w:rPr>
      </w:pPr>
    </w:p>
    <w:p w14:paraId="68583520" w14:textId="77777777" w:rsidR="009C3C86" w:rsidRPr="00C206E8" w:rsidRDefault="009C3C86" w:rsidP="009C3C86">
      <w:pPr>
        <w:rPr>
          <w:rFonts w:ascii="Arial" w:hAnsi="Arial" w:cs="Arial"/>
          <w:b/>
          <w:u w:val="single"/>
        </w:rPr>
      </w:pPr>
      <w:r w:rsidRPr="00C206E8">
        <w:rPr>
          <w:rFonts w:ascii="Arial" w:hAnsi="Arial" w:cs="Arial"/>
          <w:b/>
          <w:u w:val="single"/>
        </w:rPr>
        <w:t>Where can you find out more about how your information is used?</w:t>
      </w:r>
    </w:p>
    <w:p w14:paraId="1AFAE950" w14:textId="77777777" w:rsidR="009C3C86" w:rsidRPr="00C37EC8" w:rsidRDefault="009C3C86" w:rsidP="009C3C86">
      <w:pPr>
        <w:rPr>
          <w:rFonts w:ascii="Arial" w:hAnsi="Arial" w:cs="Arial"/>
        </w:rPr>
      </w:pPr>
      <w:r w:rsidRPr="00C37EC8">
        <w:rPr>
          <w:rFonts w:ascii="Arial" w:hAnsi="Arial" w:cs="Arial"/>
        </w:rPr>
        <w:t>You can find out more abo</w:t>
      </w:r>
      <w:r>
        <w:rPr>
          <w:rFonts w:ascii="Arial" w:hAnsi="Arial" w:cs="Arial"/>
        </w:rPr>
        <w:t xml:space="preserve">ut how we use your information </w:t>
      </w:r>
    </w:p>
    <w:p w14:paraId="26D56FFD" w14:textId="77777777" w:rsidR="009C3C86" w:rsidRPr="00C37EC8" w:rsidRDefault="009C3C86" w:rsidP="009C3C86">
      <w:pPr>
        <w:rPr>
          <w:rFonts w:ascii="Arial" w:hAnsi="Arial" w:cs="Arial"/>
        </w:rPr>
      </w:pPr>
      <w:r w:rsidRPr="00C37EC8">
        <w:rPr>
          <w:rFonts w:ascii="Arial" w:hAnsi="Arial" w:cs="Arial"/>
        </w:rPr>
        <w:t>at www.hra.nhs.uk/information-about-patients/</w:t>
      </w:r>
    </w:p>
    <w:p w14:paraId="65361327" w14:textId="77777777" w:rsidR="009C3C86" w:rsidRPr="00C37EC8" w:rsidRDefault="009C3C86" w:rsidP="009C3C86">
      <w:pPr>
        <w:rPr>
          <w:rFonts w:ascii="Arial" w:hAnsi="Arial" w:cs="Arial"/>
        </w:rPr>
      </w:pPr>
      <w:r w:rsidRPr="00C37EC8">
        <w:rPr>
          <w:rFonts w:ascii="Arial" w:hAnsi="Arial" w:cs="Arial"/>
        </w:rPr>
        <w:t>by sending an email to</w:t>
      </w:r>
      <w:r>
        <w:rPr>
          <w:rFonts w:ascii="Arial" w:hAnsi="Arial" w:cs="Arial"/>
        </w:rPr>
        <w:t xml:space="preserve"> the main researcher</w:t>
      </w:r>
      <w:r w:rsidRPr="00C37EC8">
        <w:rPr>
          <w:rFonts w:ascii="Arial" w:hAnsi="Arial" w:cs="Arial"/>
        </w:rPr>
        <w:t xml:space="preserve"> </w:t>
      </w:r>
      <w:r>
        <w:rPr>
          <w:rFonts w:ascii="Arial" w:hAnsi="Arial" w:cs="Arial"/>
        </w:rPr>
        <w:t>(</w:t>
      </w:r>
      <w:r w:rsidRPr="00F855DE">
        <w:rPr>
          <w:rFonts w:ascii="Arial" w:hAnsi="Arial" w:cs="Arial"/>
          <w:highlight w:val="black"/>
        </w:rPr>
        <w:t>james.rowland@student.staffs.ac.uk</w:t>
      </w:r>
      <w:r>
        <w:rPr>
          <w:rFonts w:ascii="Arial" w:hAnsi="Arial" w:cs="Arial"/>
        </w:rPr>
        <w:t>)</w:t>
      </w:r>
      <w:r w:rsidRPr="00C37EC8">
        <w:rPr>
          <w:rFonts w:ascii="Arial" w:hAnsi="Arial" w:cs="Arial"/>
        </w:rPr>
        <w:t xml:space="preserve">, or </w:t>
      </w:r>
    </w:p>
    <w:p w14:paraId="66899BA1" w14:textId="77777777" w:rsidR="009C3C86" w:rsidRPr="00C37EC8" w:rsidRDefault="009C3C86" w:rsidP="009C3C86">
      <w:pPr>
        <w:rPr>
          <w:rFonts w:ascii="Arial" w:hAnsi="Arial" w:cs="Arial"/>
        </w:rPr>
      </w:pPr>
      <w:r w:rsidRPr="00C37EC8">
        <w:rPr>
          <w:rFonts w:ascii="Arial" w:hAnsi="Arial" w:cs="Arial"/>
        </w:rPr>
        <w:lastRenderedPageBreak/>
        <w:t xml:space="preserve">by ringing </w:t>
      </w:r>
      <w:r>
        <w:rPr>
          <w:rFonts w:ascii="Arial" w:hAnsi="Arial" w:cs="Arial"/>
        </w:rPr>
        <w:t>us</w:t>
      </w:r>
      <w:r w:rsidRPr="00C37EC8">
        <w:rPr>
          <w:rFonts w:ascii="Arial" w:hAnsi="Arial" w:cs="Arial"/>
        </w:rPr>
        <w:t xml:space="preserve"> on </w:t>
      </w:r>
      <w:r w:rsidRPr="00F855DE">
        <w:rPr>
          <w:rFonts w:ascii="Arial" w:eastAsia="Arial" w:hAnsi="Arial" w:cs="Arial"/>
          <w:highlight w:val="black"/>
        </w:rPr>
        <w:t>07814 752 784</w:t>
      </w:r>
      <w:r w:rsidRPr="00C37EC8" w:rsidDel="00C206E8">
        <w:rPr>
          <w:rFonts w:ascii="Arial" w:hAnsi="Arial" w:cs="Arial"/>
        </w:rPr>
        <w:t xml:space="preserve"> </w:t>
      </w:r>
    </w:p>
    <w:p w14:paraId="48244EDF" w14:textId="77777777" w:rsidR="009C3C86" w:rsidRDefault="009C3C86" w:rsidP="009C3C86">
      <w:pPr>
        <w:rPr>
          <w:rFonts w:ascii="Arial" w:hAnsi="Arial" w:cs="Arial"/>
        </w:rPr>
      </w:pPr>
    </w:p>
    <w:p w14:paraId="33F2A39E" w14:textId="77777777" w:rsidR="009C3C86" w:rsidRDefault="009C3C86" w:rsidP="009C3C86">
      <w:pPr>
        <w:rPr>
          <w:rFonts w:ascii="Arial" w:hAnsi="Arial" w:cs="Arial"/>
          <w:b/>
          <w:u w:val="single"/>
        </w:rPr>
      </w:pPr>
      <w:r>
        <w:rPr>
          <w:rFonts w:ascii="Arial" w:hAnsi="Arial" w:cs="Arial"/>
          <w:b/>
          <w:u w:val="single"/>
        </w:rPr>
        <w:t>What if I change my mind about taking part?</w:t>
      </w:r>
    </w:p>
    <w:p w14:paraId="7E7BBFBC" w14:textId="77777777" w:rsidR="009C3C86" w:rsidRDefault="009C3C86" w:rsidP="009C3C86">
      <w:pPr>
        <w:pStyle w:val="NormalWeb"/>
        <w:spacing w:before="0" w:beforeAutospacing="0" w:after="0" w:afterAutospacing="0"/>
        <w:jc w:val="both"/>
        <w:rPr>
          <w:rFonts w:ascii="Arial" w:hAnsi="Arial" w:cs="Arial"/>
          <w:b/>
          <w:color w:val="FF0000"/>
          <w:sz w:val="22"/>
          <w:szCs w:val="22"/>
        </w:rPr>
      </w:pPr>
      <w:r>
        <w:rPr>
          <w:rFonts w:ascii="Arial" w:hAnsi="Arial" w:cs="Arial"/>
          <w:sz w:val="22"/>
          <w:szCs w:val="22"/>
        </w:rPr>
        <w:t>You are free withdraw from the study, by contacting the main researcher by email (</w:t>
      </w:r>
      <w:r w:rsidRPr="00F855DE">
        <w:rPr>
          <w:rFonts w:ascii="Arial" w:hAnsi="Arial" w:cs="Arial"/>
          <w:sz w:val="22"/>
          <w:szCs w:val="22"/>
          <w:highlight w:val="black"/>
        </w:rPr>
        <w:t>james.rowland@student.staffs.ac.uk</w:t>
      </w:r>
      <w:r>
        <w:rPr>
          <w:rFonts w:ascii="Arial" w:hAnsi="Arial" w:cs="Arial"/>
          <w:sz w:val="22"/>
          <w:szCs w:val="22"/>
        </w:rPr>
        <w:t>)</w:t>
      </w:r>
      <w:r w:rsidRPr="00BA7C62">
        <w:rPr>
          <w:rFonts w:ascii="Arial" w:hAnsi="Arial" w:cs="Arial"/>
          <w:sz w:val="22"/>
          <w:szCs w:val="22"/>
        </w:rPr>
        <w:t xml:space="preserve"> </w:t>
      </w:r>
      <w:r>
        <w:rPr>
          <w:rFonts w:ascii="Arial" w:hAnsi="Arial" w:cs="Arial"/>
          <w:sz w:val="22"/>
          <w:szCs w:val="22"/>
        </w:rPr>
        <w:t>or telephone (</w:t>
      </w:r>
      <w:r w:rsidRPr="00F855DE">
        <w:rPr>
          <w:rFonts w:ascii="Arial" w:hAnsi="Arial" w:cs="Arial"/>
          <w:sz w:val="22"/>
          <w:szCs w:val="22"/>
          <w:highlight w:val="black"/>
        </w:rPr>
        <w:t>07814752784</w:t>
      </w:r>
      <w:r>
        <w:rPr>
          <w:rFonts w:ascii="Arial" w:hAnsi="Arial" w:cs="Arial"/>
          <w:sz w:val="22"/>
          <w:szCs w:val="22"/>
        </w:rPr>
        <w:t xml:space="preserve">), without having to give a reason, up until two weeks after completing the survey. Withdrawing from the study will not affect you in any way. </w:t>
      </w:r>
    </w:p>
    <w:p w14:paraId="6C77793E" w14:textId="77777777" w:rsidR="009C3C86" w:rsidRDefault="009C3C86" w:rsidP="009C3C86">
      <w:pPr>
        <w:pStyle w:val="NormalWeb"/>
        <w:spacing w:before="0" w:beforeAutospacing="0" w:after="0" w:afterAutospacing="0"/>
        <w:jc w:val="both"/>
        <w:rPr>
          <w:rFonts w:ascii="Arial" w:hAnsi="Arial" w:cs="Arial"/>
          <w:sz w:val="22"/>
          <w:szCs w:val="22"/>
        </w:rPr>
      </w:pPr>
    </w:p>
    <w:p w14:paraId="3E7339BB" w14:textId="77777777" w:rsidR="009C3C86" w:rsidRDefault="009C3C86" w:rsidP="009C3C86">
      <w:pPr>
        <w:pStyle w:val="NormalWeb"/>
        <w:spacing w:before="0" w:beforeAutospacing="0" w:after="0" w:afterAutospacing="0"/>
        <w:jc w:val="both"/>
        <w:rPr>
          <w:rFonts w:ascii="Arial" w:hAnsi="Arial" w:cs="Arial"/>
          <w:sz w:val="22"/>
          <w:szCs w:val="22"/>
        </w:rPr>
      </w:pPr>
      <w:r>
        <w:rPr>
          <w:rFonts w:ascii="Arial" w:hAnsi="Arial" w:cs="Arial"/>
          <w:sz w:val="22"/>
          <w:szCs w:val="22"/>
        </w:rPr>
        <w:t>If you choose to withdraw from the study we will not retain any information that you have provided us as a part of this study. To be able to withdraw anonymously you would be asked to provide a unique identifier code before beginning the study.</w:t>
      </w:r>
    </w:p>
    <w:p w14:paraId="657A9EA9" w14:textId="77777777" w:rsidR="009C3C86" w:rsidRDefault="009C3C86" w:rsidP="009C3C86">
      <w:pPr>
        <w:rPr>
          <w:rFonts w:ascii="Arial" w:eastAsia="Arial" w:hAnsi="Arial" w:cs="Arial"/>
          <w:b/>
          <w:u w:val="single"/>
        </w:rPr>
      </w:pPr>
    </w:p>
    <w:p w14:paraId="2C25B088" w14:textId="77777777" w:rsidR="009C3C86" w:rsidRDefault="009C3C86" w:rsidP="009C3C86">
      <w:pPr>
        <w:rPr>
          <w:rFonts w:ascii="Arial" w:eastAsia="Arial" w:hAnsi="Arial" w:cs="Arial"/>
          <w:b/>
          <w:u w:val="single"/>
        </w:rPr>
      </w:pPr>
      <w:r>
        <w:rPr>
          <w:rFonts w:ascii="Arial" w:eastAsia="Arial" w:hAnsi="Arial" w:cs="Arial"/>
          <w:b/>
          <w:u w:val="single"/>
        </w:rPr>
        <w:t>What will happen to the results of the study?</w:t>
      </w:r>
    </w:p>
    <w:p w14:paraId="3CF223E7" w14:textId="77777777" w:rsidR="009C3C86" w:rsidRDefault="009C3C86" w:rsidP="009C3C86">
      <w:pPr>
        <w:rPr>
          <w:rFonts w:ascii="Arial" w:eastAsia="Arial" w:hAnsi="Arial" w:cs="Arial"/>
        </w:rPr>
      </w:pPr>
      <w:r>
        <w:rPr>
          <w:rFonts w:ascii="Arial" w:eastAsia="Arial" w:hAnsi="Arial" w:cs="Arial"/>
        </w:rPr>
        <w:t>This study is part of the researcher’s doctoral thesis and will be reviewed as part of this process. Anonymised study results will potentially be shared in relevant forums such as conferences. The current intention is to publish the results in a peer reviewed journal with potential use for teaching or training purposes. A study summary will be provided to the recruiting NHS services and can be requested by anyone participating. If you are happy to share your email address with myself (</w:t>
      </w:r>
      <w:hyperlink r:id="rId167" w:history="1">
        <w:r w:rsidRPr="00F855DE">
          <w:rPr>
            <w:rStyle w:val="Hyperlink"/>
            <w:rFonts w:ascii="Arial" w:eastAsia="Arial" w:hAnsi="Arial" w:cs="Arial"/>
            <w:color w:val="auto"/>
            <w:highlight w:val="black"/>
          </w:rPr>
          <w:t>james.rowland@student.staffs.ac.uk</w:t>
        </w:r>
      </w:hyperlink>
      <w:r w:rsidRPr="00F855DE">
        <w:rPr>
          <w:rFonts w:ascii="Arial" w:eastAsia="Arial" w:hAnsi="Arial" w:cs="Arial"/>
        </w:rPr>
        <w:t>)</w:t>
      </w:r>
      <w:r>
        <w:rPr>
          <w:rFonts w:ascii="Arial" w:eastAsia="Arial" w:hAnsi="Arial" w:cs="Arial"/>
        </w:rPr>
        <w:t>, you can contact me directly to request a copy of this summary after completing the survey.</w:t>
      </w:r>
    </w:p>
    <w:p w14:paraId="30582E3C" w14:textId="77777777" w:rsidR="009C3C86" w:rsidRDefault="009C3C86" w:rsidP="009C3C86">
      <w:pPr>
        <w:rPr>
          <w:rFonts w:ascii="Arial" w:eastAsia="Arial" w:hAnsi="Arial" w:cs="Arial"/>
          <w:b/>
          <w:u w:val="single"/>
        </w:rPr>
      </w:pPr>
      <w:r>
        <w:rPr>
          <w:rFonts w:ascii="Arial" w:eastAsia="Arial" w:hAnsi="Arial" w:cs="Arial"/>
          <w:b/>
          <w:u w:val="single"/>
        </w:rPr>
        <w:t>Who is organising the research?</w:t>
      </w:r>
    </w:p>
    <w:p w14:paraId="41F27B0E" w14:textId="77777777" w:rsidR="009C3C86" w:rsidRDefault="009C3C86" w:rsidP="009C3C86">
      <w:pPr>
        <w:rPr>
          <w:rFonts w:ascii="Arial" w:eastAsia="Arial" w:hAnsi="Arial" w:cs="Arial"/>
        </w:rPr>
      </w:pPr>
      <w:r>
        <w:rPr>
          <w:rFonts w:ascii="Arial" w:eastAsia="Arial" w:hAnsi="Arial" w:cs="Arial"/>
        </w:rPr>
        <w:t>Staffordshire University are managing and monitoring the research.</w:t>
      </w:r>
    </w:p>
    <w:p w14:paraId="0E6797F6" w14:textId="77777777" w:rsidR="009C3C86" w:rsidRDefault="009C3C86" w:rsidP="009C3C86">
      <w:pPr>
        <w:rPr>
          <w:rFonts w:ascii="Arial" w:eastAsia="Arial" w:hAnsi="Arial" w:cs="Arial"/>
        </w:rPr>
      </w:pPr>
    </w:p>
    <w:p w14:paraId="373D83F8" w14:textId="77777777" w:rsidR="009C3C86" w:rsidRDefault="009C3C86" w:rsidP="009C3C86">
      <w:pPr>
        <w:rPr>
          <w:rFonts w:ascii="Arial" w:eastAsia="Arial" w:hAnsi="Arial" w:cs="Arial"/>
          <w:b/>
          <w:u w:val="single"/>
        </w:rPr>
      </w:pPr>
      <w:r>
        <w:rPr>
          <w:rFonts w:ascii="Arial" w:eastAsia="Arial" w:hAnsi="Arial" w:cs="Arial"/>
          <w:b/>
          <w:u w:val="single"/>
        </w:rPr>
        <w:t>Who has reviewed the research?</w:t>
      </w:r>
    </w:p>
    <w:p w14:paraId="4DFCA57F" w14:textId="77777777" w:rsidR="009C3C86" w:rsidRDefault="009C3C86" w:rsidP="009C3C86">
      <w:pPr>
        <w:rPr>
          <w:rFonts w:ascii="Arial" w:eastAsia="Arial" w:hAnsi="Arial" w:cs="Arial"/>
        </w:rPr>
      </w:pPr>
      <w:r>
        <w:rPr>
          <w:rFonts w:ascii="Arial" w:eastAsia="Arial" w:hAnsi="Arial" w:cs="Arial"/>
        </w:rPr>
        <w:t>This project has been reviewed by a research ethics committee to assess patient and public involvement, and the health research authority for legal and governance compliance.</w:t>
      </w:r>
    </w:p>
    <w:p w14:paraId="7065E242" w14:textId="77777777" w:rsidR="009C3C86" w:rsidRDefault="009C3C86" w:rsidP="009C3C86">
      <w:pPr>
        <w:rPr>
          <w:rFonts w:ascii="Arial" w:eastAsia="Arial" w:hAnsi="Arial" w:cs="Arial"/>
          <w:b/>
          <w:u w:val="single"/>
        </w:rPr>
      </w:pPr>
    </w:p>
    <w:p w14:paraId="0FA5F81D" w14:textId="77777777" w:rsidR="009C3C86" w:rsidRDefault="009C3C86" w:rsidP="009C3C86">
      <w:pPr>
        <w:rPr>
          <w:rFonts w:ascii="Arial" w:eastAsia="Arial" w:hAnsi="Arial" w:cs="Arial"/>
          <w:b/>
          <w:u w:val="single"/>
        </w:rPr>
      </w:pPr>
      <w:r>
        <w:rPr>
          <w:rFonts w:ascii="Arial" w:eastAsia="Arial" w:hAnsi="Arial" w:cs="Arial"/>
          <w:b/>
          <w:u w:val="single"/>
        </w:rPr>
        <w:t>Who should I contact for further information?</w:t>
      </w:r>
    </w:p>
    <w:p w14:paraId="6D2C2701" w14:textId="77777777" w:rsidR="009C3C86" w:rsidRDefault="009C3C86" w:rsidP="009C3C86">
      <w:pPr>
        <w:rPr>
          <w:rFonts w:ascii="Arial" w:eastAsia="Arial" w:hAnsi="Arial" w:cs="Arial"/>
        </w:rPr>
      </w:pPr>
    </w:p>
    <w:p w14:paraId="51E15397" w14:textId="77777777" w:rsidR="009C3C86" w:rsidRDefault="009C3C86" w:rsidP="009C3C86">
      <w:pPr>
        <w:rPr>
          <w:rFonts w:ascii="Arial" w:eastAsia="Arial" w:hAnsi="Arial" w:cs="Arial"/>
        </w:rPr>
      </w:pPr>
      <w:r>
        <w:rPr>
          <w:rFonts w:ascii="Arial" w:eastAsia="Arial" w:hAnsi="Arial" w:cs="Arial"/>
        </w:rPr>
        <w:t>If you have any questions or require more information about this study, please contact me using the following contact details:</w:t>
      </w:r>
    </w:p>
    <w:p w14:paraId="4C509601" w14:textId="77777777" w:rsidR="009C3C86" w:rsidRDefault="009C3C86" w:rsidP="009C3C86">
      <w:pPr>
        <w:rPr>
          <w:rFonts w:ascii="Arial" w:eastAsia="Arial" w:hAnsi="Arial" w:cs="Arial"/>
        </w:rPr>
      </w:pPr>
    </w:p>
    <w:p w14:paraId="4A978F83" w14:textId="77777777" w:rsidR="009C3C86" w:rsidRDefault="009C3C86" w:rsidP="009C3C86">
      <w:pPr>
        <w:rPr>
          <w:rFonts w:ascii="Arial" w:eastAsia="Arial" w:hAnsi="Arial" w:cs="Arial"/>
        </w:rPr>
      </w:pPr>
      <w:r>
        <w:rPr>
          <w:rFonts w:ascii="Arial" w:eastAsia="Arial" w:hAnsi="Arial" w:cs="Arial"/>
        </w:rPr>
        <w:t xml:space="preserve">Work email – </w:t>
      </w:r>
      <w:r w:rsidRPr="00F855DE">
        <w:rPr>
          <w:rFonts w:ascii="Arial" w:eastAsia="Arial" w:hAnsi="Arial" w:cs="Arial"/>
          <w:highlight w:val="black"/>
        </w:rPr>
        <w:t>james.rowland@student.staffs.ac.uk</w:t>
      </w:r>
      <w:r>
        <w:rPr>
          <w:rFonts w:ascii="Arial" w:eastAsia="Arial" w:hAnsi="Arial" w:cs="Arial"/>
        </w:rPr>
        <w:t xml:space="preserve"> </w:t>
      </w:r>
    </w:p>
    <w:p w14:paraId="336964B0" w14:textId="77777777" w:rsidR="009C3C86" w:rsidRDefault="009C3C86" w:rsidP="009C3C86">
      <w:pPr>
        <w:rPr>
          <w:rFonts w:ascii="Arial" w:eastAsia="Arial" w:hAnsi="Arial" w:cs="Arial"/>
        </w:rPr>
      </w:pPr>
      <w:r>
        <w:rPr>
          <w:rFonts w:ascii="Arial" w:eastAsia="Arial" w:hAnsi="Arial" w:cs="Arial"/>
        </w:rPr>
        <w:t xml:space="preserve">Work telephone -  </w:t>
      </w:r>
      <w:r w:rsidRPr="00F855DE">
        <w:rPr>
          <w:rFonts w:ascii="Arial" w:eastAsia="Arial" w:hAnsi="Arial" w:cs="Arial"/>
          <w:highlight w:val="black"/>
        </w:rPr>
        <w:t>07814 752 784</w:t>
      </w:r>
    </w:p>
    <w:p w14:paraId="6D489471" w14:textId="77777777" w:rsidR="009C3C86" w:rsidRDefault="009C3C86" w:rsidP="009C3C86">
      <w:pPr>
        <w:rPr>
          <w:rFonts w:ascii="Arial" w:eastAsia="Arial" w:hAnsi="Arial" w:cs="Arial"/>
          <w:b/>
          <w:u w:val="single"/>
        </w:rPr>
      </w:pPr>
    </w:p>
    <w:p w14:paraId="1473B175" w14:textId="77777777" w:rsidR="009C3C86" w:rsidRDefault="009C3C86" w:rsidP="009C3C86">
      <w:pPr>
        <w:tabs>
          <w:tab w:val="left" w:pos="1230"/>
        </w:tabs>
        <w:rPr>
          <w:rFonts w:ascii="Arial" w:eastAsia="Arial" w:hAnsi="Arial" w:cs="Arial"/>
          <w:b/>
        </w:rPr>
      </w:pPr>
      <w:r>
        <w:rPr>
          <w:rFonts w:ascii="Arial" w:eastAsia="Arial" w:hAnsi="Arial" w:cs="Arial"/>
          <w:b/>
          <w:bCs/>
          <w:color w:val="282828"/>
          <w:u w:val="single"/>
        </w:rPr>
        <w:t>What if I have further questions, or if something goes wrong?</w:t>
      </w:r>
    </w:p>
    <w:p w14:paraId="356B9977" w14:textId="77777777" w:rsidR="009C3C86" w:rsidRDefault="009C3C86" w:rsidP="009C3C86">
      <w:pPr>
        <w:shd w:val="clear" w:color="auto" w:fill="FFFFFF"/>
        <w:rPr>
          <w:rFonts w:ascii="Arial" w:eastAsia="Calibri" w:hAnsi="Arial" w:cs="Arial"/>
          <w:color w:val="282828"/>
        </w:rPr>
      </w:pPr>
      <w:r>
        <w:rPr>
          <w:rFonts w:ascii="Arial" w:eastAsia="Arial" w:hAnsi="Arial" w:cs="Arial"/>
          <w:color w:val="282828"/>
        </w:rPr>
        <w:t> </w:t>
      </w:r>
      <w:r>
        <w:rPr>
          <w:rFonts w:ascii="Arial" w:eastAsia="Arial" w:hAnsi="Arial" w:cs="Arial"/>
          <w:b/>
          <w:bCs/>
          <w:color w:val="282828"/>
        </w:rPr>
        <w:t> </w:t>
      </w:r>
    </w:p>
    <w:p w14:paraId="7BEB3A67" w14:textId="77777777" w:rsidR="009C3C86" w:rsidRDefault="009C3C86" w:rsidP="009C3C86">
      <w:pPr>
        <w:shd w:val="clear" w:color="auto" w:fill="FFFFFF"/>
        <w:rPr>
          <w:rFonts w:ascii="Arial" w:eastAsia="Arial" w:hAnsi="Arial" w:cs="Arial"/>
          <w:color w:val="282828"/>
        </w:rPr>
      </w:pPr>
      <w:r>
        <w:rPr>
          <w:rFonts w:ascii="Arial" w:eastAsia="Arial" w:hAnsi="Arial" w:cs="Arial"/>
          <w:color w:val="282828"/>
        </w:rPr>
        <w:lastRenderedPageBreak/>
        <w:t xml:space="preserve">If this study has harmed you in any way or if you wish to make a complaint about the conduct of the study you can contact the study supervisor or the Chair of the Staffordshire University Ethics Committee for further advice and information. </w:t>
      </w:r>
    </w:p>
    <w:p w14:paraId="0A2C68E6" w14:textId="77777777" w:rsidR="009C3C86" w:rsidRDefault="009C3C86" w:rsidP="009C3C86">
      <w:pPr>
        <w:shd w:val="clear" w:color="auto" w:fill="FFFFFF"/>
        <w:rPr>
          <w:rFonts w:ascii="Arial" w:eastAsia="Arial" w:hAnsi="Arial" w:cs="Arial"/>
          <w:color w:val="282828"/>
        </w:rPr>
      </w:pPr>
    </w:p>
    <w:p w14:paraId="64C0ED2F" w14:textId="77777777" w:rsidR="009C3C86" w:rsidRPr="00476035" w:rsidRDefault="00000000" w:rsidP="009C3C86">
      <w:pPr>
        <w:shd w:val="clear" w:color="auto" w:fill="FFFFFF"/>
        <w:rPr>
          <w:rFonts w:ascii="Arial" w:eastAsia="Calibri" w:hAnsi="Arial" w:cs="Arial"/>
          <w:highlight w:val="black"/>
        </w:rPr>
      </w:pPr>
      <w:hyperlink r:id="rId168" w:history="1">
        <w:r w:rsidR="009C3C86" w:rsidRPr="00476035">
          <w:rPr>
            <w:rStyle w:val="Hyperlink"/>
            <w:rFonts w:ascii="Arial" w:hAnsi="Arial" w:cs="Arial"/>
            <w:color w:val="auto"/>
            <w:highlight w:val="black"/>
          </w:rPr>
          <w:t>yvonne.melia@staffs.ac.uk</w:t>
        </w:r>
      </w:hyperlink>
    </w:p>
    <w:p w14:paraId="585815AA" w14:textId="77777777" w:rsidR="009C3C86" w:rsidRPr="00476035" w:rsidRDefault="009C3C86" w:rsidP="009C3C86">
      <w:pPr>
        <w:shd w:val="clear" w:color="auto" w:fill="FFFFFF"/>
        <w:rPr>
          <w:rFonts w:ascii="Arial" w:hAnsi="Arial" w:cs="Arial"/>
        </w:rPr>
      </w:pPr>
      <w:r w:rsidRPr="00476035">
        <w:rPr>
          <w:rFonts w:ascii="Arial" w:hAnsi="Arial" w:cs="Arial"/>
          <w:highlight w:val="black"/>
        </w:rPr>
        <w:t>Dr. Yvonne Melia</w:t>
      </w:r>
    </w:p>
    <w:p w14:paraId="464402AF" w14:textId="77777777" w:rsidR="009C3C86" w:rsidRDefault="009C3C86" w:rsidP="009C3C86">
      <w:pPr>
        <w:shd w:val="clear" w:color="auto" w:fill="FFFFFF"/>
        <w:rPr>
          <w:rFonts w:ascii="Arial" w:hAnsi="Arial" w:cs="Arial"/>
          <w:color w:val="282828"/>
        </w:rPr>
      </w:pPr>
      <w:r>
        <w:rPr>
          <w:rFonts w:ascii="Arial" w:hAnsi="Arial" w:cs="Arial"/>
          <w:color w:val="282828"/>
        </w:rPr>
        <w:t>Principal Lecturer in Clinical Psychology – Academic Director, DClinPsy</w:t>
      </w:r>
    </w:p>
    <w:p w14:paraId="3A27CAF1" w14:textId="77777777" w:rsidR="009C3C86" w:rsidRDefault="009C3C86" w:rsidP="009C3C86">
      <w:pPr>
        <w:shd w:val="clear" w:color="auto" w:fill="FFFFFF"/>
        <w:rPr>
          <w:rFonts w:ascii="Arial" w:hAnsi="Arial" w:cs="Arial"/>
          <w:color w:val="282828"/>
        </w:rPr>
      </w:pPr>
      <w:r>
        <w:rPr>
          <w:rFonts w:ascii="Arial" w:hAnsi="Arial" w:cs="Arial"/>
          <w:color w:val="282828"/>
        </w:rPr>
        <w:t>Staffordshire University</w:t>
      </w:r>
    </w:p>
    <w:p w14:paraId="23A15173" w14:textId="77777777" w:rsidR="009C3C86" w:rsidRDefault="009C3C86" w:rsidP="009C3C86">
      <w:pPr>
        <w:shd w:val="clear" w:color="auto" w:fill="FFFFFF"/>
        <w:rPr>
          <w:rFonts w:ascii="Arial" w:hAnsi="Arial" w:cs="Arial"/>
          <w:color w:val="282828"/>
        </w:rPr>
      </w:pPr>
      <w:r w:rsidRPr="00476035">
        <w:rPr>
          <w:rFonts w:ascii="Arial" w:hAnsi="Arial" w:cs="Arial"/>
          <w:color w:val="282828"/>
          <w:highlight w:val="black"/>
        </w:rPr>
        <w:t>R207 Science Centre</w:t>
      </w:r>
    </w:p>
    <w:p w14:paraId="7EBE70B4" w14:textId="77777777" w:rsidR="009C3C86" w:rsidRDefault="009C3C86" w:rsidP="009C3C86">
      <w:pPr>
        <w:shd w:val="clear" w:color="auto" w:fill="FFFFFF"/>
        <w:rPr>
          <w:rFonts w:ascii="Arial" w:hAnsi="Arial" w:cs="Arial"/>
          <w:color w:val="282828"/>
        </w:rPr>
      </w:pPr>
    </w:p>
    <w:p w14:paraId="6AF6B7FA" w14:textId="77777777" w:rsidR="009C3C86" w:rsidRPr="00476035" w:rsidRDefault="00000000" w:rsidP="009C3C86">
      <w:pPr>
        <w:shd w:val="clear" w:color="auto" w:fill="FFFFFF"/>
        <w:rPr>
          <w:rFonts w:ascii="Arial" w:hAnsi="Arial" w:cs="Arial"/>
        </w:rPr>
      </w:pPr>
      <w:hyperlink r:id="rId169" w:history="1">
        <w:r w:rsidR="009C3C86" w:rsidRPr="00476035">
          <w:rPr>
            <w:rStyle w:val="Hyperlink"/>
            <w:rFonts w:ascii="Arial" w:hAnsi="Arial" w:cs="Arial"/>
            <w:color w:val="auto"/>
            <w:highlight w:val="black"/>
          </w:rPr>
          <w:t>Tim.Horne@staffs.ac.uk</w:t>
        </w:r>
      </w:hyperlink>
    </w:p>
    <w:p w14:paraId="15FCE523" w14:textId="77777777" w:rsidR="009C3C86" w:rsidRPr="00476035" w:rsidRDefault="009C3C86" w:rsidP="009C3C86">
      <w:pPr>
        <w:shd w:val="clear" w:color="auto" w:fill="FFFFFF"/>
        <w:rPr>
          <w:rFonts w:ascii="Arial" w:hAnsi="Arial" w:cs="Arial"/>
        </w:rPr>
      </w:pPr>
      <w:r w:rsidRPr="00476035">
        <w:rPr>
          <w:rFonts w:ascii="Arial" w:hAnsi="Arial" w:cs="Arial"/>
          <w:highlight w:val="black"/>
        </w:rPr>
        <w:t>Tim Horne</w:t>
      </w:r>
      <w:r w:rsidRPr="00476035">
        <w:rPr>
          <w:rFonts w:ascii="Arial" w:hAnsi="Arial" w:cs="Arial"/>
        </w:rPr>
        <w:t xml:space="preserve"> </w:t>
      </w:r>
    </w:p>
    <w:p w14:paraId="21EF382C" w14:textId="77777777" w:rsidR="009C3C86" w:rsidRDefault="009C3C86" w:rsidP="009C3C86">
      <w:pPr>
        <w:shd w:val="clear" w:color="auto" w:fill="FFFFFF"/>
        <w:rPr>
          <w:rFonts w:ascii="Arial" w:hAnsi="Arial" w:cs="Arial"/>
          <w:color w:val="282828"/>
        </w:rPr>
      </w:pPr>
      <w:r>
        <w:rPr>
          <w:rFonts w:ascii="Arial" w:hAnsi="Arial" w:cs="Arial"/>
          <w:color w:val="282828"/>
        </w:rPr>
        <w:t xml:space="preserve">Director of Research, </w:t>
      </w:r>
    </w:p>
    <w:p w14:paraId="714ABC42" w14:textId="77777777" w:rsidR="009C3C86" w:rsidRDefault="009C3C86" w:rsidP="009C3C86">
      <w:pPr>
        <w:shd w:val="clear" w:color="auto" w:fill="FFFFFF"/>
        <w:rPr>
          <w:rFonts w:ascii="Arial" w:hAnsi="Arial" w:cs="Arial"/>
          <w:color w:val="282828"/>
        </w:rPr>
      </w:pPr>
      <w:r>
        <w:rPr>
          <w:rFonts w:ascii="Arial" w:hAnsi="Arial" w:cs="Arial"/>
          <w:color w:val="282828"/>
        </w:rPr>
        <w:t>Staffordshire University</w:t>
      </w:r>
    </w:p>
    <w:p w14:paraId="5B252CBB" w14:textId="77777777" w:rsidR="009C3C86" w:rsidRDefault="009C3C86" w:rsidP="009C3C86">
      <w:pPr>
        <w:shd w:val="clear" w:color="auto" w:fill="FFFFFF"/>
        <w:rPr>
          <w:rFonts w:ascii="Arial" w:hAnsi="Arial" w:cs="Arial"/>
          <w:color w:val="282828"/>
        </w:rPr>
      </w:pPr>
    </w:p>
    <w:p w14:paraId="3C31EC68" w14:textId="77777777" w:rsidR="009C3C86" w:rsidRDefault="009C3C86" w:rsidP="009C3C86">
      <w:pPr>
        <w:spacing w:after="200" w:line="276" w:lineRule="auto"/>
        <w:rPr>
          <w:rFonts w:ascii="Arial" w:eastAsia="Arial" w:hAnsi="Arial" w:cs="Arial"/>
          <w:b/>
        </w:rPr>
      </w:pPr>
      <w:r>
        <w:rPr>
          <w:rFonts w:ascii="Arial" w:eastAsia="Arial" w:hAnsi="Arial" w:cs="Arial"/>
          <w:b/>
        </w:rPr>
        <w:t>Thank you for reading this information sheet and for considering taking part in this research.</w:t>
      </w:r>
    </w:p>
    <w:p w14:paraId="62472FE4" w14:textId="77777777" w:rsidR="009C3C86" w:rsidRDefault="009C3C86" w:rsidP="009C3C86">
      <w:pPr>
        <w:pStyle w:val="Title"/>
        <w:spacing w:after="120"/>
        <w:ind w:right="-801"/>
        <w:jc w:val="left"/>
        <w:rPr>
          <w:rFonts w:ascii="Arial" w:hAnsi="Arial" w:cs="Arial"/>
          <w:szCs w:val="28"/>
        </w:rPr>
      </w:pPr>
      <w:r>
        <w:rPr>
          <w:rFonts w:ascii="Arial" w:hAnsi="Arial" w:cs="Arial"/>
          <w:szCs w:val="28"/>
        </w:rPr>
        <w:t>If you would like to be involved please click “next” and complete the consent form provided. The survey will begin on the page after this.</w:t>
      </w:r>
    </w:p>
    <w:p w14:paraId="60051D0F" w14:textId="77777777" w:rsidR="009C3C86" w:rsidRDefault="009C3C86" w:rsidP="009C3C86"/>
    <w:p w14:paraId="3F38C37B" w14:textId="77777777" w:rsidR="009C3C86" w:rsidRDefault="009C3C86" w:rsidP="009C3C86">
      <w:pPr>
        <w:jc w:val="center"/>
        <w:rPr>
          <w:rFonts w:ascii="Times New Roman" w:hAnsi="Times New Roman" w:cs="Times New Roman"/>
          <w:b/>
          <w:sz w:val="24"/>
          <w:szCs w:val="24"/>
        </w:rPr>
      </w:pPr>
    </w:p>
    <w:p w14:paraId="7FB02942" w14:textId="77777777" w:rsidR="009C3C86" w:rsidRDefault="009C3C86" w:rsidP="009C3C86"/>
    <w:p w14:paraId="242BD88B" w14:textId="77777777" w:rsidR="009C3C86" w:rsidRDefault="009C3C86" w:rsidP="009C3C86">
      <w:pPr>
        <w:jc w:val="center"/>
        <w:rPr>
          <w:rFonts w:ascii="Times New Roman" w:hAnsi="Times New Roman" w:cs="Times New Roman"/>
          <w:b/>
          <w:sz w:val="24"/>
          <w:szCs w:val="24"/>
        </w:rPr>
      </w:pPr>
    </w:p>
    <w:p w14:paraId="411F00DF" w14:textId="77777777" w:rsidR="009C3C86" w:rsidRDefault="009C3C86" w:rsidP="009C3C86">
      <w:pPr>
        <w:jc w:val="center"/>
        <w:rPr>
          <w:rFonts w:ascii="Times New Roman" w:hAnsi="Times New Roman" w:cs="Times New Roman"/>
          <w:b/>
          <w:sz w:val="24"/>
          <w:szCs w:val="24"/>
        </w:rPr>
      </w:pPr>
    </w:p>
    <w:p w14:paraId="5D714393" w14:textId="77777777" w:rsidR="009C3C86" w:rsidRDefault="009C3C86" w:rsidP="009C3C86">
      <w:pPr>
        <w:jc w:val="center"/>
        <w:rPr>
          <w:rFonts w:ascii="Times New Roman" w:hAnsi="Times New Roman" w:cs="Times New Roman"/>
          <w:b/>
          <w:sz w:val="24"/>
          <w:szCs w:val="24"/>
        </w:rPr>
      </w:pPr>
    </w:p>
    <w:p w14:paraId="5D3A5310" w14:textId="77777777" w:rsidR="009C3C86" w:rsidRDefault="009C3C86" w:rsidP="009C3C86">
      <w:pPr>
        <w:jc w:val="center"/>
        <w:rPr>
          <w:rFonts w:ascii="Times New Roman" w:hAnsi="Times New Roman" w:cs="Times New Roman"/>
          <w:b/>
          <w:sz w:val="24"/>
          <w:szCs w:val="24"/>
        </w:rPr>
      </w:pPr>
    </w:p>
    <w:p w14:paraId="219185E6" w14:textId="77777777" w:rsidR="009C3C86" w:rsidRDefault="009C3C86" w:rsidP="009C3C86">
      <w:pPr>
        <w:jc w:val="center"/>
        <w:rPr>
          <w:rFonts w:ascii="Times New Roman" w:hAnsi="Times New Roman" w:cs="Times New Roman"/>
          <w:b/>
          <w:sz w:val="24"/>
          <w:szCs w:val="24"/>
        </w:rPr>
      </w:pPr>
    </w:p>
    <w:p w14:paraId="66CA9069" w14:textId="77777777" w:rsidR="009C3C86" w:rsidRDefault="009C3C86" w:rsidP="009C3C86">
      <w:pPr>
        <w:jc w:val="center"/>
        <w:rPr>
          <w:rFonts w:ascii="Times New Roman" w:hAnsi="Times New Roman" w:cs="Times New Roman"/>
          <w:b/>
          <w:sz w:val="24"/>
          <w:szCs w:val="24"/>
        </w:rPr>
      </w:pPr>
    </w:p>
    <w:p w14:paraId="0412ED68" w14:textId="77777777" w:rsidR="009C3C86" w:rsidRDefault="009C3C86" w:rsidP="009C3C86">
      <w:pPr>
        <w:jc w:val="center"/>
        <w:rPr>
          <w:rFonts w:ascii="Times New Roman" w:hAnsi="Times New Roman" w:cs="Times New Roman"/>
          <w:b/>
          <w:sz w:val="24"/>
          <w:szCs w:val="24"/>
        </w:rPr>
      </w:pPr>
    </w:p>
    <w:p w14:paraId="652A596A" w14:textId="77777777" w:rsidR="009C3C86" w:rsidRDefault="009C3C86" w:rsidP="009C3C86">
      <w:pPr>
        <w:jc w:val="center"/>
        <w:rPr>
          <w:rFonts w:ascii="Times New Roman" w:hAnsi="Times New Roman" w:cs="Times New Roman"/>
          <w:b/>
          <w:sz w:val="24"/>
          <w:szCs w:val="24"/>
        </w:rPr>
      </w:pPr>
    </w:p>
    <w:p w14:paraId="24B51EE9" w14:textId="31188E51" w:rsidR="00A53770" w:rsidRDefault="00A53770">
      <w:pPr>
        <w:rPr>
          <w:rFonts w:ascii="Times New Roman" w:hAnsi="Times New Roman" w:cs="Times New Roman"/>
          <w:b/>
          <w:sz w:val="24"/>
          <w:szCs w:val="24"/>
        </w:rPr>
      </w:pPr>
      <w:r>
        <w:rPr>
          <w:rFonts w:ascii="Times New Roman" w:hAnsi="Times New Roman" w:cs="Times New Roman"/>
          <w:b/>
          <w:sz w:val="24"/>
          <w:szCs w:val="24"/>
        </w:rPr>
        <w:br w:type="page"/>
      </w:r>
    </w:p>
    <w:p w14:paraId="536F9D98" w14:textId="0547BD91" w:rsidR="009C3C86" w:rsidRPr="00323D18" w:rsidRDefault="009C3C86" w:rsidP="00027769">
      <w:pPr>
        <w:pStyle w:val="Heading1"/>
      </w:pPr>
      <w:bookmarkStart w:id="184" w:name="_Toc133487850"/>
      <w:r>
        <w:rPr>
          <w:noProof/>
          <w:lang w:eastAsia="en-GB"/>
        </w:rPr>
        <w:lastRenderedPageBreak/>
        <w:drawing>
          <wp:anchor distT="0" distB="0" distL="114300" distR="114300" simplePos="0" relativeHeight="251692032" behindDoc="0" locked="0" layoutInCell="1" allowOverlap="1" wp14:anchorId="21321BC4" wp14:editId="693390A6">
            <wp:simplePos x="0" y="0"/>
            <wp:positionH relativeFrom="page">
              <wp:posOffset>84407</wp:posOffset>
            </wp:positionH>
            <wp:positionV relativeFrom="margin">
              <wp:posOffset>-796290</wp:posOffset>
            </wp:positionV>
            <wp:extent cx="1130935" cy="103505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130935" cy="1035050"/>
                    </a:xfrm>
                    <a:prstGeom prst="rect">
                      <a:avLst/>
                    </a:prstGeom>
                    <a:noFill/>
                  </pic:spPr>
                </pic:pic>
              </a:graphicData>
            </a:graphic>
            <wp14:sizeRelH relativeFrom="page">
              <wp14:pctWidth>0</wp14:pctWidth>
            </wp14:sizeRelH>
            <wp14:sizeRelV relativeFrom="page">
              <wp14:pctHeight>0</wp14:pctHeight>
            </wp14:sizeRelV>
          </wp:anchor>
        </w:drawing>
      </w:r>
      <w:r w:rsidRPr="00323D18">
        <w:t>Appendix F</w:t>
      </w:r>
      <w:bookmarkEnd w:id="184"/>
    </w:p>
    <w:p w14:paraId="7BFDBEF6" w14:textId="573C7A37" w:rsidR="009C3C86" w:rsidRPr="00A53770" w:rsidRDefault="00FA1AA6" w:rsidP="00FA1AA6">
      <w:pPr>
        <w:ind w:left="3600"/>
        <w:rPr>
          <w:rFonts w:ascii="Arial" w:hAnsi="Arial" w:cs="Arial"/>
          <w:b/>
        </w:rPr>
      </w:pPr>
      <w:bookmarkStart w:id="185" w:name="_Toc133144215"/>
      <w:r>
        <w:rPr>
          <w:b/>
        </w:rPr>
        <w:t xml:space="preserve">             </w:t>
      </w:r>
      <w:r w:rsidR="009C3C86" w:rsidRPr="00A53770">
        <w:rPr>
          <w:b/>
        </w:rPr>
        <w:t>Consent Form</w:t>
      </w:r>
      <w:bookmarkEnd w:id="185"/>
    </w:p>
    <w:p w14:paraId="5093CF0A" w14:textId="77777777" w:rsidR="009C3C86" w:rsidRDefault="009C3C86" w:rsidP="009C3C86">
      <w:pPr>
        <w:spacing w:before="240"/>
        <w:ind w:left="-567" w:right="-613"/>
        <w:jc w:val="center"/>
        <w:rPr>
          <w:rFonts w:ascii="Arial" w:hAnsi="Arial" w:cs="Arial"/>
          <w:b/>
          <w:sz w:val="28"/>
          <w:szCs w:val="28"/>
        </w:rPr>
      </w:pPr>
    </w:p>
    <w:p w14:paraId="517A8D38" w14:textId="77777777" w:rsidR="009C3C86" w:rsidRDefault="009C3C86" w:rsidP="009C3C86">
      <w:pPr>
        <w:spacing w:before="240"/>
        <w:ind w:left="-567" w:right="-613"/>
        <w:jc w:val="center"/>
        <w:rPr>
          <w:rFonts w:ascii="Arial" w:hAnsi="Arial" w:cs="Arial"/>
          <w:b/>
          <w:sz w:val="28"/>
          <w:szCs w:val="28"/>
        </w:rPr>
      </w:pPr>
      <w:r>
        <w:rPr>
          <w:rFonts w:ascii="Arial" w:hAnsi="Arial" w:cs="Arial"/>
          <w:b/>
          <w:sz w:val="28"/>
          <w:szCs w:val="28"/>
        </w:rPr>
        <w:t>Intolerance of Uncertainty and Anxiety Sensitivity in Seizure Conditions</w:t>
      </w:r>
    </w:p>
    <w:p w14:paraId="65888E55" w14:textId="77777777" w:rsidR="009C3C86" w:rsidRDefault="009C3C86" w:rsidP="009C3C86">
      <w:pPr>
        <w:spacing w:before="240"/>
        <w:ind w:left="-567" w:right="-613"/>
        <w:jc w:val="center"/>
        <w:rPr>
          <w:rFonts w:ascii="Arial" w:hAnsi="Arial" w:cs="Arial"/>
          <w:b/>
          <w:sz w:val="28"/>
          <w:szCs w:val="28"/>
        </w:rPr>
      </w:pPr>
      <w:r>
        <w:rPr>
          <w:rFonts w:ascii="Arial" w:hAnsi="Arial" w:cs="Arial"/>
          <w:b/>
          <w:sz w:val="28"/>
          <w:szCs w:val="28"/>
        </w:rPr>
        <w:t>Consent Form</w:t>
      </w:r>
    </w:p>
    <w:p w14:paraId="42C94FC9" w14:textId="77777777" w:rsidR="009C3C86" w:rsidRDefault="009C3C86" w:rsidP="009C3C86">
      <w:pPr>
        <w:ind w:firstLine="720"/>
        <w:jc w:val="both"/>
        <w:rPr>
          <w:rFonts w:ascii="Arial" w:hAnsi="Arial" w:cs="Arial"/>
        </w:rPr>
      </w:pPr>
      <w:r>
        <w:rPr>
          <w:rFonts w:ascii="Arial" w:hAnsi="Arial" w:cs="Arial"/>
          <w:b/>
        </w:rPr>
        <w:t>(Consent Form, Version 2.0, 02/12/2022, IRAS ID.</w:t>
      </w:r>
      <w:r w:rsidRPr="007E6400">
        <w:t xml:space="preserve"> </w:t>
      </w:r>
      <w:r w:rsidRPr="007E6400">
        <w:rPr>
          <w:rFonts w:ascii="Arial" w:hAnsi="Arial" w:cs="Arial"/>
          <w:b/>
        </w:rPr>
        <w:t>316771</w:t>
      </w:r>
      <w:r>
        <w:rPr>
          <w:rFonts w:ascii="Arial" w:hAnsi="Arial" w:cs="Arial"/>
          <w:b/>
        </w:rPr>
        <w:t>)</w:t>
      </w:r>
    </w:p>
    <w:p w14:paraId="4006A3FE" w14:textId="77777777" w:rsidR="009C3C86" w:rsidRDefault="009C3C86" w:rsidP="009C3C86">
      <w:pPr>
        <w:jc w:val="both"/>
        <w:rPr>
          <w:rFonts w:ascii="Arial" w:hAnsi="Arial" w:cs="Arial"/>
        </w:rPr>
      </w:pPr>
    </w:p>
    <w:p w14:paraId="59CE162C" w14:textId="77777777" w:rsidR="009C3C86" w:rsidRDefault="009C3C86" w:rsidP="009C3C86">
      <w:pPr>
        <w:jc w:val="both"/>
        <w:rPr>
          <w:rFonts w:ascii="Arial" w:hAnsi="Arial" w:cs="Arial"/>
        </w:rPr>
      </w:pPr>
    </w:p>
    <w:p w14:paraId="52357A16" w14:textId="77777777" w:rsidR="009C3C86" w:rsidRDefault="009C3C86" w:rsidP="009C3C86">
      <w:pPr>
        <w:jc w:val="both"/>
        <w:rPr>
          <w:rFonts w:ascii="Arial" w:hAnsi="Arial" w:cs="Arial"/>
        </w:rPr>
      </w:pPr>
    </w:p>
    <w:p w14:paraId="6899919B" w14:textId="77777777" w:rsidR="009C3C86" w:rsidRDefault="009C3C86" w:rsidP="009C3C86">
      <w:pPr>
        <w:jc w:val="both"/>
        <w:rPr>
          <w:rFonts w:ascii="Arial" w:hAnsi="Arial" w:cs="Arial"/>
        </w:rPr>
      </w:pPr>
    </w:p>
    <w:p w14:paraId="6673CB90" w14:textId="77777777" w:rsidR="009C3C86" w:rsidRDefault="009C3C86" w:rsidP="009C3C86">
      <w:pPr>
        <w:numPr>
          <w:ilvl w:val="0"/>
          <w:numId w:val="9"/>
        </w:numPr>
        <w:tabs>
          <w:tab w:val="left" w:pos="540"/>
        </w:tabs>
        <w:spacing w:after="0" w:line="360" w:lineRule="auto"/>
        <w:ind w:left="540"/>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I confirm that I have read the information sheet dated.................... (version...........) for the</w:t>
      </w:r>
      <w:r>
        <w:rPr>
          <w:rFonts w:ascii="Arial" w:eastAsia="Times New Roman" w:hAnsi="Arial" w:cs="Arial"/>
          <w:color w:val="000000"/>
          <w:sz w:val="20"/>
          <w:szCs w:val="20"/>
          <w:lang w:eastAsia="en-GB"/>
        </w:rPr>
        <w:br/>
        <w:t>above study. I have had the opportunity to consider the information, ask questions and have</w:t>
      </w:r>
      <w:r>
        <w:rPr>
          <w:rFonts w:ascii="Arial" w:eastAsia="Times New Roman" w:hAnsi="Arial" w:cs="Arial"/>
          <w:color w:val="000000"/>
          <w:sz w:val="20"/>
          <w:szCs w:val="20"/>
          <w:lang w:eastAsia="en-GB"/>
        </w:rPr>
        <w:br/>
        <w:t>had these answered satisfactorily.</w:t>
      </w:r>
      <w:r>
        <w:rPr>
          <w:rFonts w:ascii="Arial" w:hAnsi="Arial" w:cs="Arial"/>
          <w:noProof/>
          <w:color w:val="000000"/>
          <w:sz w:val="20"/>
          <w:szCs w:val="20"/>
          <w:lang w:eastAsia="en-GB"/>
        </w:rPr>
        <w:t xml:space="preserve"> </w:t>
      </w:r>
    </w:p>
    <w:p w14:paraId="03552E81" w14:textId="77777777" w:rsidR="009C3C86" w:rsidRDefault="009C3C86" w:rsidP="009C3C86">
      <w:pPr>
        <w:spacing w:before="60"/>
        <w:rPr>
          <w:rFonts w:ascii="Arial" w:hAnsi="Arial" w:cs="Arial"/>
          <w:color w:val="000000"/>
          <w:sz w:val="16"/>
          <w:szCs w:val="16"/>
        </w:rPr>
      </w:pPr>
    </w:p>
    <w:p w14:paraId="75E5C082" w14:textId="77777777" w:rsidR="009C3C86" w:rsidRDefault="009C3C86" w:rsidP="009C3C86">
      <w:pPr>
        <w:numPr>
          <w:ilvl w:val="0"/>
          <w:numId w:val="9"/>
        </w:numPr>
        <w:tabs>
          <w:tab w:val="left" w:pos="540"/>
        </w:tabs>
        <w:spacing w:after="0" w:line="360" w:lineRule="auto"/>
        <w:ind w:left="540"/>
        <w:rPr>
          <w:rFonts w:ascii="Arial" w:hAnsi="Arial" w:cs="Arial"/>
          <w:color w:val="000000"/>
          <w:sz w:val="20"/>
          <w:szCs w:val="20"/>
        </w:rPr>
      </w:pPr>
      <w:r>
        <w:rPr>
          <w:rFonts w:ascii="Arial" w:eastAsia="Times New Roman" w:hAnsi="Arial" w:cs="Arial"/>
          <w:color w:val="000000"/>
          <w:sz w:val="20"/>
          <w:szCs w:val="20"/>
          <w:lang w:eastAsia="en-GB"/>
        </w:rPr>
        <w:t>I understand that my participation is voluntary and that I am free to withdraw up</w:t>
      </w:r>
    </w:p>
    <w:p w14:paraId="0A173D88" w14:textId="77777777" w:rsidR="009C3C86" w:rsidRPr="00323D18" w:rsidRDefault="009C3C86" w:rsidP="009C3C86">
      <w:pPr>
        <w:tabs>
          <w:tab w:val="left" w:pos="540"/>
        </w:tabs>
        <w:spacing w:line="36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until two weeks after completing the questionnaires without giving any reason, without my medical  care or legal rights being affected.</w:t>
      </w:r>
    </w:p>
    <w:p w14:paraId="38A05004" w14:textId="77777777" w:rsidR="009C3C86" w:rsidRDefault="009C3C86" w:rsidP="009C3C86">
      <w:pPr>
        <w:spacing w:before="60"/>
        <w:rPr>
          <w:rFonts w:ascii="Arial" w:eastAsia="Times New Roman" w:hAnsi="Arial" w:cs="Arial"/>
          <w:color w:val="000000"/>
          <w:sz w:val="20"/>
          <w:szCs w:val="20"/>
          <w:lang w:eastAsia="en-GB"/>
        </w:rPr>
      </w:pPr>
    </w:p>
    <w:p w14:paraId="792A7979" w14:textId="77777777" w:rsidR="009C3C86" w:rsidRPr="00323D18" w:rsidRDefault="009C3C86" w:rsidP="009C3C86">
      <w:pPr>
        <w:numPr>
          <w:ilvl w:val="0"/>
          <w:numId w:val="9"/>
        </w:numPr>
        <w:tabs>
          <w:tab w:val="left" w:pos="540"/>
        </w:tabs>
        <w:spacing w:after="0" w:line="360" w:lineRule="auto"/>
        <w:ind w:left="547"/>
        <w:rPr>
          <w:rFonts w:ascii="Arial" w:hAnsi="Arial" w:cs="Arial"/>
          <w:color w:val="000000"/>
          <w:sz w:val="20"/>
          <w:szCs w:val="20"/>
        </w:rPr>
      </w:pPr>
      <w:r>
        <w:rPr>
          <w:rFonts w:ascii="Arial" w:eastAsia="Times New Roman" w:hAnsi="Arial" w:cs="Arial"/>
          <w:color w:val="000000"/>
          <w:sz w:val="20"/>
          <w:szCs w:val="20"/>
          <w:lang w:eastAsia="en-GB"/>
        </w:rPr>
        <w:t xml:space="preserve">I understand that my answers will be anonymously grouped with those of other participants. The data </w:t>
      </w:r>
      <w:r w:rsidRPr="00323D18">
        <w:rPr>
          <w:rFonts w:ascii="Arial" w:hAnsi="Arial" w:cs="Arial"/>
          <w:color w:val="000000"/>
          <w:sz w:val="20"/>
          <w:szCs w:val="20"/>
        </w:rPr>
        <w:t>will be shared with research supervisors and potentially other parties (e.g. external examiners, university audit).</w:t>
      </w:r>
    </w:p>
    <w:p w14:paraId="6D8316DB" w14:textId="77777777" w:rsidR="009C3C86" w:rsidRDefault="009C3C86" w:rsidP="009C3C86">
      <w:pPr>
        <w:tabs>
          <w:tab w:val="left" w:pos="540"/>
        </w:tabs>
        <w:spacing w:line="360" w:lineRule="auto"/>
        <w:ind w:left="547"/>
        <w:rPr>
          <w:rFonts w:ascii="Arial" w:hAnsi="Arial" w:cs="Arial"/>
          <w:color w:val="000000"/>
          <w:sz w:val="20"/>
          <w:szCs w:val="20"/>
        </w:rPr>
      </w:pPr>
      <w:r>
        <w:rPr>
          <w:rFonts w:ascii="Arial" w:hAnsi="Arial" w:cs="Arial"/>
          <w:color w:val="000000"/>
          <w:sz w:val="20"/>
          <w:szCs w:val="20"/>
        </w:rPr>
        <w:t>.</w:t>
      </w:r>
    </w:p>
    <w:p w14:paraId="5910D228" w14:textId="77777777" w:rsidR="009C3C86" w:rsidRDefault="009C3C86" w:rsidP="009C3C86">
      <w:pPr>
        <w:tabs>
          <w:tab w:val="left" w:pos="540"/>
        </w:tabs>
        <w:spacing w:line="360" w:lineRule="auto"/>
        <w:ind w:left="547"/>
        <w:rPr>
          <w:rFonts w:ascii="Arial" w:hAnsi="Arial" w:cs="Arial"/>
          <w:color w:val="000000"/>
          <w:sz w:val="20"/>
          <w:szCs w:val="20"/>
        </w:rPr>
      </w:pPr>
      <w:r>
        <w:rPr>
          <w:noProof/>
          <w:lang w:eastAsia="en-GB"/>
        </w:rPr>
        <mc:AlternateContent>
          <mc:Choice Requires="wps">
            <w:drawing>
              <wp:anchor distT="0" distB="0" distL="114300" distR="114300" simplePos="0" relativeHeight="251691008" behindDoc="0" locked="0" layoutInCell="1" allowOverlap="1" wp14:anchorId="70B70473" wp14:editId="7A411621">
                <wp:simplePos x="0" y="0"/>
                <wp:positionH relativeFrom="column">
                  <wp:posOffset>5934710</wp:posOffset>
                </wp:positionH>
                <wp:positionV relativeFrom="paragraph">
                  <wp:posOffset>3175</wp:posOffset>
                </wp:positionV>
                <wp:extent cx="342900" cy="34290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94500" id="Rectangle 15" o:spid="_x0000_s1026" style="position:absolute;margin-left:467.3pt;margin-top:.25pt;width:27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" strokeweight="1.5pt"/>
            </w:pict>
          </mc:Fallback>
        </mc:AlternateContent>
      </w:r>
      <w:r>
        <w:rPr>
          <w:rFonts w:ascii="Arial" w:hAnsi="Arial" w:cs="Arial"/>
          <w:color w:val="000000"/>
          <w:sz w:val="20"/>
          <w:szCs w:val="20"/>
        </w:rPr>
        <w:t>I agree to the above and to take part in the above study.</w:t>
      </w:r>
    </w:p>
    <w:p w14:paraId="755B3972" w14:textId="77777777" w:rsidR="009C3C86" w:rsidRDefault="009C3C86" w:rsidP="009C3C86">
      <w:pPr>
        <w:tabs>
          <w:tab w:val="left" w:pos="540"/>
        </w:tabs>
        <w:spacing w:line="360" w:lineRule="auto"/>
        <w:ind w:left="547"/>
        <w:rPr>
          <w:rFonts w:ascii="Arial" w:hAnsi="Arial" w:cs="Arial"/>
          <w:color w:val="000000"/>
          <w:sz w:val="20"/>
          <w:szCs w:val="20"/>
        </w:rPr>
      </w:pPr>
    </w:p>
    <w:p w14:paraId="47B7C05A" w14:textId="77777777" w:rsidR="009C3C86" w:rsidRDefault="009C3C86" w:rsidP="009C3C86">
      <w:pPr>
        <w:spacing w:before="120"/>
        <w:rPr>
          <w:rFonts w:ascii="Arial" w:hAnsi="Arial" w:cs="Arial"/>
          <w:color w:val="000000"/>
          <w:sz w:val="20"/>
          <w:szCs w:val="20"/>
        </w:rPr>
      </w:pPr>
    </w:p>
    <w:p w14:paraId="6F5B12EF" w14:textId="77777777" w:rsidR="009C3C86" w:rsidRDefault="009C3C86" w:rsidP="009C3C86">
      <w:pPr>
        <w:jc w:val="both"/>
        <w:rPr>
          <w:rFonts w:ascii="Arial" w:hAnsi="Arial" w:cs="Arial"/>
        </w:rPr>
      </w:pPr>
      <w:r>
        <w:rPr>
          <w:rFonts w:ascii="Arial" w:hAnsi="Arial" w:cs="Arial"/>
        </w:rPr>
        <w:t>Thank you for providing your consent, please now click next to proceed to the questions.</w:t>
      </w:r>
    </w:p>
    <w:p w14:paraId="13F25DA7" w14:textId="77777777" w:rsidR="009C3C86" w:rsidRDefault="009C3C86" w:rsidP="009C3C86">
      <w:pPr>
        <w:jc w:val="center"/>
        <w:rPr>
          <w:rFonts w:ascii="Times New Roman" w:hAnsi="Times New Roman" w:cs="Times New Roman"/>
          <w:b/>
          <w:sz w:val="24"/>
          <w:szCs w:val="24"/>
        </w:rPr>
      </w:pPr>
    </w:p>
    <w:p w14:paraId="53FF88D6" w14:textId="77777777" w:rsidR="009C3C86" w:rsidRDefault="009C3C86" w:rsidP="009C3C86">
      <w:pPr>
        <w:jc w:val="center"/>
        <w:rPr>
          <w:rFonts w:ascii="Times New Roman" w:hAnsi="Times New Roman" w:cs="Times New Roman"/>
          <w:b/>
          <w:sz w:val="24"/>
          <w:szCs w:val="24"/>
        </w:rPr>
      </w:pPr>
    </w:p>
    <w:p w14:paraId="0D316A4A" w14:textId="77777777" w:rsidR="009C3C86" w:rsidRDefault="009C3C86" w:rsidP="009C3C86">
      <w:pPr>
        <w:jc w:val="center"/>
        <w:rPr>
          <w:rFonts w:ascii="Times New Roman" w:hAnsi="Times New Roman" w:cs="Times New Roman"/>
          <w:b/>
          <w:sz w:val="24"/>
          <w:szCs w:val="24"/>
        </w:rPr>
      </w:pPr>
    </w:p>
    <w:p w14:paraId="3BC7459E" w14:textId="77777777" w:rsidR="009C3C86" w:rsidRDefault="009C3C86" w:rsidP="009C3C86">
      <w:pPr>
        <w:jc w:val="center"/>
        <w:rPr>
          <w:rFonts w:ascii="Times New Roman" w:hAnsi="Times New Roman" w:cs="Times New Roman"/>
          <w:b/>
          <w:sz w:val="24"/>
          <w:szCs w:val="24"/>
        </w:rPr>
      </w:pPr>
    </w:p>
    <w:p w14:paraId="6606F03D" w14:textId="77777777" w:rsidR="00A53770" w:rsidRDefault="00A53770">
      <w:pPr>
        <w:rPr>
          <w:rFonts w:eastAsiaTheme="majorEastAsia" w:cstheme="minorHAnsi"/>
          <w:b/>
        </w:rPr>
      </w:pPr>
      <w:r>
        <w:br w:type="page"/>
      </w:r>
    </w:p>
    <w:p w14:paraId="66C682BB" w14:textId="732B7A7D" w:rsidR="009C3C86" w:rsidRDefault="009C3C86" w:rsidP="00027769">
      <w:pPr>
        <w:pStyle w:val="Heading1"/>
      </w:pPr>
      <w:bookmarkStart w:id="186" w:name="_Toc133487851"/>
      <w:r>
        <w:lastRenderedPageBreak/>
        <w:t>Appendix G</w:t>
      </w:r>
      <w:bookmarkEnd w:id="186"/>
    </w:p>
    <w:p w14:paraId="689232F2" w14:textId="43ACE7FB" w:rsidR="009C3C86" w:rsidRPr="00A53770" w:rsidRDefault="00A50693" w:rsidP="00A50693">
      <w:pPr>
        <w:rPr>
          <w:b/>
        </w:rPr>
      </w:pPr>
      <w:bookmarkStart w:id="187" w:name="_Toc133144217"/>
      <w:r>
        <w:rPr>
          <w:b/>
        </w:rPr>
        <w:t xml:space="preserve">                                                </w:t>
      </w:r>
      <w:r w:rsidR="009C3C86" w:rsidRPr="00A53770">
        <w:rPr>
          <w:b/>
        </w:rPr>
        <w:t xml:space="preserve">Demographic </w:t>
      </w:r>
      <w:r>
        <w:rPr>
          <w:b/>
        </w:rPr>
        <w:t xml:space="preserve">and Seizure Condition </w:t>
      </w:r>
      <w:r w:rsidR="009C3C86" w:rsidRPr="00A53770">
        <w:rPr>
          <w:b/>
        </w:rPr>
        <w:t>Questionnaire</w:t>
      </w:r>
      <w:bookmarkEnd w:id="187"/>
    </w:p>
    <w:p w14:paraId="4BB96726" w14:textId="77777777" w:rsidR="009C3C86" w:rsidRDefault="009C3C86" w:rsidP="009C3C86">
      <w:pPr>
        <w:jc w:val="center"/>
        <w:rPr>
          <w:rFonts w:ascii="Times New Roman" w:hAnsi="Times New Roman" w:cs="Times New Roman"/>
          <w:b/>
          <w:sz w:val="24"/>
          <w:szCs w:val="24"/>
        </w:rPr>
      </w:pPr>
    </w:p>
    <w:p w14:paraId="22B6F29A" w14:textId="77777777" w:rsidR="009C3C86" w:rsidRPr="00B00CBB" w:rsidRDefault="009C3C86" w:rsidP="009C3C86">
      <w:pPr>
        <w:rPr>
          <w:rFonts w:ascii="Times New Roman" w:hAnsi="Times New Roman" w:cs="Times New Roman"/>
          <w:sz w:val="24"/>
          <w:szCs w:val="24"/>
        </w:rPr>
      </w:pPr>
    </w:p>
    <w:p w14:paraId="5F85B098" w14:textId="77777777" w:rsidR="009C3C86" w:rsidRPr="00233C60" w:rsidRDefault="009C3C86" w:rsidP="009C3C86">
      <w:pPr>
        <w:pStyle w:val="ListParagraph"/>
        <w:numPr>
          <w:ilvl w:val="0"/>
          <w:numId w:val="11"/>
        </w:numPr>
        <w:rPr>
          <w:rFonts w:cstheme="minorHAnsi"/>
        </w:rPr>
      </w:pPr>
      <w:r w:rsidRPr="00233C60">
        <w:rPr>
          <w:rFonts w:cstheme="minorHAnsi"/>
        </w:rPr>
        <w:t>Where did you find out about this study?</w:t>
      </w:r>
    </w:p>
    <w:p w14:paraId="26D4AF55" w14:textId="77777777" w:rsidR="009C3C86" w:rsidRPr="00233C60" w:rsidRDefault="009C3C86" w:rsidP="009C3C86">
      <w:pPr>
        <w:pStyle w:val="ListParagraph"/>
        <w:numPr>
          <w:ilvl w:val="0"/>
          <w:numId w:val="11"/>
        </w:numPr>
        <w:rPr>
          <w:rFonts w:cstheme="minorHAnsi"/>
        </w:rPr>
      </w:pPr>
      <w:r w:rsidRPr="00233C60">
        <w:rPr>
          <w:rFonts w:cstheme="minorHAnsi"/>
        </w:rPr>
        <w:t>Which seizure condition have you been formally diagnosed with? (If you have a diagnosis of both conditions, please do not continue with this study).</w:t>
      </w:r>
    </w:p>
    <w:p w14:paraId="485709E0" w14:textId="77777777" w:rsidR="009C3C86" w:rsidRPr="00233C60" w:rsidRDefault="009C3C86" w:rsidP="009C3C86">
      <w:pPr>
        <w:pStyle w:val="ListParagraph"/>
        <w:numPr>
          <w:ilvl w:val="0"/>
          <w:numId w:val="11"/>
        </w:numPr>
        <w:rPr>
          <w:rFonts w:cstheme="minorHAnsi"/>
        </w:rPr>
      </w:pPr>
      <w:r w:rsidRPr="00233C60">
        <w:rPr>
          <w:rFonts w:cstheme="minorHAnsi"/>
        </w:rPr>
        <w:t>Did your diagnosis include a video EEG of one of your seizures/episodes?</w:t>
      </w:r>
    </w:p>
    <w:p w14:paraId="4E22A07B" w14:textId="77777777" w:rsidR="009C3C86" w:rsidRPr="00233C60" w:rsidRDefault="009C3C86" w:rsidP="009C3C86">
      <w:pPr>
        <w:pStyle w:val="ListParagraph"/>
        <w:numPr>
          <w:ilvl w:val="0"/>
          <w:numId w:val="11"/>
        </w:numPr>
        <w:rPr>
          <w:rFonts w:cstheme="minorHAnsi"/>
        </w:rPr>
      </w:pPr>
      <w:r w:rsidRPr="00233C60">
        <w:rPr>
          <w:rFonts w:cstheme="minorHAnsi"/>
        </w:rPr>
        <w:t>Have you been diagnosed with any other neurological condition e.g. Parkinson’s, dementia, or Multiple Sclerosis (MS)?</w:t>
      </w:r>
    </w:p>
    <w:p w14:paraId="21735AD0" w14:textId="77777777" w:rsidR="009C3C86" w:rsidRPr="00233C60" w:rsidRDefault="009C3C86" w:rsidP="009C3C86">
      <w:pPr>
        <w:pStyle w:val="ListParagraph"/>
        <w:numPr>
          <w:ilvl w:val="0"/>
          <w:numId w:val="11"/>
        </w:numPr>
        <w:rPr>
          <w:rFonts w:cstheme="minorHAnsi"/>
        </w:rPr>
      </w:pPr>
      <w:r w:rsidRPr="00233C60">
        <w:rPr>
          <w:rFonts w:cstheme="minorHAnsi"/>
        </w:rPr>
        <w:t>What is your age?</w:t>
      </w:r>
    </w:p>
    <w:p w14:paraId="616FA604" w14:textId="77777777" w:rsidR="009C3C86" w:rsidRPr="00233C60" w:rsidRDefault="009C3C86" w:rsidP="009C3C86">
      <w:pPr>
        <w:pStyle w:val="ListParagraph"/>
        <w:numPr>
          <w:ilvl w:val="0"/>
          <w:numId w:val="11"/>
        </w:numPr>
        <w:rPr>
          <w:rFonts w:cstheme="minorHAnsi"/>
        </w:rPr>
      </w:pPr>
      <w:r w:rsidRPr="00233C60">
        <w:rPr>
          <w:rFonts w:cstheme="minorHAnsi"/>
        </w:rPr>
        <w:t>What is your gender?</w:t>
      </w:r>
    </w:p>
    <w:p w14:paraId="1340DA19" w14:textId="77777777" w:rsidR="009C3C86" w:rsidRPr="00233C60" w:rsidRDefault="009C3C86" w:rsidP="009C3C86">
      <w:pPr>
        <w:pStyle w:val="ListParagraph"/>
        <w:numPr>
          <w:ilvl w:val="0"/>
          <w:numId w:val="11"/>
        </w:numPr>
        <w:rPr>
          <w:rFonts w:cstheme="minorHAnsi"/>
        </w:rPr>
      </w:pPr>
      <w:r w:rsidRPr="00233C60">
        <w:rPr>
          <w:rFonts w:cstheme="minorHAnsi"/>
        </w:rPr>
        <w:t>What is your ethnicity?</w:t>
      </w:r>
    </w:p>
    <w:p w14:paraId="39FBA11D" w14:textId="77777777" w:rsidR="009C3C86" w:rsidRPr="00233C60" w:rsidRDefault="009C3C86" w:rsidP="009C3C86">
      <w:pPr>
        <w:pStyle w:val="ListParagraph"/>
        <w:numPr>
          <w:ilvl w:val="0"/>
          <w:numId w:val="11"/>
        </w:numPr>
        <w:rPr>
          <w:rFonts w:cstheme="minorHAnsi"/>
        </w:rPr>
      </w:pPr>
      <w:r w:rsidRPr="00233C60">
        <w:rPr>
          <w:rFonts w:cstheme="minorHAnsi"/>
        </w:rPr>
        <w:t xml:space="preserve">How many years since first developing your seizure condition? </w:t>
      </w:r>
    </w:p>
    <w:p w14:paraId="05609993" w14:textId="77777777" w:rsidR="009C3C86" w:rsidRPr="00233C60" w:rsidRDefault="009C3C86" w:rsidP="009C3C86">
      <w:pPr>
        <w:pStyle w:val="ListParagraph"/>
        <w:numPr>
          <w:ilvl w:val="0"/>
          <w:numId w:val="11"/>
        </w:numPr>
        <w:rPr>
          <w:rFonts w:cstheme="minorHAnsi"/>
        </w:rPr>
      </w:pPr>
      <w:r w:rsidRPr="00233C60">
        <w:rPr>
          <w:rFonts w:cstheme="minorHAnsi"/>
        </w:rPr>
        <w:t>Have you had or are currently receiving past therapy or counselling? (Y/N)</w:t>
      </w:r>
    </w:p>
    <w:p w14:paraId="65F04D2E" w14:textId="77777777" w:rsidR="009C3C86" w:rsidRPr="00233C60" w:rsidRDefault="009C3C86" w:rsidP="009C3C86">
      <w:pPr>
        <w:pStyle w:val="ListParagraph"/>
        <w:numPr>
          <w:ilvl w:val="0"/>
          <w:numId w:val="11"/>
        </w:numPr>
        <w:rPr>
          <w:rFonts w:cstheme="minorHAnsi"/>
        </w:rPr>
      </w:pPr>
      <w:r w:rsidRPr="00233C60">
        <w:rPr>
          <w:rFonts w:cstheme="minorHAnsi"/>
        </w:rPr>
        <w:t>Are you currently taking anti-epileptic medication, or medication to manage mental health? (Y/N)</w:t>
      </w:r>
    </w:p>
    <w:p w14:paraId="4ECDC111" w14:textId="77777777" w:rsidR="009C3C86" w:rsidRPr="00233C60" w:rsidRDefault="009C3C86" w:rsidP="009C3C86">
      <w:pPr>
        <w:pStyle w:val="ListParagraph"/>
        <w:numPr>
          <w:ilvl w:val="0"/>
          <w:numId w:val="11"/>
        </w:numPr>
        <w:rPr>
          <w:rFonts w:cstheme="minorHAnsi"/>
        </w:rPr>
      </w:pPr>
      <w:r w:rsidRPr="00233C60">
        <w:rPr>
          <w:rFonts w:cstheme="minorHAnsi"/>
        </w:rPr>
        <w:t>How many seizures or non-epileptic episodes have your experienced over the over last four weeks?</w:t>
      </w:r>
    </w:p>
    <w:p w14:paraId="46747D78" w14:textId="77777777" w:rsidR="009C3C86" w:rsidRPr="00233C60" w:rsidRDefault="009C3C86" w:rsidP="009C3C86">
      <w:pPr>
        <w:pStyle w:val="ListParagraph"/>
        <w:numPr>
          <w:ilvl w:val="0"/>
          <w:numId w:val="11"/>
        </w:numPr>
        <w:rPr>
          <w:rFonts w:cstheme="minorHAnsi"/>
        </w:rPr>
      </w:pPr>
      <w:r w:rsidRPr="00233C60">
        <w:rPr>
          <w:rFonts w:cstheme="minorHAnsi"/>
        </w:rPr>
        <w:t>When was your most recent seizure or non-epileptic episode (last week, month, three months, six months, last year, over a year)?</w:t>
      </w:r>
    </w:p>
    <w:p w14:paraId="7DFE4BB1" w14:textId="77777777" w:rsidR="009C3C86" w:rsidRPr="00B00CBB" w:rsidRDefault="009C3C86" w:rsidP="009C3C86">
      <w:pPr>
        <w:rPr>
          <w:rFonts w:ascii="Times New Roman" w:hAnsi="Times New Roman" w:cs="Times New Roman"/>
          <w:sz w:val="24"/>
          <w:szCs w:val="24"/>
        </w:rPr>
      </w:pPr>
    </w:p>
    <w:p w14:paraId="1FAAC31C" w14:textId="77777777" w:rsidR="009C3C86" w:rsidRPr="00B00CBB" w:rsidRDefault="009C3C86" w:rsidP="009C3C86">
      <w:pPr>
        <w:rPr>
          <w:rFonts w:ascii="Times New Roman" w:hAnsi="Times New Roman" w:cs="Times New Roman"/>
          <w:sz w:val="24"/>
          <w:szCs w:val="24"/>
        </w:rPr>
      </w:pPr>
    </w:p>
    <w:p w14:paraId="750BBBBF" w14:textId="77777777" w:rsidR="009C3C86" w:rsidRPr="00B00CBB" w:rsidRDefault="009C3C86" w:rsidP="009C3C86">
      <w:pPr>
        <w:rPr>
          <w:rFonts w:ascii="Times New Roman" w:hAnsi="Times New Roman" w:cs="Times New Roman"/>
          <w:sz w:val="24"/>
          <w:szCs w:val="24"/>
        </w:rPr>
      </w:pPr>
    </w:p>
    <w:p w14:paraId="5E2E7F87" w14:textId="77777777" w:rsidR="009C3C86" w:rsidRDefault="009C3C86" w:rsidP="009C3C86"/>
    <w:p w14:paraId="38DF42AC" w14:textId="77777777" w:rsidR="009C3C86" w:rsidRDefault="009C3C86" w:rsidP="009C3C86"/>
    <w:p w14:paraId="680D9826" w14:textId="77777777" w:rsidR="009C3C86" w:rsidRDefault="009C3C86" w:rsidP="009C3C86"/>
    <w:p w14:paraId="6C92D792" w14:textId="77777777" w:rsidR="009C3C86" w:rsidRDefault="009C3C86" w:rsidP="009C3C86"/>
    <w:p w14:paraId="58650036" w14:textId="77777777" w:rsidR="009C3C86" w:rsidRDefault="009C3C86" w:rsidP="009C3C86"/>
    <w:p w14:paraId="35C60158" w14:textId="77777777" w:rsidR="009C3C86" w:rsidRDefault="009C3C86" w:rsidP="009C3C86"/>
    <w:p w14:paraId="082E4BC3" w14:textId="77777777" w:rsidR="009C3C86" w:rsidRDefault="009C3C86" w:rsidP="009C3C86"/>
    <w:p w14:paraId="731D338E" w14:textId="77777777" w:rsidR="009C3C86" w:rsidRDefault="009C3C86" w:rsidP="009C3C86"/>
    <w:p w14:paraId="424FC5DF" w14:textId="77777777" w:rsidR="009C3C86" w:rsidRDefault="009C3C86" w:rsidP="009C3C86"/>
    <w:p w14:paraId="0966DC73" w14:textId="77777777" w:rsidR="009C3C86" w:rsidRDefault="009C3C86" w:rsidP="009C3C86"/>
    <w:p w14:paraId="4A23D27C" w14:textId="7C117157" w:rsidR="00A53770" w:rsidRDefault="00A53770">
      <w:r>
        <w:br w:type="page"/>
      </w:r>
    </w:p>
    <w:p w14:paraId="5B4ECD6A" w14:textId="4BFF451D" w:rsidR="009C3C86" w:rsidRPr="00575564" w:rsidRDefault="009C3C86" w:rsidP="00027769">
      <w:pPr>
        <w:pStyle w:val="Heading1"/>
      </w:pPr>
      <w:bookmarkStart w:id="188" w:name="_Toc133487852"/>
      <w:r w:rsidRPr="00575564">
        <w:lastRenderedPageBreak/>
        <w:t>Appendix H</w:t>
      </w:r>
      <w:bookmarkEnd w:id="188"/>
    </w:p>
    <w:p w14:paraId="792B4AB3" w14:textId="5E46104E" w:rsidR="009C3C86" w:rsidRPr="00A53770" w:rsidRDefault="00FA1AA6" w:rsidP="00FA1AA6">
      <w:pPr>
        <w:ind w:left="3600"/>
        <w:rPr>
          <w:b/>
        </w:rPr>
      </w:pPr>
      <w:bookmarkStart w:id="189" w:name="_Toc133144219"/>
      <w:r>
        <w:rPr>
          <w:b/>
        </w:rPr>
        <w:t xml:space="preserve">     </w:t>
      </w:r>
      <w:r w:rsidR="009C3C86" w:rsidRPr="00A53770">
        <w:rPr>
          <w:b/>
        </w:rPr>
        <w:t>Scale measures</w:t>
      </w:r>
      <w:bookmarkEnd w:id="189"/>
    </w:p>
    <w:p w14:paraId="0CDDA426" w14:textId="77777777" w:rsidR="009C3C86" w:rsidRPr="00575564" w:rsidRDefault="009C3C86" w:rsidP="009C3C86">
      <w:pPr>
        <w:jc w:val="center"/>
        <w:rPr>
          <w:rFonts w:ascii="Arial" w:hAnsi="Arial" w:cs="Arial"/>
        </w:rPr>
      </w:pPr>
    </w:p>
    <w:p w14:paraId="2DEF07AB" w14:textId="77777777" w:rsidR="009C3C86" w:rsidRPr="00575564" w:rsidRDefault="009C3C86" w:rsidP="009C3C86">
      <w:pPr>
        <w:jc w:val="center"/>
        <w:rPr>
          <w:rFonts w:ascii="Arial" w:hAnsi="Arial" w:cs="Arial"/>
          <w:u w:val="single"/>
        </w:rPr>
      </w:pPr>
      <w:r w:rsidRPr="00575564">
        <w:rPr>
          <w:rFonts w:ascii="Arial" w:hAnsi="Arial" w:cs="Arial"/>
          <w:u w:val="single"/>
        </w:rPr>
        <w:t xml:space="preserve">Patient Health Questionnaire 15 (PHQ-15) </w:t>
      </w:r>
    </w:p>
    <w:p w14:paraId="4605F7FF" w14:textId="77777777" w:rsidR="009C3C86" w:rsidRPr="00575564" w:rsidRDefault="009C3C86" w:rsidP="009C3C86">
      <w:pPr>
        <w:jc w:val="center"/>
        <w:rPr>
          <w:rFonts w:ascii="Arial" w:hAnsi="Arial" w:cs="Arial"/>
        </w:rPr>
      </w:pPr>
      <w:r w:rsidRPr="00575564">
        <w:rPr>
          <w:rFonts w:ascii="Arial" w:hAnsi="Arial" w:cs="Arial"/>
        </w:rPr>
        <w:t>(Responding with options – Not at all, bothered a little, bothered a lot)</w:t>
      </w:r>
    </w:p>
    <w:p w14:paraId="6E07D969" w14:textId="77777777" w:rsidR="009C3C86" w:rsidRPr="00575564" w:rsidRDefault="009C3C86" w:rsidP="009C3C86">
      <w:pPr>
        <w:pStyle w:val="ListParagraph"/>
        <w:numPr>
          <w:ilvl w:val="0"/>
          <w:numId w:val="16"/>
        </w:numPr>
        <w:spacing w:after="0" w:line="240" w:lineRule="auto"/>
        <w:rPr>
          <w:rFonts w:ascii="Arial" w:hAnsi="Arial" w:cs="Arial"/>
        </w:rPr>
      </w:pPr>
      <w:r w:rsidRPr="00575564">
        <w:rPr>
          <w:rFonts w:ascii="Arial" w:hAnsi="Arial" w:cs="Arial"/>
        </w:rPr>
        <w:t>Over the last week, how often have you been bothered by stomach pain?</w:t>
      </w:r>
    </w:p>
    <w:p w14:paraId="3E2C80F0" w14:textId="77777777" w:rsidR="009C3C86" w:rsidRPr="00575564" w:rsidRDefault="009C3C86" w:rsidP="009C3C86">
      <w:pPr>
        <w:pStyle w:val="ListParagraph"/>
        <w:numPr>
          <w:ilvl w:val="0"/>
          <w:numId w:val="16"/>
        </w:numPr>
        <w:spacing w:after="0" w:line="240" w:lineRule="auto"/>
        <w:rPr>
          <w:rFonts w:ascii="Arial" w:hAnsi="Arial" w:cs="Arial"/>
        </w:rPr>
      </w:pPr>
      <w:r w:rsidRPr="00575564">
        <w:rPr>
          <w:rFonts w:ascii="Arial" w:hAnsi="Arial" w:cs="Arial"/>
        </w:rPr>
        <w:t>Over the last week, how often have you been bothered by back pain?</w:t>
      </w:r>
    </w:p>
    <w:p w14:paraId="4C5B5153" w14:textId="77777777" w:rsidR="009C3C86" w:rsidRPr="00575564" w:rsidRDefault="009C3C86" w:rsidP="009C3C86">
      <w:pPr>
        <w:pStyle w:val="ListParagraph"/>
        <w:numPr>
          <w:ilvl w:val="0"/>
          <w:numId w:val="16"/>
        </w:numPr>
        <w:spacing w:after="0" w:line="240" w:lineRule="auto"/>
        <w:rPr>
          <w:rFonts w:ascii="Arial" w:hAnsi="Arial" w:cs="Arial"/>
        </w:rPr>
      </w:pPr>
      <w:r w:rsidRPr="00575564">
        <w:rPr>
          <w:rFonts w:ascii="Arial" w:hAnsi="Arial" w:cs="Arial"/>
        </w:rPr>
        <w:t>Over the last week, how often have you been bothered by pain in your arms, legs or joints (knees, hips, etc.)?</w:t>
      </w:r>
    </w:p>
    <w:p w14:paraId="664BCAB2" w14:textId="77777777" w:rsidR="009C3C86" w:rsidRPr="00575564" w:rsidRDefault="009C3C86" w:rsidP="009C3C86">
      <w:pPr>
        <w:pStyle w:val="ListParagraph"/>
        <w:numPr>
          <w:ilvl w:val="0"/>
          <w:numId w:val="16"/>
        </w:numPr>
        <w:spacing w:after="0" w:line="240" w:lineRule="auto"/>
        <w:rPr>
          <w:rFonts w:ascii="Arial" w:hAnsi="Arial" w:cs="Arial"/>
        </w:rPr>
      </w:pPr>
      <w:r w:rsidRPr="00575564">
        <w:rPr>
          <w:rFonts w:ascii="Arial" w:hAnsi="Arial" w:cs="Arial"/>
        </w:rPr>
        <w:t>Over the last week, how often have you been bothered by headaches?</w:t>
      </w:r>
    </w:p>
    <w:p w14:paraId="04ABFDF0" w14:textId="77777777" w:rsidR="009C3C86" w:rsidRPr="00575564" w:rsidRDefault="009C3C86" w:rsidP="009C3C86">
      <w:pPr>
        <w:pStyle w:val="ListParagraph"/>
        <w:numPr>
          <w:ilvl w:val="0"/>
          <w:numId w:val="16"/>
        </w:numPr>
        <w:spacing w:after="0" w:line="240" w:lineRule="auto"/>
        <w:rPr>
          <w:rFonts w:ascii="Arial" w:hAnsi="Arial" w:cs="Arial"/>
        </w:rPr>
      </w:pPr>
      <w:r w:rsidRPr="00575564">
        <w:rPr>
          <w:rFonts w:ascii="Arial" w:hAnsi="Arial" w:cs="Arial"/>
        </w:rPr>
        <w:t>Over the last week, how often have you been bothered by dizziness?</w:t>
      </w:r>
    </w:p>
    <w:p w14:paraId="5539898C" w14:textId="77777777" w:rsidR="009C3C86" w:rsidRPr="00575564" w:rsidRDefault="009C3C86" w:rsidP="009C3C86">
      <w:pPr>
        <w:pStyle w:val="ListParagraph"/>
        <w:numPr>
          <w:ilvl w:val="0"/>
          <w:numId w:val="16"/>
        </w:numPr>
        <w:spacing w:after="0" w:line="240" w:lineRule="auto"/>
        <w:rPr>
          <w:rFonts w:ascii="Arial" w:hAnsi="Arial" w:cs="Arial"/>
        </w:rPr>
      </w:pPr>
      <w:r w:rsidRPr="00575564">
        <w:rPr>
          <w:rFonts w:ascii="Arial" w:hAnsi="Arial" w:cs="Arial"/>
        </w:rPr>
        <w:t>Over the last week, how often have you been bothered by feeling your heart pound or race?</w:t>
      </w:r>
    </w:p>
    <w:p w14:paraId="1B5EA3E4" w14:textId="77777777" w:rsidR="009C3C86" w:rsidRPr="00575564" w:rsidRDefault="009C3C86" w:rsidP="009C3C86">
      <w:pPr>
        <w:pStyle w:val="ListParagraph"/>
        <w:numPr>
          <w:ilvl w:val="0"/>
          <w:numId w:val="16"/>
        </w:numPr>
        <w:spacing w:after="0" w:line="240" w:lineRule="auto"/>
        <w:rPr>
          <w:rFonts w:ascii="Arial" w:hAnsi="Arial" w:cs="Arial"/>
        </w:rPr>
      </w:pPr>
      <w:r w:rsidRPr="00575564">
        <w:rPr>
          <w:rFonts w:ascii="Arial" w:hAnsi="Arial" w:cs="Arial"/>
        </w:rPr>
        <w:t>Over the last week, how often have you been bothered by shortness of breath?</w:t>
      </w:r>
    </w:p>
    <w:p w14:paraId="18C2281D" w14:textId="77777777" w:rsidR="009C3C86" w:rsidRPr="00575564" w:rsidRDefault="009C3C86" w:rsidP="009C3C86">
      <w:pPr>
        <w:pStyle w:val="ListParagraph"/>
        <w:numPr>
          <w:ilvl w:val="0"/>
          <w:numId w:val="16"/>
        </w:numPr>
        <w:spacing w:after="0" w:line="240" w:lineRule="auto"/>
        <w:rPr>
          <w:rFonts w:ascii="Arial" w:hAnsi="Arial" w:cs="Arial"/>
        </w:rPr>
      </w:pPr>
      <w:r w:rsidRPr="00575564">
        <w:rPr>
          <w:rFonts w:ascii="Arial" w:hAnsi="Arial" w:cs="Arial"/>
        </w:rPr>
        <w:t>Over the last week, how often have you been bothered by pain or problems during sexual intercourse?</w:t>
      </w:r>
    </w:p>
    <w:p w14:paraId="6B89A28B" w14:textId="77777777" w:rsidR="009C3C86" w:rsidRPr="00575564" w:rsidRDefault="009C3C86" w:rsidP="009C3C86">
      <w:pPr>
        <w:pStyle w:val="ListParagraph"/>
        <w:numPr>
          <w:ilvl w:val="0"/>
          <w:numId w:val="16"/>
        </w:numPr>
        <w:spacing w:after="0" w:line="240" w:lineRule="auto"/>
        <w:rPr>
          <w:rFonts w:ascii="Arial" w:hAnsi="Arial" w:cs="Arial"/>
        </w:rPr>
      </w:pPr>
      <w:r w:rsidRPr="00575564">
        <w:rPr>
          <w:rFonts w:ascii="Arial" w:hAnsi="Arial" w:cs="Arial"/>
        </w:rPr>
        <w:t>Over the last week, how often have you been bothered by constipation, loose bowels or diarrhoea?</w:t>
      </w:r>
    </w:p>
    <w:p w14:paraId="1A2DAFAD" w14:textId="77777777" w:rsidR="009C3C86" w:rsidRPr="00575564" w:rsidRDefault="009C3C86" w:rsidP="009C3C86">
      <w:pPr>
        <w:pStyle w:val="ListParagraph"/>
        <w:numPr>
          <w:ilvl w:val="0"/>
          <w:numId w:val="16"/>
        </w:numPr>
        <w:spacing w:after="0" w:line="240" w:lineRule="auto"/>
        <w:rPr>
          <w:rFonts w:ascii="Arial" w:hAnsi="Arial" w:cs="Arial"/>
        </w:rPr>
      </w:pPr>
      <w:r w:rsidRPr="00575564">
        <w:rPr>
          <w:rFonts w:ascii="Arial" w:hAnsi="Arial" w:cs="Arial"/>
        </w:rPr>
        <w:t>Over the last week, how often have you been bothered by nausea, gas or indigestion?</w:t>
      </w:r>
    </w:p>
    <w:p w14:paraId="65B93904" w14:textId="77777777" w:rsidR="009C3C86" w:rsidRPr="00575564" w:rsidRDefault="009C3C86" w:rsidP="009C3C86">
      <w:pPr>
        <w:pStyle w:val="ListParagraph"/>
        <w:numPr>
          <w:ilvl w:val="0"/>
          <w:numId w:val="16"/>
        </w:numPr>
        <w:spacing w:after="0" w:line="240" w:lineRule="auto"/>
        <w:rPr>
          <w:rFonts w:ascii="Arial" w:hAnsi="Arial" w:cs="Arial"/>
        </w:rPr>
      </w:pPr>
      <w:r w:rsidRPr="00575564">
        <w:rPr>
          <w:rFonts w:ascii="Arial" w:hAnsi="Arial" w:cs="Arial"/>
        </w:rPr>
        <w:t>Over the last week, how often have you been bothered by feeling tired or having low energy?</w:t>
      </w:r>
    </w:p>
    <w:p w14:paraId="0DCD3F00" w14:textId="77777777" w:rsidR="009C3C86" w:rsidRPr="00575564" w:rsidRDefault="009C3C86" w:rsidP="009C3C86">
      <w:pPr>
        <w:pStyle w:val="ListParagraph"/>
        <w:numPr>
          <w:ilvl w:val="0"/>
          <w:numId w:val="16"/>
        </w:numPr>
        <w:spacing w:after="0" w:line="240" w:lineRule="auto"/>
        <w:rPr>
          <w:rFonts w:ascii="Arial" w:hAnsi="Arial" w:cs="Arial"/>
        </w:rPr>
      </w:pPr>
      <w:r w:rsidRPr="00575564">
        <w:rPr>
          <w:rFonts w:ascii="Arial" w:hAnsi="Arial" w:cs="Arial"/>
        </w:rPr>
        <w:t>Over the last week, how often have you been bothered by trouble sleeping?</w:t>
      </w:r>
    </w:p>
    <w:p w14:paraId="15F68FBC" w14:textId="77777777" w:rsidR="009C3C86" w:rsidRPr="00575564" w:rsidRDefault="009C3C86" w:rsidP="009C3C86">
      <w:pPr>
        <w:pStyle w:val="ListParagraph"/>
        <w:numPr>
          <w:ilvl w:val="0"/>
          <w:numId w:val="16"/>
        </w:numPr>
        <w:spacing w:after="0" w:line="240" w:lineRule="auto"/>
        <w:rPr>
          <w:rFonts w:ascii="Arial" w:hAnsi="Arial" w:cs="Arial"/>
        </w:rPr>
      </w:pPr>
      <w:r w:rsidRPr="00575564">
        <w:rPr>
          <w:rFonts w:ascii="Arial" w:hAnsi="Arial" w:cs="Arial"/>
        </w:rPr>
        <w:t>Over the last week, how often have you been bothered by chest pain?</w:t>
      </w:r>
    </w:p>
    <w:p w14:paraId="2EF4E3A2" w14:textId="77777777" w:rsidR="009C3C86" w:rsidRPr="00575564" w:rsidRDefault="009C3C86" w:rsidP="009C3C86">
      <w:pPr>
        <w:pStyle w:val="ListParagraph"/>
        <w:numPr>
          <w:ilvl w:val="0"/>
          <w:numId w:val="16"/>
        </w:numPr>
        <w:spacing w:after="0" w:line="240" w:lineRule="auto"/>
        <w:rPr>
          <w:rFonts w:ascii="Arial" w:hAnsi="Arial" w:cs="Arial"/>
        </w:rPr>
      </w:pPr>
      <w:r w:rsidRPr="00575564">
        <w:rPr>
          <w:rFonts w:ascii="Arial" w:hAnsi="Arial" w:cs="Arial"/>
        </w:rPr>
        <w:t>Over the last week, how often have you been bothered by fainting spells?</w:t>
      </w:r>
    </w:p>
    <w:p w14:paraId="03CD8A82" w14:textId="77777777" w:rsidR="009C3C86" w:rsidRPr="00575564" w:rsidRDefault="009C3C86" w:rsidP="009C3C86">
      <w:pPr>
        <w:rPr>
          <w:rFonts w:ascii="Arial" w:hAnsi="Arial" w:cs="Arial"/>
          <w:u w:val="single"/>
        </w:rPr>
      </w:pPr>
    </w:p>
    <w:p w14:paraId="7F4749BB" w14:textId="77777777" w:rsidR="009C3C86" w:rsidRPr="00575564" w:rsidRDefault="009C3C86" w:rsidP="009C3C86">
      <w:pPr>
        <w:jc w:val="center"/>
        <w:rPr>
          <w:rFonts w:ascii="Arial" w:hAnsi="Arial" w:cs="Arial"/>
          <w:u w:val="single"/>
        </w:rPr>
      </w:pPr>
      <w:r w:rsidRPr="00575564">
        <w:rPr>
          <w:rFonts w:ascii="Arial" w:hAnsi="Arial" w:cs="Arial"/>
          <w:u w:val="single"/>
        </w:rPr>
        <w:t xml:space="preserve">Intolerance of Uncertainty Scale 12 (IUS-12) </w:t>
      </w:r>
    </w:p>
    <w:p w14:paraId="6CE48716" w14:textId="77777777" w:rsidR="009C3C86" w:rsidRPr="00575564" w:rsidRDefault="009C3C86" w:rsidP="009C3C86">
      <w:pPr>
        <w:jc w:val="center"/>
        <w:rPr>
          <w:rFonts w:ascii="Arial" w:hAnsi="Arial" w:cs="Arial"/>
        </w:rPr>
      </w:pPr>
      <w:r w:rsidRPr="00575564">
        <w:rPr>
          <w:rFonts w:ascii="Arial" w:hAnsi="Arial" w:cs="Arial"/>
        </w:rPr>
        <w:t>(Responding with scale ranging from 1 – 5, not at all characteristic of me, somewhat characteristic of me, entirely characteristic of me)</w:t>
      </w:r>
    </w:p>
    <w:p w14:paraId="161F5673" w14:textId="77777777" w:rsidR="009C3C86" w:rsidRPr="00575564" w:rsidRDefault="009C3C86" w:rsidP="009C3C86">
      <w:pPr>
        <w:pStyle w:val="ListParagraph"/>
        <w:numPr>
          <w:ilvl w:val="0"/>
          <w:numId w:val="15"/>
        </w:numPr>
        <w:spacing w:after="0" w:line="240" w:lineRule="auto"/>
        <w:rPr>
          <w:rFonts w:ascii="Arial" w:hAnsi="Arial" w:cs="Arial"/>
        </w:rPr>
      </w:pPr>
      <w:r w:rsidRPr="00575564">
        <w:rPr>
          <w:rFonts w:ascii="Arial" w:hAnsi="Arial" w:cs="Arial"/>
        </w:rPr>
        <w:t xml:space="preserve">Unforeseen events upset me greatly </w:t>
      </w:r>
    </w:p>
    <w:p w14:paraId="4B442C34" w14:textId="77777777" w:rsidR="009C3C86" w:rsidRPr="00575564" w:rsidRDefault="009C3C86" w:rsidP="009C3C86">
      <w:pPr>
        <w:pStyle w:val="ListParagraph"/>
        <w:numPr>
          <w:ilvl w:val="0"/>
          <w:numId w:val="15"/>
        </w:numPr>
        <w:spacing w:after="0" w:line="240" w:lineRule="auto"/>
        <w:rPr>
          <w:rFonts w:ascii="Arial" w:hAnsi="Arial" w:cs="Arial"/>
        </w:rPr>
      </w:pPr>
      <w:r w:rsidRPr="00575564">
        <w:rPr>
          <w:rFonts w:ascii="Arial" w:hAnsi="Arial" w:cs="Arial"/>
        </w:rPr>
        <w:t>It frustrates me not having all the information I need</w:t>
      </w:r>
    </w:p>
    <w:p w14:paraId="1160AA19" w14:textId="77777777" w:rsidR="009C3C86" w:rsidRPr="00575564" w:rsidRDefault="009C3C86" w:rsidP="009C3C86">
      <w:pPr>
        <w:pStyle w:val="ListParagraph"/>
        <w:numPr>
          <w:ilvl w:val="0"/>
          <w:numId w:val="15"/>
        </w:numPr>
        <w:spacing w:after="0" w:line="240" w:lineRule="auto"/>
        <w:rPr>
          <w:rFonts w:ascii="Arial" w:hAnsi="Arial" w:cs="Arial"/>
        </w:rPr>
      </w:pPr>
      <w:r w:rsidRPr="00575564">
        <w:rPr>
          <w:rFonts w:ascii="Arial" w:hAnsi="Arial" w:cs="Arial"/>
        </w:rPr>
        <w:t>One should always look ahead so as to avoid surprises</w:t>
      </w:r>
    </w:p>
    <w:p w14:paraId="446A4771" w14:textId="77777777" w:rsidR="009C3C86" w:rsidRPr="00575564" w:rsidRDefault="009C3C86" w:rsidP="009C3C86">
      <w:pPr>
        <w:pStyle w:val="ListParagraph"/>
        <w:numPr>
          <w:ilvl w:val="0"/>
          <w:numId w:val="15"/>
        </w:numPr>
        <w:spacing w:after="0" w:line="240" w:lineRule="auto"/>
        <w:rPr>
          <w:rFonts w:ascii="Arial" w:hAnsi="Arial" w:cs="Arial"/>
        </w:rPr>
      </w:pPr>
      <w:r w:rsidRPr="00575564">
        <w:rPr>
          <w:rFonts w:ascii="Arial" w:hAnsi="Arial" w:cs="Arial"/>
        </w:rPr>
        <w:t>A small, unforeseen event can spoil everything, even with the best of planning.</w:t>
      </w:r>
    </w:p>
    <w:p w14:paraId="3C438308" w14:textId="77777777" w:rsidR="009C3C86" w:rsidRPr="00575564" w:rsidRDefault="009C3C86" w:rsidP="009C3C86">
      <w:pPr>
        <w:pStyle w:val="ListParagraph"/>
        <w:numPr>
          <w:ilvl w:val="0"/>
          <w:numId w:val="15"/>
        </w:numPr>
        <w:spacing w:after="0" w:line="240" w:lineRule="auto"/>
        <w:rPr>
          <w:rFonts w:ascii="Arial" w:hAnsi="Arial" w:cs="Arial"/>
        </w:rPr>
      </w:pPr>
      <w:r w:rsidRPr="00575564">
        <w:rPr>
          <w:rFonts w:ascii="Arial" w:hAnsi="Arial" w:cs="Arial"/>
        </w:rPr>
        <w:t>I always want to know what the future has in store for me</w:t>
      </w:r>
    </w:p>
    <w:p w14:paraId="0506A09A" w14:textId="77777777" w:rsidR="009C3C86" w:rsidRPr="00575564" w:rsidRDefault="009C3C86" w:rsidP="009C3C86">
      <w:pPr>
        <w:pStyle w:val="ListParagraph"/>
        <w:numPr>
          <w:ilvl w:val="0"/>
          <w:numId w:val="15"/>
        </w:numPr>
        <w:spacing w:after="0" w:line="240" w:lineRule="auto"/>
        <w:rPr>
          <w:rFonts w:ascii="Arial" w:hAnsi="Arial" w:cs="Arial"/>
        </w:rPr>
      </w:pPr>
      <w:r w:rsidRPr="00575564">
        <w:rPr>
          <w:rFonts w:ascii="Arial" w:hAnsi="Arial" w:cs="Arial"/>
        </w:rPr>
        <w:t>I can’t stand being taken by surprise</w:t>
      </w:r>
    </w:p>
    <w:p w14:paraId="6A4BED7D" w14:textId="77777777" w:rsidR="009C3C86" w:rsidRPr="00575564" w:rsidRDefault="009C3C86" w:rsidP="009C3C86">
      <w:pPr>
        <w:pStyle w:val="ListParagraph"/>
        <w:numPr>
          <w:ilvl w:val="0"/>
          <w:numId w:val="15"/>
        </w:numPr>
        <w:spacing w:after="0" w:line="240" w:lineRule="auto"/>
        <w:rPr>
          <w:rFonts w:ascii="Arial" w:hAnsi="Arial" w:cs="Arial"/>
        </w:rPr>
      </w:pPr>
      <w:r w:rsidRPr="00575564">
        <w:rPr>
          <w:rFonts w:ascii="Arial" w:hAnsi="Arial" w:cs="Arial"/>
        </w:rPr>
        <w:t>I should be able to organize everything in advance</w:t>
      </w:r>
    </w:p>
    <w:p w14:paraId="7DE2C16D" w14:textId="77777777" w:rsidR="009C3C86" w:rsidRPr="00575564" w:rsidRDefault="009C3C86" w:rsidP="009C3C86">
      <w:pPr>
        <w:pStyle w:val="ListParagraph"/>
        <w:numPr>
          <w:ilvl w:val="0"/>
          <w:numId w:val="15"/>
        </w:numPr>
        <w:spacing w:after="0" w:line="240" w:lineRule="auto"/>
        <w:rPr>
          <w:rFonts w:ascii="Arial" w:hAnsi="Arial" w:cs="Arial"/>
        </w:rPr>
      </w:pPr>
      <w:r w:rsidRPr="00575564">
        <w:rPr>
          <w:rFonts w:ascii="Arial" w:hAnsi="Arial" w:cs="Arial"/>
        </w:rPr>
        <w:t>Uncertainty keeps me from living a full life.</w:t>
      </w:r>
    </w:p>
    <w:p w14:paraId="7F237DD0" w14:textId="77777777" w:rsidR="009C3C86" w:rsidRPr="00575564" w:rsidRDefault="009C3C86" w:rsidP="009C3C86">
      <w:pPr>
        <w:pStyle w:val="ListParagraph"/>
        <w:numPr>
          <w:ilvl w:val="0"/>
          <w:numId w:val="15"/>
        </w:numPr>
        <w:spacing w:after="0" w:line="240" w:lineRule="auto"/>
        <w:rPr>
          <w:rFonts w:ascii="Arial" w:hAnsi="Arial" w:cs="Arial"/>
        </w:rPr>
      </w:pPr>
      <w:r w:rsidRPr="00575564">
        <w:rPr>
          <w:rFonts w:ascii="Arial" w:hAnsi="Arial" w:cs="Arial"/>
        </w:rPr>
        <w:t>. When it’s time to act, uncertainty paralyses me.</w:t>
      </w:r>
    </w:p>
    <w:p w14:paraId="0F9E8149" w14:textId="77777777" w:rsidR="009C3C86" w:rsidRPr="00575564" w:rsidRDefault="009C3C86" w:rsidP="009C3C86">
      <w:pPr>
        <w:pStyle w:val="ListParagraph"/>
        <w:numPr>
          <w:ilvl w:val="0"/>
          <w:numId w:val="15"/>
        </w:numPr>
        <w:spacing w:after="0" w:line="240" w:lineRule="auto"/>
        <w:rPr>
          <w:rFonts w:ascii="Arial" w:hAnsi="Arial" w:cs="Arial"/>
        </w:rPr>
      </w:pPr>
      <w:r w:rsidRPr="00575564">
        <w:rPr>
          <w:rFonts w:ascii="Arial" w:hAnsi="Arial" w:cs="Arial"/>
        </w:rPr>
        <w:t>When I am uncertain I can’t function very well.</w:t>
      </w:r>
    </w:p>
    <w:p w14:paraId="4ED29693" w14:textId="77777777" w:rsidR="009C3C86" w:rsidRPr="00575564" w:rsidRDefault="009C3C86" w:rsidP="009C3C86">
      <w:pPr>
        <w:pStyle w:val="ListParagraph"/>
        <w:numPr>
          <w:ilvl w:val="0"/>
          <w:numId w:val="15"/>
        </w:numPr>
        <w:spacing w:after="0" w:line="240" w:lineRule="auto"/>
        <w:rPr>
          <w:rFonts w:ascii="Arial" w:hAnsi="Arial" w:cs="Arial"/>
        </w:rPr>
      </w:pPr>
      <w:r w:rsidRPr="00575564">
        <w:rPr>
          <w:rFonts w:ascii="Arial" w:hAnsi="Arial" w:cs="Arial"/>
        </w:rPr>
        <w:t>The smallest doubt can stop me from acting</w:t>
      </w:r>
    </w:p>
    <w:p w14:paraId="7FE7630F" w14:textId="77777777" w:rsidR="009C3C86" w:rsidRPr="00575564" w:rsidRDefault="009C3C86" w:rsidP="009C3C86">
      <w:pPr>
        <w:pStyle w:val="ListParagraph"/>
        <w:numPr>
          <w:ilvl w:val="0"/>
          <w:numId w:val="15"/>
        </w:numPr>
        <w:spacing w:after="0" w:line="240" w:lineRule="auto"/>
        <w:rPr>
          <w:rFonts w:ascii="Arial" w:hAnsi="Arial" w:cs="Arial"/>
        </w:rPr>
      </w:pPr>
      <w:r w:rsidRPr="00575564">
        <w:rPr>
          <w:rFonts w:ascii="Arial" w:hAnsi="Arial" w:cs="Arial"/>
        </w:rPr>
        <w:t>I must get away from all uncertain situations</w:t>
      </w:r>
    </w:p>
    <w:p w14:paraId="6AD03899" w14:textId="77777777" w:rsidR="009C3C86" w:rsidRPr="00575564" w:rsidRDefault="009C3C86" w:rsidP="009C3C86">
      <w:pPr>
        <w:rPr>
          <w:rFonts w:ascii="Arial" w:hAnsi="Arial" w:cs="Arial"/>
        </w:rPr>
      </w:pPr>
    </w:p>
    <w:p w14:paraId="5118330D" w14:textId="77777777" w:rsidR="009C3C86" w:rsidRPr="00575564" w:rsidRDefault="009C3C86" w:rsidP="009C3C86">
      <w:pPr>
        <w:jc w:val="center"/>
        <w:rPr>
          <w:rFonts w:ascii="Arial" w:hAnsi="Arial" w:cs="Arial"/>
          <w:u w:val="single"/>
        </w:rPr>
      </w:pPr>
      <w:r w:rsidRPr="00575564">
        <w:rPr>
          <w:rFonts w:ascii="Arial" w:hAnsi="Arial" w:cs="Arial"/>
          <w:u w:val="single"/>
        </w:rPr>
        <w:t xml:space="preserve">Anxiety Sensitivity Index (ASI-3) </w:t>
      </w:r>
    </w:p>
    <w:p w14:paraId="286B6219" w14:textId="77777777" w:rsidR="009C3C86" w:rsidRPr="00575564" w:rsidRDefault="009C3C86" w:rsidP="009C3C86">
      <w:pPr>
        <w:jc w:val="center"/>
        <w:rPr>
          <w:rFonts w:ascii="Arial" w:hAnsi="Arial" w:cs="Arial"/>
        </w:rPr>
      </w:pPr>
      <w:r w:rsidRPr="00575564">
        <w:rPr>
          <w:rFonts w:ascii="Arial" w:hAnsi="Arial" w:cs="Arial"/>
        </w:rPr>
        <w:t>(Responding with options – 1/Very little, 2/a little, some, 2/much, 4/very much)</w:t>
      </w:r>
    </w:p>
    <w:p w14:paraId="3A9F33E5" w14:textId="77777777" w:rsidR="009C3C86" w:rsidRPr="00575564" w:rsidRDefault="009C3C86" w:rsidP="009C3C86">
      <w:pPr>
        <w:jc w:val="center"/>
        <w:rPr>
          <w:rFonts w:ascii="Arial" w:hAnsi="Arial" w:cs="Arial"/>
        </w:rPr>
      </w:pPr>
    </w:p>
    <w:p w14:paraId="0896B7BB" w14:textId="77777777" w:rsidR="009C3C86" w:rsidRPr="00575564" w:rsidRDefault="009C3C86" w:rsidP="009C3C86">
      <w:pPr>
        <w:pStyle w:val="ListParagraph"/>
        <w:numPr>
          <w:ilvl w:val="0"/>
          <w:numId w:val="17"/>
        </w:numPr>
        <w:spacing w:after="0" w:line="240" w:lineRule="auto"/>
        <w:rPr>
          <w:rFonts w:ascii="Arial" w:hAnsi="Arial" w:cs="Arial"/>
        </w:rPr>
      </w:pPr>
      <w:r w:rsidRPr="00575564">
        <w:rPr>
          <w:rFonts w:ascii="Arial" w:hAnsi="Arial" w:cs="Arial"/>
        </w:rPr>
        <w:t>It is important not to appear nervous.</w:t>
      </w:r>
    </w:p>
    <w:p w14:paraId="191324C1" w14:textId="77777777" w:rsidR="009C3C86" w:rsidRPr="00575564" w:rsidRDefault="009C3C86" w:rsidP="009C3C86">
      <w:pPr>
        <w:pStyle w:val="ListParagraph"/>
        <w:numPr>
          <w:ilvl w:val="0"/>
          <w:numId w:val="17"/>
        </w:numPr>
        <w:spacing w:after="0" w:line="240" w:lineRule="auto"/>
        <w:rPr>
          <w:rFonts w:ascii="Arial" w:hAnsi="Arial" w:cs="Arial"/>
        </w:rPr>
      </w:pPr>
      <w:r w:rsidRPr="00575564">
        <w:rPr>
          <w:rFonts w:ascii="Arial" w:hAnsi="Arial" w:cs="Arial"/>
        </w:rPr>
        <w:lastRenderedPageBreak/>
        <w:t>When I cannot keep my mind on a task, I worry that I might be going crazy.</w:t>
      </w:r>
    </w:p>
    <w:p w14:paraId="0E75ACD9" w14:textId="77777777" w:rsidR="009C3C86" w:rsidRPr="00575564" w:rsidRDefault="009C3C86" w:rsidP="009C3C86">
      <w:pPr>
        <w:pStyle w:val="ListParagraph"/>
        <w:numPr>
          <w:ilvl w:val="0"/>
          <w:numId w:val="17"/>
        </w:numPr>
        <w:spacing w:after="0" w:line="240" w:lineRule="auto"/>
        <w:rPr>
          <w:rFonts w:ascii="Arial" w:hAnsi="Arial" w:cs="Arial"/>
        </w:rPr>
      </w:pPr>
      <w:r w:rsidRPr="00575564">
        <w:rPr>
          <w:rFonts w:ascii="Arial" w:hAnsi="Arial" w:cs="Arial"/>
        </w:rPr>
        <w:t>It scares me when I feel shaky.</w:t>
      </w:r>
    </w:p>
    <w:p w14:paraId="5374C52A" w14:textId="77777777" w:rsidR="009C3C86" w:rsidRPr="00575564" w:rsidRDefault="009C3C86" w:rsidP="009C3C86">
      <w:pPr>
        <w:pStyle w:val="ListParagraph"/>
        <w:numPr>
          <w:ilvl w:val="0"/>
          <w:numId w:val="17"/>
        </w:numPr>
        <w:spacing w:after="0" w:line="240" w:lineRule="auto"/>
        <w:rPr>
          <w:rFonts w:ascii="Arial" w:hAnsi="Arial" w:cs="Arial"/>
        </w:rPr>
      </w:pPr>
      <w:r w:rsidRPr="00575564">
        <w:rPr>
          <w:rFonts w:ascii="Arial" w:hAnsi="Arial" w:cs="Arial"/>
        </w:rPr>
        <w:t>It scares me when I feel faint</w:t>
      </w:r>
    </w:p>
    <w:p w14:paraId="41BCCF46" w14:textId="77777777" w:rsidR="009C3C86" w:rsidRPr="00575564" w:rsidRDefault="009C3C86" w:rsidP="009C3C86">
      <w:pPr>
        <w:pStyle w:val="ListParagraph"/>
        <w:numPr>
          <w:ilvl w:val="0"/>
          <w:numId w:val="17"/>
        </w:numPr>
        <w:spacing w:after="0" w:line="240" w:lineRule="auto"/>
        <w:rPr>
          <w:rFonts w:ascii="Arial" w:hAnsi="Arial" w:cs="Arial"/>
        </w:rPr>
      </w:pPr>
      <w:r w:rsidRPr="00575564">
        <w:rPr>
          <w:rFonts w:ascii="Arial" w:hAnsi="Arial" w:cs="Arial"/>
        </w:rPr>
        <w:t>It is important to me to stay in control of my emotions</w:t>
      </w:r>
    </w:p>
    <w:p w14:paraId="0368834E" w14:textId="77777777" w:rsidR="009C3C86" w:rsidRPr="00575564" w:rsidRDefault="009C3C86" w:rsidP="009C3C86">
      <w:pPr>
        <w:pStyle w:val="ListParagraph"/>
        <w:numPr>
          <w:ilvl w:val="0"/>
          <w:numId w:val="17"/>
        </w:numPr>
        <w:spacing w:after="0" w:line="240" w:lineRule="auto"/>
        <w:rPr>
          <w:rFonts w:ascii="Arial" w:hAnsi="Arial" w:cs="Arial"/>
        </w:rPr>
      </w:pPr>
      <w:r w:rsidRPr="00575564">
        <w:rPr>
          <w:rFonts w:ascii="Arial" w:hAnsi="Arial" w:cs="Arial"/>
        </w:rPr>
        <w:t>It scares me when I my heart beat rapidly</w:t>
      </w:r>
    </w:p>
    <w:p w14:paraId="5B81F6C4" w14:textId="77777777" w:rsidR="009C3C86" w:rsidRPr="00575564" w:rsidRDefault="009C3C86" w:rsidP="009C3C86">
      <w:pPr>
        <w:pStyle w:val="ListParagraph"/>
        <w:numPr>
          <w:ilvl w:val="0"/>
          <w:numId w:val="17"/>
        </w:numPr>
        <w:spacing w:after="0" w:line="240" w:lineRule="auto"/>
        <w:rPr>
          <w:rFonts w:ascii="Arial" w:hAnsi="Arial" w:cs="Arial"/>
        </w:rPr>
      </w:pPr>
      <w:r w:rsidRPr="00575564">
        <w:rPr>
          <w:rFonts w:ascii="Arial" w:hAnsi="Arial" w:cs="Arial"/>
        </w:rPr>
        <w:t>It embarrasses me when my stomach growls</w:t>
      </w:r>
    </w:p>
    <w:p w14:paraId="23E49638" w14:textId="77777777" w:rsidR="009C3C86" w:rsidRPr="00575564" w:rsidRDefault="009C3C86" w:rsidP="009C3C86">
      <w:pPr>
        <w:pStyle w:val="ListParagraph"/>
        <w:numPr>
          <w:ilvl w:val="0"/>
          <w:numId w:val="17"/>
        </w:numPr>
        <w:spacing w:after="0" w:line="240" w:lineRule="auto"/>
        <w:rPr>
          <w:rFonts w:ascii="Arial" w:hAnsi="Arial" w:cs="Arial"/>
        </w:rPr>
      </w:pPr>
      <w:r w:rsidRPr="00575564">
        <w:rPr>
          <w:rFonts w:ascii="Arial" w:hAnsi="Arial" w:cs="Arial"/>
        </w:rPr>
        <w:t>It scares me when I am nauseous (sick stomach).</w:t>
      </w:r>
    </w:p>
    <w:p w14:paraId="1363B418" w14:textId="77777777" w:rsidR="009C3C86" w:rsidRPr="00575564" w:rsidRDefault="009C3C86" w:rsidP="009C3C86">
      <w:pPr>
        <w:pStyle w:val="ListParagraph"/>
        <w:numPr>
          <w:ilvl w:val="0"/>
          <w:numId w:val="17"/>
        </w:numPr>
        <w:spacing w:after="0" w:line="240" w:lineRule="auto"/>
        <w:rPr>
          <w:rFonts w:ascii="Arial" w:hAnsi="Arial" w:cs="Arial"/>
        </w:rPr>
      </w:pPr>
      <w:r w:rsidRPr="00575564">
        <w:rPr>
          <w:rFonts w:ascii="Arial" w:hAnsi="Arial" w:cs="Arial"/>
        </w:rPr>
        <w:t>When I notice my heart beating rapidly, I worry that I might be having a heart attack.</w:t>
      </w:r>
    </w:p>
    <w:p w14:paraId="7300B6B6" w14:textId="77777777" w:rsidR="009C3C86" w:rsidRPr="00575564" w:rsidRDefault="009C3C86" w:rsidP="009C3C86">
      <w:pPr>
        <w:pStyle w:val="ListParagraph"/>
        <w:numPr>
          <w:ilvl w:val="0"/>
          <w:numId w:val="17"/>
        </w:numPr>
        <w:spacing w:after="0" w:line="240" w:lineRule="auto"/>
        <w:rPr>
          <w:rFonts w:ascii="Arial" w:hAnsi="Arial" w:cs="Arial"/>
        </w:rPr>
      </w:pPr>
      <w:r w:rsidRPr="00575564">
        <w:rPr>
          <w:rFonts w:ascii="Arial" w:hAnsi="Arial" w:cs="Arial"/>
        </w:rPr>
        <w:t>It scares me when I become short of breath.</w:t>
      </w:r>
    </w:p>
    <w:p w14:paraId="7D6E5495" w14:textId="77777777" w:rsidR="009C3C86" w:rsidRPr="00575564" w:rsidRDefault="009C3C86" w:rsidP="009C3C86">
      <w:pPr>
        <w:pStyle w:val="ListParagraph"/>
        <w:numPr>
          <w:ilvl w:val="0"/>
          <w:numId w:val="17"/>
        </w:numPr>
        <w:spacing w:after="0" w:line="240" w:lineRule="auto"/>
        <w:rPr>
          <w:rFonts w:ascii="Arial" w:hAnsi="Arial" w:cs="Arial"/>
        </w:rPr>
      </w:pPr>
      <w:r w:rsidRPr="00575564">
        <w:rPr>
          <w:rFonts w:ascii="Arial" w:hAnsi="Arial" w:cs="Arial"/>
        </w:rPr>
        <w:t>When my stomach is upset, I worry that I might be seriously ill.</w:t>
      </w:r>
    </w:p>
    <w:p w14:paraId="0CAFCAB3" w14:textId="77777777" w:rsidR="009C3C86" w:rsidRPr="00575564" w:rsidRDefault="009C3C86" w:rsidP="009C3C86">
      <w:pPr>
        <w:pStyle w:val="ListParagraph"/>
        <w:numPr>
          <w:ilvl w:val="0"/>
          <w:numId w:val="17"/>
        </w:numPr>
        <w:spacing w:after="0" w:line="240" w:lineRule="auto"/>
        <w:rPr>
          <w:rFonts w:ascii="Arial" w:hAnsi="Arial" w:cs="Arial"/>
        </w:rPr>
      </w:pPr>
      <w:r w:rsidRPr="00575564">
        <w:rPr>
          <w:rFonts w:ascii="Arial" w:hAnsi="Arial" w:cs="Arial"/>
        </w:rPr>
        <w:t>It scares me when I am unable to keep my mind on a task.</w:t>
      </w:r>
    </w:p>
    <w:p w14:paraId="4EFFDE2A" w14:textId="77777777" w:rsidR="009C3C86" w:rsidRPr="00575564" w:rsidRDefault="009C3C86" w:rsidP="009C3C86">
      <w:pPr>
        <w:pStyle w:val="ListParagraph"/>
        <w:numPr>
          <w:ilvl w:val="0"/>
          <w:numId w:val="17"/>
        </w:numPr>
        <w:spacing w:after="0" w:line="240" w:lineRule="auto"/>
        <w:rPr>
          <w:rFonts w:ascii="Arial" w:hAnsi="Arial" w:cs="Arial"/>
        </w:rPr>
      </w:pPr>
      <w:r w:rsidRPr="00575564">
        <w:rPr>
          <w:rFonts w:ascii="Arial" w:hAnsi="Arial" w:cs="Arial"/>
        </w:rPr>
        <w:t>Other people notice when I feel shaky.</w:t>
      </w:r>
    </w:p>
    <w:p w14:paraId="48FAC062" w14:textId="77777777" w:rsidR="009C3C86" w:rsidRPr="00575564" w:rsidRDefault="009C3C86" w:rsidP="009C3C86">
      <w:pPr>
        <w:pStyle w:val="ListParagraph"/>
        <w:numPr>
          <w:ilvl w:val="0"/>
          <w:numId w:val="17"/>
        </w:numPr>
        <w:spacing w:after="0" w:line="240" w:lineRule="auto"/>
        <w:rPr>
          <w:rFonts w:ascii="Arial" w:hAnsi="Arial" w:cs="Arial"/>
        </w:rPr>
      </w:pPr>
      <w:r w:rsidRPr="00575564">
        <w:rPr>
          <w:rFonts w:ascii="Arial" w:hAnsi="Arial" w:cs="Arial"/>
        </w:rPr>
        <w:t>Unusual body sensations scare me.</w:t>
      </w:r>
    </w:p>
    <w:p w14:paraId="56B3423F" w14:textId="77777777" w:rsidR="009C3C86" w:rsidRPr="00575564" w:rsidRDefault="009C3C86" w:rsidP="009C3C86">
      <w:pPr>
        <w:pStyle w:val="ListParagraph"/>
        <w:numPr>
          <w:ilvl w:val="0"/>
          <w:numId w:val="17"/>
        </w:numPr>
        <w:spacing w:after="0" w:line="240" w:lineRule="auto"/>
        <w:rPr>
          <w:rFonts w:ascii="Arial" w:hAnsi="Arial" w:cs="Arial"/>
        </w:rPr>
      </w:pPr>
      <w:r w:rsidRPr="00575564">
        <w:rPr>
          <w:rFonts w:ascii="Arial" w:hAnsi="Arial" w:cs="Arial"/>
        </w:rPr>
        <w:t>When I am nervous, I worry that I might be mentally ill.</w:t>
      </w:r>
    </w:p>
    <w:p w14:paraId="36015224" w14:textId="77777777" w:rsidR="009C3C86" w:rsidRPr="00575564" w:rsidRDefault="009C3C86" w:rsidP="009C3C86">
      <w:pPr>
        <w:pStyle w:val="ListParagraph"/>
        <w:numPr>
          <w:ilvl w:val="0"/>
          <w:numId w:val="17"/>
        </w:numPr>
        <w:spacing w:after="0" w:line="240" w:lineRule="auto"/>
        <w:rPr>
          <w:rFonts w:ascii="Arial" w:hAnsi="Arial" w:cs="Arial"/>
        </w:rPr>
      </w:pPr>
      <w:r w:rsidRPr="00575564">
        <w:rPr>
          <w:rFonts w:ascii="Arial" w:hAnsi="Arial" w:cs="Arial"/>
        </w:rPr>
        <w:t>It scares me when I am nervous.</w:t>
      </w:r>
    </w:p>
    <w:p w14:paraId="6BB8EE17" w14:textId="77777777" w:rsidR="009C3C86" w:rsidRPr="00575564" w:rsidRDefault="009C3C86" w:rsidP="009C3C86">
      <w:pPr>
        <w:rPr>
          <w:rFonts w:ascii="Arial" w:hAnsi="Arial" w:cs="Arial"/>
        </w:rPr>
      </w:pPr>
    </w:p>
    <w:p w14:paraId="3092DF58" w14:textId="77777777" w:rsidR="009C3C86" w:rsidRPr="00575564" w:rsidRDefault="009C3C86" w:rsidP="009C3C86">
      <w:pPr>
        <w:jc w:val="center"/>
        <w:rPr>
          <w:rFonts w:ascii="Arial" w:hAnsi="Arial" w:cs="Arial"/>
          <w:u w:val="single"/>
        </w:rPr>
      </w:pPr>
      <w:r w:rsidRPr="00575564">
        <w:rPr>
          <w:rFonts w:ascii="Arial" w:hAnsi="Arial" w:cs="Arial"/>
          <w:u w:val="single"/>
        </w:rPr>
        <w:t xml:space="preserve">Patient Health Questionnaire 9 (PHQ-9) </w:t>
      </w:r>
    </w:p>
    <w:p w14:paraId="0D8EF788" w14:textId="77777777" w:rsidR="009C3C86" w:rsidRPr="00575564" w:rsidRDefault="009C3C86" w:rsidP="009C3C86">
      <w:pPr>
        <w:jc w:val="center"/>
        <w:rPr>
          <w:rFonts w:ascii="Arial" w:hAnsi="Arial" w:cs="Arial"/>
        </w:rPr>
      </w:pPr>
      <w:r w:rsidRPr="00575564">
        <w:rPr>
          <w:rFonts w:ascii="Arial" w:hAnsi="Arial" w:cs="Arial"/>
        </w:rPr>
        <w:t>(responding with not at all, several days, more than half the days, nearly every day)</w:t>
      </w:r>
    </w:p>
    <w:p w14:paraId="40BAD79A" w14:textId="77777777" w:rsidR="009C3C86" w:rsidRPr="00575564" w:rsidRDefault="009C3C86" w:rsidP="009C3C86">
      <w:pPr>
        <w:jc w:val="center"/>
        <w:rPr>
          <w:rFonts w:ascii="Arial" w:hAnsi="Arial" w:cs="Arial"/>
        </w:rPr>
      </w:pPr>
      <w:r w:rsidRPr="00575564">
        <w:rPr>
          <w:rFonts w:ascii="Arial" w:hAnsi="Arial" w:cs="Arial"/>
        </w:rPr>
        <w:t>How often have they been bothered by the following over the past 2 weeks? By:</w:t>
      </w:r>
    </w:p>
    <w:p w14:paraId="5AEDF574" w14:textId="77777777" w:rsidR="009C3C86" w:rsidRPr="00575564" w:rsidRDefault="009C3C86" w:rsidP="009C3C86">
      <w:pPr>
        <w:pStyle w:val="ListParagraph"/>
        <w:numPr>
          <w:ilvl w:val="0"/>
          <w:numId w:val="18"/>
        </w:numPr>
        <w:spacing w:after="0" w:line="240" w:lineRule="auto"/>
        <w:rPr>
          <w:rFonts w:ascii="Arial" w:hAnsi="Arial" w:cs="Arial"/>
        </w:rPr>
      </w:pPr>
      <w:r w:rsidRPr="00575564">
        <w:rPr>
          <w:rFonts w:ascii="Arial" w:hAnsi="Arial" w:cs="Arial"/>
        </w:rPr>
        <w:t>Little interest or pleasure in doing things</w:t>
      </w:r>
    </w:p>
    <w:p w14:paraId="75EE3A0E" w14:textId="77777777" w:rsidR="009C3C86" w:rsidRPr="00575564" w:rsidRDefault="009C3C86" w:rsidP="009C3C86">
      <w:pPr>
        <w:pStyle w:val="ListParagraph"/>
        <w:numPr>
          <w:ilvl w:val="0"/>
          <w:numId w:val="18"/>
        </w:numPr>
        <w:spacing w:after="0" w:line="240" w:lineRule="auto"/>
        <w:rPr>
          <w:rFonts w:ascii="Arial" w:hAnsi="Arial" w:cs="Arial"/>
        </w:rPr>
      </w:pPr>
      <w:r w:rsidRPr="00575564">
        <w:rPr>
          <w:rFonts w:ascii="Arial" w:hAnsi="Arial" w:cs="Arial"/>
        </w:rPr>
        <w:t>Feeling, down, depressed, or hopeless</w:t>
      </w:r>
    </w:p>
    <w:p w14:paraId="4F361FE6" w14:textId="77777777" w:rsidR="009C3C86" w:rsidRPr="00575564" w:rsidRDefault="009C3C86" w:rsidP="009C3C86">
      <w:pPr>
        <w:pStyle w:val="ListParagraph"/>
        <w:numPr>
          <w:ilvl w:val="0"/>
          <w:numId w:val="18"/>
        </w:numPr>
        <w:spacing w:after="0" w:line="240" w:lineRule="auto"/>
        <w:rPr>
          <w:rFonts w:ascii="Arial" w:hAnsi="Arial" w:cs="Arial"/>
        </w:rPr>
      </w:pPr>
      <w:r w:rsidRPr="00575564">
        <w:rPr>
          <w:rFonts w:ascii="Arial" w:hAnsi="Arial" w:cs="Arial"/>
        </w:rPr>
        <w:t>Trouble falling asleep, staying asleep, or sleeping too much</w:t>
      </w:r>
    </w:p>
    <w:p w14:paraId="6A729B49" w14:textId="77777777" w:rsidR="009C3C86" w:rsidRPr="00575564" w:rsidRDefault="009C3C86" w:rsidP="009C3C86">
      <w:pPr>
        <w:pStyle w:val="ListParagraph"/>
        <w:numPr>
          <w:ilvl w:val="0"/>
          <w:numId w:val="18"/>
        </w:numPr>
        <w:spacing w:after="0" w:line="240" w:lineRule="auto"/>
        <w:rPr>
          <w:rFonts w:ascii="Arial" w:hAnsi="Arial" w:cs="Arial"/>
        </w:rPr>
      </w:pPr>
      <w:r w:rsidRPr="00575564">
        <w:rPr>
          <w:rFonts w:ascii="Arial" w:hAnsi="Arial" w:cs="Arial"/>
        </w:rPr>
        <w:t>Feeling tired or having little energy</w:t>
      </w:r>
    </w:p>
    <w:p w14:paraId="49BC2C77" w14:textId="77777777" w:rsidR="009C3C86" w:rsidRPr="00575564" w:rsidRDefault="009C3C86" w:rsidP="009C3C86">
      <w:pPr>
        <w:pStyle w:val="ListParagraph"/>
        <w:numPr>
          <w:ilvl w:val="0"/>
          <w:numId w:val="18"/>
        </w:numPr>
        <w:spacing w:after="0" w:line="240" w:lineRule="auto"/>
        <w:rPr>
          <w:rFonts w:ascii="Arial" w:hAnsi="Arial" w:cs="Arial"/>
        </w:rPr>
      </w:pPr>
      <w:r w:rsidRPr="00575564">
        <w:rPr>
          <w:rFonts w:ascii="Arial" w:hAnsi="Arial" w:cs="Arial"/>
        </w:rPr>
        <w:t>Poor appetite or over-eating?</w:t>
      </w:r>
    </w:p>
    <w:p w14:paraId="5302AF1D" w14:textId="77777777" w:rsidR="009C3C86" w:rsidRPr="00575564" w:rsidRDefault="009C3C86" w:rsidP="009C3C86">
      <w:pPr>
        <w:pStyle w:val="ListParagraph"/>
        <w:numPr>
          <w:ilvl w:val="0"/>
          <w:numId w:val="18"/>
        </w:numPr>
        <w:spacing w:after="0" w:line="240" w:lineRule="auto"/>
        <w:rPr>
          <w:rFonts w:ascii="Arial" w:hAnsi="Arial" w:cs="Arial"/>
        </w:rPr>
      </w:pPr>
      <w:r w:rsidRPr="00575564">
        <w:rPr>
          <w:rFonts w:ascii="Arial" w:hAnsi="Arial" w:cs="Arial"/>
        </w:rPr>
        <w:t>Feeling bad about yourself — or that you are a failure or have let yourself or your family down?</w:t>
      </w:r>
    </w:p>
    <w:p w14:paraId="2904DC3B" w14:textId="77777777" w:rsidR="009C3C86" w:rsidRPr="00575564" w:rsidRDefault="009C3C86" w:rsidP="009C3C86">
      <w:pPr>
        <w:pStyle w:val="ListParagraph"/>
        <w:numPr>
          <w:ilvl w:val="0"/>
          <w:numId w:val="18"/>
        </w:numPr>
        <w:spacing w:after="0" w:line="240" w:lineRule="auto"/>
        <w:rPr>
          <w:rFonts w:ascii="Arial" w:hAnsi="Arial" w:cs="Arial"/>
        </w:rPr>
      </w:pPr>
      <w:r w:rsidRPr="00575564">
        <w:rPr>
          <w:rFonts w:ascii="Arial" w:hAnsi="Arial" w:cs="Arial"/>
        </w:rPr>
        <w:t>Trouble concentrating on things, such as reading the newspaper or watching television?</w:t>
      </w:r>
    </w:p>
    <w:p w14:paraId="3A817E1A" w14:textId="77777777" w:rsidR="009C3C86" w:rsidRPr="00575564" w:rsidRDefault="009C3C86" w:rsidP="009C3C86">
      <w:pPr>
        <w:pStyle w:val="ListParagraph"/>
        <w:numPr>
          <w:ilvl w:val="0"/>
          <w:numId w:val="18"/>
        </w:numPr>
        <w:spacing w:after="0" w:line="240" w:lineRule="auto"/>
        <w:rPr>
          <w:rFonts w:ascii="Arial" w:hAnsi="Arial" w:cs="Arial"/>
        </w:rPr>
      </w:pPr>
      <w:r w:rsidRPr="00575564">
        <w:rPr>
          <w:rFonts w:ascii="Arial" w:hAnsi="Arial" w:cs="Arial"/>
        </w:rPr>
        <w:t>Moving or speaking so slowly that other people could have noticed? Or so fidgety or restless that you have been moving a lot more than usual?</w:t>
      </w:r>
    </w:p>
    <w:p w14:paraId="14CF8DE7" w14:textId="77777777" w:rsidR="009C3C86" w:rsidRPr="00575564" w:rsidRDefault="009C3C86" w:rsidP="009C3C86">
      <w:pPr>
        <w:pStyle w:val="ListParagraph"/>
        <w:numPr>
          <w:ilvl w:val="0"/>
          <w:numId w:val="18"/>
        </w:numPr>
        <w:spacing w:after="0" w:line="240" w:lineRule="auto"/>
        <w:rPr>
          <w:rFonts w:ascii="Arial" w:hAnsi="Arial" w:cs="Arial"/>
        </w:rPr>
      </w:pPr>
      <w:r w:rsidRPr="00575564">
        <w:rPr>
          <w:rFonts w:ascii="Arial" w:hAnsi="Arial" w:cs="Arial"/>
        </w:rPr>
        <w:t>Thoughts that you would be better off dead, or thoughts of hurting yourself in some way?</w:t>
      </w:r>
    </w:p>
    <w:p w14:paraId="7983A451" w14:textId="77777777" w:rsidR="009C3C86" w:rsidRPr="00575564" w:rsidRDefault="009C3C86" w:rsidP="009C3C86">
      <w:pPr>
        <w:jc w:val="center"/>
        <w:rPr>
          <w:rFonts w:ascii="Arial" w:hAnsi="Arial" w:cs="Arial"/>
          <w:u w:val="single"/>
        </w:rPr>
      </w:pPr>
    </w:p>
    <w:p w14:paraId="4A43A99E" w14:textId="77777777" w:rsidR="009C3C86" w:rsidRPr="00575564" w:rsidRDefault="009C3C86" w:rsidP="009C3C86">
      <w:pPr>
        <w:jc w:val="center"/>
        <w:rPr>
          <w:rFonts w:ascii="Arial" w:hAnsi="Arial" w:cs="Arial"/>
          <w:u w:val="single"/>
        </w:rPr>
      </w:pPr>
      <w:r w:rsidRPr="00575564">
        <w:rPr>
          <w:rFonts w:ascii="Arial" w:hAnsi="Arial" w:cs="Arial"/>
          <w:u w:val="single"/>
        </w:rPr>
        <w:t xml:space="preserve">Generalized Anxiety Disorder Questionnaire (GAD-7) </w:t>
      </w:r>
    </w:p>
    <w:p w14:paraId="20CEE559" w14:textId="77777777" w:rsidR="009C3C86" w:rsidRPr="00575564" w:rsidRDefault="009C3C86" w:rsidP="009C3C86">
      <w:pPr>
        <w:jc w:val="center"/>
        <w:rPr>
          <w:rFonts w:ascii="Arial" w:hAnsi="Arial" w:cs="Arial"/>
        </w:rPr>
      </w:pPr>
      <w:r w:rsidRPr="00575564">
        <w:rPr>
          <w:rFonts w:ascii="Arial" w:hAnsi="Arial" w:cs="Arial"/>
        </w:rPr>
        <w:t>(responding with – not at all, several days, more than half the days, nearly every day)</w:t>
      </w:r>
    </w:p>
    <w:p w14:paraId="3C413DBB" w14:textId="77777777" w:rsidR="009C3C86" w:rsidRPr="00575564" w:rsidRDefault="009C3C86" w:rsidP="009C3C86">
      <w:pPr>
        <w:jc w:val="center"/>
        <w:rPr>
          <w:rFonts w:ascii="Arial" w:hAnsi="Arial" w:cs="Arial"/>
        </w:rPr>
      </w:pPr>
      <w:r w:rsidRPr="00575564">
        <w:rPr>
          <w:rFonts w:ascii="Arial" w:hAnsi="Arial" w:cs="Arial"/>
        </w:rPr>
        <w:t>Over the last 2 weeks, how often have you been bothered</w:t>
      </w:r>
    </w:p>
    <w:p w14:paraId="2DEA03D4" w14:textId="77777777" w:rsidR="009C3C86" w:rsidRPr="00575564" w:rsidRDefault="009C3C86" w:rsidP="009C3C86">
      <w:pPr>
        <w:jc w:val="center"/>
        <w:rPr>
          <w:rFonts w:ascii="Arial" w:hAnsi="Arial" w:cs="Arial"/>
        </w:rPr>
      </w:pPr>
      <w:r w:rsidRPr="00575564">
        <w:rPr>
          <w:rFonts w:ascii="Arial" w:hAnsi="Arial" w:cs="Arial"/>
        </w:rPr>
        <w:t>by any of the following problems?</w:t>
      </w:r>
    </w:p>
    <w:p w14:paraId="05A1AE24" w14:textId="77777777" w:rsidR="009C3C86" w:rsidRPr="00575564" w:rsidRDefault="009C3C86" w:rsidP="009C3C86">
      <w:pPr>
        <w:rPr>
          <w:rFonts w:ascii="Arial" w:hAnsi="Arial" w:cs="Arial"/>
        </w:rPr>
      </w:pPr>
    </w:p>
    <w:p w14:paraId="26A2518E" w14:textId="77777777" w:rsidR="009C3C86" w:rsidRPr="00575564" w:rsidRDefault="009C3C86" w:rsidP="009C3C86">
      <w:pPr>
        <w:pStyle w:val="ListParagraph"/>
        <w:numPr>
          <w:ilvl w:val="0"/>
          <w:numId w:val="19"/>
        </w:numPr>
        <w:spacing w:after="0" w:line="240" w:lineRule="auto"/>
        <w:rPr>
          <w:rFonts w:ascii="Arial" w:hAnsi="Arial" w:cs="Arial"/>
        </w:rPr>
      </w:pPr>
      <w:r w:rsidRPr="00575564">
        <w:rPr>
          <w:rFonts w:ascii="Arial" w:hAnsi="Arial" w:cs="Arial"/>
        </w:rPr>
        <w:t>Feeling nervous, anxious or on edge?</w:t>
      </w:r>
    </w:p>
    <w:p w14:paraId="3C1F6A16" w14:textId="77777777" w:rsidR="009C3C86" w:rsidRPr="00575564" w:rsidRDefault="009C3C86" w:rsidP="009C3C86">
      <w:pPr>
        <w:pStyle w:val="ListParagraph"/>
        <w:numPr>
          <w:ilvl w:val="0"/>
          <w:numId w:val="19"/>
        </w:numPr>
        <w:spacing w:after="0" w:line="240" w:lineRule="auto"/>
        <w:rPr>
          <w:rFonts w:ascii="Arial" w:hAnsi="Arial" w:cs="Arial"/>
        </w:rPr>
      </w:pPr>
      <w:r w:rsidRPr="00575564">
        <w:rPr>
          <w:rFonts w:ascii="Arial" w:hAnsi="Arial" w:cs="Arial"/>
        </w:rPr>
        <w:t>Not being able to stop or control worrying?</w:t>
      </w:r>
    </w:p>
    <w:p w14:paraId="1C359BFF" w14:textId="77777777" w:rsidR="009C3C86" w:rsidRPr="00575564" w:rsidRDefault="009C3C86" w:rsidP="009C3C86">
      <w:pPr>
        <w:pStyle w:val="ListParagraph"/>
        <w:numPr>
          <w:ilvl w:val="0"/>
          <w:numId w:val="19"/>
        </w:numPr>
        <w:spacing w:after="0" w:line="240" w:lineRule="auto"/>
        <w:rPr>
          <w:rFonts w:ascii="Arial" w:hAnsi="Arial" w:cs="Arial"/>
        </w:rPr>
      </w:pPr>
      <w:r w:rsidRPr="00575564">
        <w:rPr>
          <w:rFonts w:ascii="Arial" w:hAnsi="Arial" w:cs="Arial"/>
        </w:rPr>
        <w:t>Worrying too much about different things?</w:t>
      </w:r>
    </w:p>
    <w:p w14:paraId="4FAE3C7C" w14:textId="77777777" w:rsidR="009C3C86" w:rsidRPr="00575564" w:rsidRDefault="009C3C86" w:rsidP="009C3C86">
      <w:pPr>
        <w:pStyle w:val="ListParagraph"/>
        <w:numPr>
          <w:ilvl w:val="0"/>
          <w:numId w:val="19"/>
        </w:numPr>
        <w:spacing w:after="0" w:line="240" w:lineRule="auto"/>
        <w:rPr>
          <w:rFonts w:ascii="Arial" w:hAnsi="Arial" w:cs="Arial"/>
        </w:rPr>
      </w:pPr>
      <w:r w:rsidRPr="00575564">
        <w:rPr>
          <w:rFonts w:ascii="Arial" w:hAnsi="Arial" w:cs="Arial"/>
        </w:rPr>
        <w:t>Trouble relaxing?</w:t>
      </w:r>
    </w:p>
    <w:p w14:paraId="6A533963" w14:textId="77777777" w:rsidR="009C3C86" w:rsidRPr="00575564" w:rsidRDefault="009C3C86" w:rsidP="009C3C86">
      <w:pPr>
        <w:pStyle w:val="ListParagraph"/>
        <w:numPr>
          <w:ilvl w:val="0"/>
          <w:numId w:val="19"/>
        </w:numPr>
        <w:spacing w:after="0" w:line="240" w:lineRule="auto"/>
        <w:rPr>
          <w:rFonts w:ascii="Arial" w:hAnsi="Arial" w:cs="Arial"/>
        </w:rPr>
      </w:pPr>
      <w:r w:rsidRPr="00575564">
        <w:rPr>
          <w:rFonts w:ascii="Arial" w:hAnsi="Arial" w:cs="Arial"/>
        </w:rPr>
        <w:t>Being so restless that it is hard to sit still?</w:t>
      </w:r>
    </w:p>
    <w:p w14:paraId="15CD6ABA" w14:textId="77777777" w:rsidR="009C3C86" w:rsidRPr="00575564" w:rsidRDefault="009C3C86" w:rsidP="009C3C86">
      <w:pPr>
        <w:pStyle w:val="ListParagraph"/>
        <w:numPr>
          <w:ilvl w:val="0"/>
          <w:numId w:val="19"/>
        </w:numPr>
        <w:spacing w:after="0" w:line="240" w:lineRule="auto"/>
        <w:rPr>
          <w:rFonts w:ascii="Arial" w:hAnsi="Arial" w:cs="Arial"/>
        </w:rPr>
      </w:pPr>
      <w:r w:rsidRPr="00575564">
        <w:rPr>
          <w:rFonts w:ascii="Arial" w:hAnsi="Arial" w:cs="Arial"/>
        </w:rPr>
        <w:t>Becoming easily annoyed or irritable?</w:t>
      </w:r>
    </w:p>
    <w:p w14:paraId="04841A4C" w14:textId="77777777" w:rsidR="009C3C86" w:rsidRPr="00092EB7" w:rsidRDefault="009C3C86" w:rsidP="009C3C86">
      <w:pPr>
        <w:pStyle w:val="ListParagraph"/>
        <w:numPr>
          <w:ilvl w:val="0"/>
          <w:numId w:val="19"/>
        </w:numPr>
        <w:spacing w:after="0" w:line="240" w:lineRule="auto"/>
        <w:rPr>
          <w:rFonts w:ascii="Arial" w:hAnsi="Arial" w:cs="Arial"/>
        </w:rPr>
      </w:pPr>
      <w:r w:rsidRPr="00092EB7">
        <w:rPr>
          <w:rFonts w:ascii="Arial" w:hAnsi="Arial" w:cs="Arial"/>
        </w:rPr>
        <w:t>Feeling afraid as if something awful might happen?</w:t>
      </w:r>
    </w:p>
    <w:p w14:paraId="5AF175FA" w14:textId="079773D3" w:rsidR="009C3C86" w:rsidRDefault="009C3C86" w:rsidP="00027769">
      <w:pPr>
        <w:pStyle w:val="Heading1"/>
      </w:pPr>
      <w:bookmarkStart w:id="190" w:name="_Toc133487853"/>
      <w:r>
        <w:rPr>
          <w:noProof/>
          <w:lang w:eastAsia="en-GB"/>
        </w:rPr>
        <w:lastRenderedPageBreak/>
        <w:drawing>
          <wp:anchor distT="0" distB="0" distL="114300" distR="114300" simplePos="0" relativeHeight="251684864" behindDoc="0" locked="0" layoutInCell="1" allowOverlap="1" wp14:anchorId="0B5F6451" wp14:editId="2DFAEA6C">
            <wp:simplePos x="0" y="0"/>
            <wp:positionH relativeFrom="margin">
              <wp:posOffset>-830483</wp:posOffset>
            </wp:positionH>
            <wp:positionV relativeFrom="page">
              <wp:posOffset>77177</wp:posOffset>
            </wp:positionV>
            <wp:extent cx="1130935" cy="10350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130935" cy="1035050"/>
                    </a:xfrm>
                    <a:prstGeom prst="rect">
                      <a:avLst/>
                    </a:prstGeom>
                    <a:noFill/>
                  </pic:spPr>
                </pic:pic>
              </a:graphicData>
            </a:graphic>
            <wp14:sizeRelH relativeFrom="page">
              <wp14:pctWidth>0</wp14:pctWidth>
            </wp14:sizeRelH>
            <wp14:sizeRelV relativeFrom="page">
              <wp14:pctHeight>0</wp14:pctHeight>
            </wp14:sizeRelV>
          </wp:anchor>
        </w:drawing>
      </w:r>
      <w:r w:rsidRPr="00575564">
        <w:t>Appendix I</w:t>
      </w:r>
      <w:bookmarkEnd w:id="190"/>
    </w:p>
    <w:p w14:paraId="7C47E3A4" w14:textId="4C8927A9" w:rsidR="009C3C86" w:rsidRPr="00A53770" w:rsidRDefault="00FA1AA6" w:rsidP="00FA1AA6">
      <w:pPr>
        <w:ind w:left="3600"/>
        <w:rPr>
          <w:b/>
        </w:rPr>
      </w:pPr>
      <w:bookmarkStart w:id="191" w:name="_Toc133144221"/>
      <w:r>
        <w:rPr>
          <w:b/>
        </w:rPr>
        <w:t xml:space="preserve">            </w:t>
      </w:r>
      <w:r w:rsidR="009C3C86" w:rsidRPr="00A53770">
        <w:rPr>
          <w:b/>
        </w:rPr>
        <w:t>Debrief Form</w:t>
      </w:r>
      <w:bookmarkEnd w:id="191"/>
    </w:p>
    <w:p w14:paraId="6CF4F307" w14:textId="77777777" w:rsidR="009C3C86" w:rsidRDefault="009C3C86" w:rsidP="009C3C86">
      <w:pPr>
        <w:spacing w:before="240"/>
        <w:ind w:left="-567" w:right="-613"/>
        <w:jc w:val="center"/>
        <w:rPr>
          <w:rFonts w:ascii="Arial" w:hAnsi="Arial" w:cs="Arial"/>
          <w:b/>
          <w:sz w:val="28"/>
          <w:szCs w:val="28"/>
        </w:rPr>
      </w:pPr>
      <w:r>
        <w:rPr>
          <w:rFonts w:ascii="Arial" w:hAnsi="Arial" w:cs="Arial"/>
          <w:b/>
          <w:sz w:val="28"/>
          <w:szCs w:val="28"/>
        </w:rPr>
        <w:t>Intolerance of Uncertainty and Anxiety Sensitivity in Seizure Conditions</w:t>
      </w:r>
    </w:p>
    <w:p w14:paraId="0C1C357A" w14:textId="77777777" w:rsidR="009C3C86" w:rsidRDefault="009C3C86" w:rsidP="009C3C86">
      <w:pPr>
        <w:spacing w:before="240"/>
        <w:ind w:left="-567" w:right="-613"/>
        <w:jc w:val="center"/>
        <w:rPr>
          <w:rFonts w:ascii="Arial" w:hAnsi="Arial" w:cs="Arial"/>
          <w:b/>
          <w:sz w:val="28"/>
          <w:szCs w:val="28"/>
        </w:rPr>
      </w:pPr>
      <w:r>
        <w:rPr>
          <w:rFonts w:ascii="Arial" w:hAnsi="Arial" w:cs="Arial"/>
          <w:b/>
          <w:sz w:val="28"/>
          <w:szCs w:val="28"/>
        </w:rPr>
        <w:t>Debriefing Form</w:t>
      </w:r>
    </w:p>
    <w:p w14:paraId="313C4C62" w14:textId="77777777" w:rsidR="009C3C86" w:rsidRDefault="009C3C86" w:rsidP="009C3C86">
      <w:pPr>
        <w:ind w:firstLine="720"/>
        <w:jc w:val="both"/>
        <w:rPr>
          <w:rFonts w:ascii="Arial" w:hAnsi="Arial" w:cs="Arial"/>
          <w:b/>
        </w:rPr>
      </w:pPr>
      <w:r>
        <w:rPr>
          <w:rFonts w:ascii="Arial" w:hAnsi="Arial" w:cs="Arial"/>
          <w:b/>
        </w:rPr>
        <w:t>(Debrief Form, Version 2.0, 02/12/2022, IRAS ID.</w:t>
      </w:r>
      <w:r w:rsidRPr="00D2716F">
        <w:rPr>
          <w:rFonts w:ascii="Arial" w:hAnsi="Arial" w:cs="Arial"/>
          <w:b/>
        </w:rPr>
        <w:t xml:space="preserve"> </w:t>
      </w:r>
      <w:r w:rsidRPr="00FA550F">
        <w:rPr>
          <w:rFonts w:ascii="Arial" w:hAnsi="Arial" w:cs="Arial"/>
          <w:b/>
        </w:rPr>
        <w:t>316771</w:t>
      </w:r>
      <w:r>
        <w:rPr>
          <w:rFonts w:ascii="Arial" w:hAnsi="Arial" w:cs="Arial"/>
          <w:b/>
        </w:rPr>
        <w:t>)</w:t>
      </w:r>
    </w:p>
    <w:p w14:paraId="714B14E1" w14:textId="77777777" w:rsidR="009C3C86" w:rsidRPr="00ED3EE9" w:rsidRDefault="009C3C86" w:rsidP="00027769"/>
    <w:p w14:paraId="686CEE4D" w14:textId="77777777" w:rsidR="009C3C86" w:rsidRPr="00463315" w:rsidRDefault="009C3C86" w:rsidP="00027769">
      <w:bookmarkStart w:id="192" w:name="_Toc133141564"/>
      <w:bookmarkStart w:id="193" w:name="_Toc133144222"/>
      <w:r>
        <w:t>Thank you for taking the time to participate in this research.  Please now read the following information to complete your participation.</w:t>
      </w:r>
      <w:bookmarkEnd w:id="192"/>
      <w:bookmarkEnd w:id="193"/>
    </w:p>
    <w:p w14:paraId="35FEF5D6" w14:textId="77777777" w:rsidR="009C3C86" w:rsidRDefault="009C3C86" w:rsidP="00027769"/>
    <w:p w14:paraId="1129E1DF" w14:textId="77777777" w:rsidR="009C3C86" w:rsidRPr="00463315" w:rsidRDefault="009C3C86" w:rsidP="009C3C86">
      <w:pPr>
        <w:shd w:val="clear" w:color="auto" w:fill="FFFFFF"/>
        <w:spacing w:line="360" w:lineRule="atLeast"/>
        <w:rPr>
          <w:rFonts w:ascii="Arial" w:eastAsia="Times New Roman" w:hAnsi="Arial" w:cs="Arial"/>
          <w:color w:val="333333"/>
          <w:sz w:val="19"/>
          <w:szCs w:val="19"/>
          <w:lang w:eastAsia="en-GB"/>
        </w:rPr>
      </w:pPr>
    </w:p>
    <w:p w14:paraId="0ECAD44C" w14:textId="77777777" w:rsidR="009C3C86" w:rsidRDefault="009C3C86" w:rsidP="009C3C86">
      <w:pPr>
        <w:numPr>
          <w:ilvl w:val="0"/>
          <w:numId w:val="10"/>
        </w:numPr>
        <w:shd w:val="clear" w:color="auto" w:fill="FFFFFF"/>
        <w:spacing w:after="0" w:line="360" w:lineRule="atLeast"/>
        <w:ind w:left="0"/>
        <w:rPr>
          <w:rFonts w:ascii="Arial" w:eastAsia="Times New Roman" w:hAnsi="Arial" w:cs="Arial"/>
          <w:color w:val="333333"/>
          <w:sz w:val="19"/>
          <w:szCs w:val="19"/>
          <w:lang w:eastAsia="en-GB"/>
        </w:rPr>
      </w:pPr>
      <w:r w:rsidRPr="00463315">
        <w:rPr>
          <w:rFonts w:ascii="Arial" w:eastAsia="Times New Roman" w:hAnsi="Arial" w:cs="Arial"/>
          <w:color w:val="333333"/>
          <w:sz w:val="19"/>
          <w:szCs w:val="19"/>
          <w:lang w:eastAsia="en-GB"/>
        </w:rPr>
        <w:t>How can I contact the researcher if I have any further questions or if, for any reason, I wish to withdraw my data once</w:t>
      </w:r>
      <w:r>
        <w:rPr>
          <w:rFonts w:ascii="Arial" w:eastAsia="Times New Roman" w:hAnsi="Arial" w:cs="Arial"/>
          <w:color w:val="333333"/>
          <w:sz w:val="19"/>
          <w:szCs w:val="19"/>
          <w:lang w:eastAsia="en-GB"/>
        </w:rPr>
        <w:t xml:space="preserve"> I have left? </w:t>
      </w:r>
    </w:p>
    <w:p w14:paraId="163F2880" w14:textId="77777777" w:rsidR="009C3C86" w:rsidRPr="00C225C5" w:rsidRDefault="009C3C86" w:rsidP="009C3C86">
      <w:pPr>
        <w:shd w:val="clear" w:color="auto" w:fill="FFFFFF"/>
        <w:spacing w:line="360" w:lineRule="atLeast"/>
        <w:rPr>
          <w:rFonts w:ascii="Arial" w:eastAsia="Times New Roman" w:hAnsi="Arial" w:cs="Arial"/>
          <w:color w:val="333333"/>
          <w:sz w:val="19"/>
          <w:szCs w:val="19"/>
          <w:lang w:eastAsia="en-GB"/>
        </w:rPr>
      </w:pPr>
      <w:r w:rsidRPr="00C225C5">
        <w:rPr>
          <w:rFonts w:ascii="Arial" w:eastAsia="Times New Roman" w:hAnsi="Arial" w:cs="Arial"/>
          <w:color w:val="333333"/>
          <w:sz w:val="19"/>
          <w:szCs w:val="19"/>
          <w:lang w:eastAsia="en-GB"/>
        </w:rPr>
        <w:t>Data can be withdrawn up until two weeks after completing the questionnaires.</w:t>
      </w:r>
    </w:p>
    <w:p w14:paraId="10017585" w14:textId="77777777" w:rsidR="009C3C86" w:rsidRDefault="009C3C86" w:rsidP="009C3C86">
      <w:pPr>
        <w:shd w:val="clear" w:color="auto" w:fill="FFFFFF"/>
        <w:spacing w:line="360" w:lineRule="atLeast"/>
        <w:rPr>
          <w:rFonts w:ascii="Arial" w:eastAsia="Times New Roman" w:hAnsi="Arial" w:cs="Arial"/>
          <w:color w:val="333333"/>
          <w:sz w:val="19"/>
          <w:szCs w:val="19"/>
          <w:lang w:eastAsia="en-GB"/>
        </w:rPr>
      </w:pPr>
      <w:r>
        <w:rPr>
          <w:rFonts w:ascii="Arial" w:eastAsia="Times New Roman" w:hAnsi="Arial" w:cs="Arial"/>
          <w:color w:val="333333"/>
          <w:sz w:val="19"/>
          <w:szCs w:val="19"/>
          <w:lang w:eastAsia="en-GB"/>
        </w:rPr>
        <w:t>Please contact the researcher and provide them with your unique identifier code:</w:t>
      </w:r>
    </w:p>
    <w:p w14:paraId="23061994" w14:textId="77777777" w:rsidR="009C3C86" w:rsidRPr="005A690B" w:rsidRDefault="009C3C86" w:rsidP="009C3C86">
      <w:pPr>
        <w:shd w:val="clear" w:color="auto" w:fill="FFFFFF"/>
        <w:spacing w:line="360" w:lineRule="atLeast"/>
        <w:rPr>
          <w:rFonts w:ascii="Arial" w:eastAsia="Times New Roman" w:hAnsi="Arial" w:cs="Arial"/>
          <w:color w:val="0000FF"/>
          <w:sz w:val="19"/>
          <w:szCs w:val="19"/>
          <w:u w:val="single"/>
          <w:lang w:eastAsia="en-GB"/>
        </w:rPr>
      </w:pPr>
      <w:r>
        <w:rPr>
          <w:rFonts w:ascii="Arial" w:eastAsia="Times New Roman" w:hAnsi="Arial" w:cs="Arial"/>
          <w:color w:val="333333"/>
          <w:sz w:val="19"/>
          <w:szCs w:val="19"/>
          <w:lang w:eastAsia="en-GB"/>
        </w:rPr>
        <w:t xml:space="preserve">Email </w:t>
      </w:r>
      <w:hyperlink r:id="rId170" w:history="1">
        <w:r w:rsidRPr="00F855DE">
          <w:rPr>
            <w:rStyle w:val="Hyperlink"/>
            <w:rFonts w:ascii="Arial" w:hAnsi="Arial" w:cs="Arial"/>
            <w:sz w:val="19"/>
            <w:szCs w:val="19"/>
            <w:highlight w:val="black"/>
            <w:lang w:eastAsia="en-GB"/>
          </w:rPr>
          <w:t>j</w:t>
        </w:r>
        <w:r w:rsidRPr="00F855DE">
          <w:rPr>
            <w:rStyle w:val="Hyperlink"/>
            <w:rFonts w:ascii="Arial" w:hAnsi="Arial" w:cs="Arial"/>
            <w:color w:val="auto"/>
            <w:sz w:val="19"/>
            <w:szCs w:val="19"/>
            <w:highlight w:val="black"/>
            <w:lang w:eastAsia="en-GB"/>
          </w:rPr>
          <w:t>ames.rowland@student.staffs.ac.uk</w:t>
        </w:r>
      </w:hyperlink>
    </w:p>
    <w:p w14:paraId="3C100753" w14:textId="77777777" w:rsidR="009C3C86" w:rsidRDefault="009C3C86" w:rsidP="009C3C86">
      <w:pPr>
        <w:shd w:val="clear" w:color="auto" w:fill="FFFFFF"/>
        <w:spacing w:line="360" w:lineRule="atLeast"/>
        <w:rPr>
          <w:rFonts w:ascii="Arial" w:eastAsia="Times New Roman" w:hAnsi="Arial" w:cs="Arial"/>
          <w:color w:val="333333"/>
          <w:sz w:val="19"/>
          <w:szCs w:val="19"/>
          <w:lang w:eastAsia="en-GB"/>
        </w:rPr>
      </w:pPr>
      <w:r>
        <w:rPr>
          <w:rFonts w:ascii="Arial" w:eastAsia="Times New Roman" w:hAnsi="Arial" w:cs="Arial"/>
          <w:color w:val="333333"/>
          <w:sz w:val="19"/>
          <w:szCs w:val="19"/>
          <w:lang w:eastAsia="en-GB"/>
        </w:rPr>
        <w:t xml:space="preserve">Telephone: </w:t>
      </w:r>
      <w:r w:rsidRPr="00F855DE">
        <w:rPr>
          <w:rFonts w:ascii="Arial" w:eastAsia="Times New Roman" w:hAnsi="Arial" w:cs="Arial"/>
          <w:sz w:val="19"/>
          <w:szCs w:val="19"/>
          <w:highlight w:val="black"/>
          <w:lang w:eastAsia="en-GB"/>
        </w:rPr>
        <w:t>07814 752 784</w:t>
      </w:r>
    </w:p>
    <w:p w14:paraId="4DF5DCB5" w14:textId="77777777" w:rsidR="009C3C86" w:rsidRDefault="009C3C86" w:rsidP="009C3C86">
      <w:pPr>
        <w:shd w:val="clear" w:color="auto" w:fill="FFFFFF"/>
        <w:spacing w:line="360" w:lineRule="atLeast"/>
        <w:rPr>
          <w:rFonts w:ascii="Arial" w:eastAsia="Times New Roman" w:hAnsi="Arial" w:cs="Arial"/>
          <w:color w:val="333333"/>
          <w:sz w:val="19"/>
          <w:szCs w:val="19"/>
          <w:lang w:eastAsia="en-GB"/>
        </w:rPr>
      </w:pPr>
    </w:p>
    <w:p w14:paraId="6C20F89F" w14:textId="77777777" w:rsidR="009C3C86" w:rsidRPr="00F855DE" w:rsidRDefault="009C3C86" w:rsidP="003C79A0">
      <w:pPr>
        <w:shd w:val="clear" w:color="auto" w:fill="FFFFFF"/>
        <w:spacing w:after="0" w:line="360" w:lineRule="atLeast"/>
        <w:rPr>
          <w:rFonts w:ascii="Arial" w:eastAsia="Times New Roman" w:hAnsi="Arial" w:cs="Arial"/>
          <w:color w:val="333333"/>
          <w:sz w:val="19"/>
          <w:szCs w:val="19"/>
          <w:highlight w:val="black"/>
          <w:lang w:eastAsia="en-GB"/>
        </w:rPr>
      </w:pPr>
      <w:r w:rsidRPr="003C79A0">
        <w:rPr>
          <w:rFonts w:ascii="Arial" w:eastAsia="Times New Roman" w:hAnsi="Arial" w:cs="Arial"/>
          <w:color w:val="333333"/>
          <w:sz w:val="19"/>
          <w:szCs w:val="19"/>
          <w:lang w:eastAsia="en-GB"/>
        </w:rPr>
        <w:t>Can I obtain</w:t>
      </w:r>
      <w:r w:rsidRPr="00463315">
        <w:rPr>
          <w:rFonts w:ascii="Arial" w:eastAsia="Times New Roman" w:hAnsi="Arial" w:cs="Arial"/>
          <w:color w:val="333333"/>
          <w:sz w:val="19"/>
          <w:szCs w:val="19"/>
          <w:lang w:eastAsia="en-GB"/>
        </w:rPr>
        <w:t xml:space="preserve"> a summary of the results of the study? </w:t>
      </w:r>
      <w:r w:rsidRPr="00463315">
        <w:rPr>
          <w:rFonts w:ascii="Arial" w:eastAsia="Times New Roman" w:hAnsi="Arial" w:cs="Arial"/>
          <w:color w:val="333333"/>
          <w:sz w:val="19"/>
          <w:szCs w:val="19"/>
          <w:lang w:eastAsia="en-GB"/>
        </w:rPr>
        <w:br/>
        <w:t>To obtain details of the re</w:t>
      </w:r>
      <w:r>
        <w:rPr>
          <w:rFonts w:ascii="Arial" w:eastAsia="Times New Roman" w:hAnsi="Arial" w:cs="Arial"/>
          <w:color w:val="333333"/>
          <w:sz w:val="19"/>
          <w:szCs w:val="19"/>
          <w:lang w:eastAsia="en-GB"/>
        </w:rPr>
        <w:t xml:space="preserve">sults contact the researcher at: </w:t>
      </w:r>
      <w:hyperlink r:id="rId171" w:history="1">
        <w:r w:rsidRPr="00F855DE">
          <w:rPr>
            <w:rStyle w:val="Hyperlink"/>
            <w:rFonts w:ascii="Arial" w:hAnsi="Arial" w:cs="Arial"/>
            <w:sz w:val="19"/>
            <w:szCs w:val="19"/>
            <w:highlight w:val="black"/>
            <w:lang w:eastAsia="en-GB"/>
          </w:rPr>
          <w:t>j</w:t>
        </w:r>
        <w:r w:rsidRPr="00F855DE">
          <w:rPr>
            <w:rStyle w:val="Hyperlink"/>
            <w:rFonts w:ascii="Arial" w:hAnsi="Arial" w:cs="Arial"/>
            <w:color w:val="auto"/>
            <w:sz w:val="19"/>
            <w:szCs w:val="19"/>
            <w:highlight w:val="black"/>
            <w:lang w:eastAsia="en-GB"/>
          </w:rPr>
          <w:t>ames.rowland@student.staffs.ac.uk</w:t>
        </w:r>
      </w:hyperlink>
    </w:p>
    <w:p w14:paraId="47EEE90B" w14:textId="77777777" w:rsidR="009C3C86" w:rsidRPr="00367CAD" w:rsidRDefault="009C3C86" w:rsidP="009C3C86">
      <w:pPr>
        <w:shd w:val="clear" w:color="auto" w:fill="FFFFFF"/>
        <w:spacing w:line="360" w:lineRule="atLeast"/>
        <w:rPr>
          <w:rFonts w:ascii="Arial" w:eastAsia="Times New Roman" w:hAnsi="Arial" w:cs="Arial"/>
          <w:color w:val="333333"/>
          <w:sz w:val="19"/>
          <w:szCs w:val="19"/>
          <w:lang w:eastAsia="en-GB"/>
        </w:rPr>
      </w:pPr>
    </w:p>
    <w:p w14:paraId="336F1972" w14:textId="77777777" w:rsidR="009C3C86" w:rsidRDefault="009C3C86" w:rsidP="009C3C86">
      <w:pPr>
        <w:numPr>
          <w:ilvl w:val="0"/>
          <w:numId w:val="10"/>
        </w:numPr>
        <w:shd w:val="clear" w:color="auto" w:fill="FFFFFF"/>
        <w:spacing w:after="0" w:line="360" w:lineRule="atLeast"/>
        <w:ind w:left="0"/>
        <w:rPr>
          <w:rFonts w:ascii="Arial" w:eastAsia="Times New Roman" w:hAnsi="Arial" w:cs="Arial"/>
          <w:color w:val="333333"/>
          <w:sz w:val="19"/>
          <w:szCs w:val="19"/>
          <w:lang w:eastAsia="en-GB"/>
        </w:rPr>
      </w:pPr>
      <w:r w:rsidRPr="00463315">
        <w:rPr>
          <w:rFonts w:ascii="Arial" w:eastAsia="Times New Roman" w:hAnsi="Arial" w:cs="Arial"/>
          <w:color w:val="333333"/>
          <w:sz w:val="19"/>
          <w:szCs w:val="19"/>
          <w:lang w:eastAsia="en-GB"/>
        </w:rPr>
        <w:t xml:space="preserve">This study has raised personal issues </w:t>
      </w:r>
      <w:r>
        <w:rPr>
          <w:rFonts w:ascii="Arial" w:eastAsia="Times New Roman" w:hAnsi="Arial" w:cs="Arial"/>
          <w:color w:val="333333"/>
          <w:sz w:val="19"/>
          <w:szCs w:val="19"/>
          <w:lang w:eastAsia="en-GB"/>
        </w:rPr>
        <w:t>or</w:t>
      </w:r>
      <w:r w:rsidRPr="00D4160A">
        <w:rPr>
          <w:rFonts w:ascii="Arial" w:eastAsia="Times New Roman" w:hAnsi="Arial" w:cs="Arial"/>
          <w:color w:val="333333"/>
          <w:sz w:val="19"/>
          <w:szCs w:val="19"/>
          <w:lang w:eastAsia="en-GB"/>
        </w:rPr>
        <w:t xml:space="preserve"> distress that I would like to address. What can I do? </w:t>
      </w:r>
    </w:p>
    <w:p w14:paraId="48300B12" w14:textId="77777777" w:rsidR="009C3C86" w:rsidRDefault="009C3C86" w:rsidP="009C3C86">
      <w:pPr>
        <w:pStyle w:val="ListParagraph"/>
        <w:rPr>
          <w:rFonts w:ascii="Arial" w:eastAsia="Times New Roman" w:hAnsi="Arial" w:cs="Arial"/>
          <w:color w:val="333333"/>
          <w:sz w:val="19"/>
          <w:szCs w:val="19"/>
          <w:lang w:eastAsia="en-GB"/>
        </w:rPr>
      </w:pPr>
    </w:p>
    <w:p w14:paraId="76259783" w14:textId="77777777" w:rsidR="009C3C86" w:rsidRPr="00C225C5" w:rsidRDefault="009C3C86" w:rsidP="009C3C86">
      <w:pPr>
        <w:shd w:val="clear" w:color="auto" w:fill="FFFFFF"/>
        <w:spacing w:line="360" w:lineRule="atLeast"/>
        <w:rPr>
          <w:rFonts w:ascii="Arial" w:eastAsia="Times New Roman" w:hAnsi="Arial" w:cs="Arial"/>
          <w:color w:val="333333"/>
          <w:sz w:val="19"/>
          <w:szCs w:val="19"/>
          <w:lang w:eastAsia="en-GB"/>
        </w:rPr>
      </w:pPr>
      <w:r>
        <w:rPr>
          <w:rFonts w:ascii="Arial" w:eastAsia="Times New Roman" w:hAnsi="Arial" w:cs="Arial"/>
          <w:color w:val="333333"/>
          <w:sz w:val="19"/>
          <w:szCs w:val="19"/>
          <w:lang w:eastAsia="en-GB"/>
        </w:rPr>
        <w:t xml:space="preserve">Please consider taking a moment to talk to someone close to you. </w:t>
      </w:r>
    </w:p>
    <w:p w14:paraId="1B3284F6" w14:textId="77777777" w:rsidR="009C3C86" w:rsidRPr="00D4160A" w:rsidRDefault="009C3C86" w:rsidP="009C3C86">
      <w:pPr>
        <w:shd w:val="clear" w:color="auto" w:fill="FFFFFF"/>
        <w:spacing w:line="360" w:lineRule="atLeast"/>
        <w:rPr>
          <w:rFonts w:ascii="Arial" w:eastAsia="Times New Roman" w:hAnsi="Arial" w:cs="Arial"/>
          <w:color w:val="333333"/>
          <w:sz w:val="19"/>
          <w:szCs w:val="19"/>
          <w:lang w:eastAsia="en-GB"/>
        </w:rPr>
      </w:pPr>
      <w:r>
        <w:rPr>
          <w:rFonts w:ascii="Arial" w:eastAsia="Times New Roman" w:hAnsi="Arial" w:cs="Arial"/>
          <w:color w:val="333333"/>
          <w:sz w:val="19"/>
          <w:szCs w:val="19"/>
          <w:lang w:eastAsia="en-GB"/>
        </w:rPr>
        <w:t>Useful online resources for supporting with distress can be found from the following links:</w:t>
      </w:r>
    </w:p>
    <w:p w14:paraId="7C239B51" w14:textId="77777777" w:rsidR="009C3C86" w:rsidRPr="00D4160A" w:rsidRDefault="009C3C86" w:rsidP="009C3C86">
      <w:pPr>
        <w:shd w:val="clear" w:color="auto" w:fill="FFFFFF"/>
        <w:spacing w:line="360" w:lineRule="atLeast"/>
        <w:rPr>
          <w:rFonts w:ascii="Arial" w:eastAsia="Times New Roman" w:hAnsi="Arial" w:cs="Arial"/>
          <w:color w:val="333333"/>
          <w:sz w:val="19"/>
          <w:szCs w:val="19"/>
          <w:lang w:eastAsia="en-GB"/>
        </w:rPr>
      </w:pPr>
      <w:r w:rsidRPr="00D4160A">
        <w:rPr>
          <w:rFonts w:ascii="Arial" w:eastAsia="Times New Roman" w:hAnsi="Arial" w:cs="Arial"/>
          <w:color w:val="333333"/>
          <w:sz w:val="19"/>
          <w:szCs w:val="19"/>
          <w:lang w:eastAsia="en-GB"/>
        </w:rPr>
        <w:t xml:space="preserve">Mind – the mental health charity. Their website includes a range of mental health resources including practical and encouraging advice for when feeling distressed. They also have supportive helplines: </w:t>
      </w:r>
      <w:r w:rsidRPr="00D4160A">
        <w:rPr>
          <w:rFonts w:ascii="Arial" w:eastAsia="Times New Roman" w:hAnsi="Arial" w:cs="Arial"/>
          <w:color w:val="333333"/>
          <w:sz w:val="19"/>
          <w:szCs w:val="19"/>
          <w:lang w:eastAsia="en-GB"/>
        </w:rPr>
        <w:tab/>
      </w:r>
      <w:r w:rsidRPr="00D4160A">
        <w:rPr>
          <w:rFonts w:ascii="Arial" w:eastAsia="Times New Roman" w:hAnsi="Arial" w:cs="Arial"/>
          <w:color w:val="333333"/>
          <w:sz w:val="19"/>
          <w:szCs w:val="19"/>
          <w:lang w:eastAsia="en-GB"/>
        </w:rPr>
        <w:tab/>
        <w:t>www.mind.org.uk</w:t>
      </w:r>
    </w:p>
    <w:p w14:paraId="7D0A7D57" w14:textId="77777777" w:rsidR="009C3C86" w:rsidRPr="00D4160A" w:rsidRDefault="009C3C86" w:rsidP="009C3C86">
      <w:pPr>
        <w:shd w:val="clear" w:color="auto" w:fill="FFFFFF"/>
        <w:spacing w:line="360" w:lineRule="atLeast"/>
        <w:rPr>
          <w:rFonts w:ascii="Arial" w:eastAsia="Times New Roman" w:hAnsi="Arial" w:cs="Arial"/>
          <w:color w:val="333333"/>
          <w:sz w:val="19"/>
          <w:szCs w:val="19"/>
          <w:lang w:eastAsia="en-GB"/>
        </w:rPr>
      </w:pPr>
    </w:p>
    <w:p w14:paraId="167769D2" w14:textId="77777777" w:rsidR="009C3C86" w:rsidRPr="00D4160A" w:rsidRDefault="009C3C86" w:rsidP="009C3C86">
      <w:pPr>
        <w:shd w:val="clear" w:color="auto" w:fill="FFFFFF"/>
        <w:spacing w:line="360" w:lineRule="atLeast"/>
        <w:rPr>
          <w:rFonts w:ascii="Arial" w:eastAsia="Times New Roman" w:hAnsi="Arial" w:cs="Arial"/>
          <w:color w:val="333333"/>
          <w:sz w:val="19"/>
          <w:szCs w:val="19"/>
          <w:lang w:eastAsia="en-GB"/>
        </w:rPr>
      </w:pPr>
      <w:r w:rsidRPr="00D4160A">
        <w:rPr>
          <w:rFonts w:ascii="Arial" w:eastAsia="Times New Roman" w:hAnsi="Arial" w:cs="Arial"/>
          <w:color w:val="333333"/>
          <w:sz w:val="19"/>
          <w:szCs w:val="19"/>
          <w:lang w:eastAsia="en-GB"/>
        </w:rPr>
        <w:t xml:space="preserve">The ACT Mindfully website includes a range of resources for helping when experiencing strong emotions including videos and podcasts: </w:t>
      </w:r>
      <w:r w:rsidRPr="00D4160A">
        <w:rPr>
          <w:rFonts w:ascii="Arial" w:eastAsia="Times New Roman" w:hAnsi="Arial" w:cs="Arial"/>
          <w:color w:val="333333"/>
          <w:sz w:val="19"/>
          <w:szCs w:val="19"/>
          <w:lang w:eastAsia="en-GB"/>
        </w:rPr>
        <w:tab/>
      </w:r>
      <w:r w:rsidRPr="00D4160A">
        <w:rPr>
          <w:rFonts w:ascii="Arial" w:eastAsia="Times New Roman" w:hAnsi="Arial" w:cs="Arial"/>
          <w:color w:val="333333"/>
          <w:sz w:val="19"/>
          <w:szCs w:val="19"/>
          <w:lang w:eastAsia="en-GB"/>
        </w:rPr>
        <w:tab/>
        <w:t xml:space="preserve">www.actmindfully.com.au </w:t>
      </w:r>
    </w:p>
    <w:p w14:paraId="7E235076" w14:textId="77777777" w:rsidR="009C3C86" w:rsidRDefault="009C3C86" w:rsidP="00027769">
      <w:pPr>
        <w:rPr>
          <w:lang w:eastAsia="en-GB"/>
        </w:rPr>
      </w:pPr>
      <w:r>
        <w:rPr>
          <w:lang w:eastAsia="en-GB"/>
        </w:rPr>
        <w:lastRenderedPageBreak/>
        <w:t>You may want to think about contacting the NHS service responsible for your care concerning epilepsy or dissociative seizures.</w:t>
      </w:r>
    </w:p>
    <w:p w14:paraId="2BD2C165" w14:textId="77777777" w:rsidR="009C3C86" w:rsidRDefault="009C3C86" w:rsidP="00027769">
      <w:pPr>
        <w:rPr>
          <w:lang w:eastAsia="en-GB"/>
        </w:rPr>
      </w:pPr>
      <w:r>
        <w:rPr>
          <w:lang w:eastAsia="en-GB"/>
        </w:rPr>
        <w:t>For medical concerns, please contact NHS 111, or 999 in case of an emergency</w:t>
      </w:r>
    </w:p>
    <w:p w14:paraId="4F52035A" w14:textId="77777777" w:rsidR="009C3C86" w:rsidRPr="001462DB" w:rsidRDefault="009C3C86" w:rsidP="00027769">
      <w:pPr>
        <w:rPr>
          <w:lang w:eastAsia="en-GB"/>
        </w:rPr>
      </w:pPr>
    </w:p>
    <w:p w14:paraId="18576E5C" w14:textId="77777777" w:rsidR="009C3C86" w:rsidRDefault="009C3C86" w:rsidP="00027769">
      <w:pPr>
        <w:rPr>
          <w:lang w:eastAsia="en-GB"/>
        </w:rPr>
      </w:pPr>
      <w:r w:rsidRPr="00463315">
        <w:rPr>
          <w:lang w:eastAsia="en-GB"/>
        </w:rPr>
        <w:t xml:space="preserve">I have concerns about this study, or the </w:t>
      </w:r>
      <w:r>
        <w:rPr>
          <w:lang w:eastAsia="en-GB"/>
        </w:rPr>
        <w:t xml:space="preserve">way in which it was conducted, </w:t>
      </w:r>
      <w:r w:rsidRPr="00463315">
        <w:rPr>
          <w:lang w:eastAsia="en-GB"/>
        </w:rPr>
        <w:t>who should I contact?</w:t>
      </w:r>
    </w:p>
    <w:p w14:paraId="6D319104" w14:textId="77777777" w:rsidR="009C3C86" w:rsidRDefault="009C3C86" w:rsidP="00027769">
      <w:pPr>
        <w:rPr>
          <w:lang w:eastAsia="en-GB"/>
        </w:rPr>
      </w:pPr>
    </w:p>
    <w:p w14:paraId="21953F3D" w14:textId="77777777" w:rsidR="009C3C86" w:rsidRPr="00F855DE" w:rsidRDefault="009C3C86" w:rsidP="00027769">
      <w:pPr>
        <w:rPr>
          <w:lang w:eastAsia="en-GB"/>
        </w:rPr>
      </w:pPr>
      <w:r w:rsidRPr="00F855DE">
        <w:rPr>
          <w:highlight w:val="black"/>
          <w:lang w:eastAsia="en-GB"/>
        </w:rPr>
        <w:t>Dr Yvonne Melia</w:t>
      </w:r>
    </w:p>
    <w:p w14:paraId="75A7D981" w14:textId="77777777" w:rsidR="009C3C86" w:rsidRPr="002E0A2D" w:rsidRDefault="009C3C86" w:rsidP="00027769">
      <w:pPr>
        <w:rPr>
          <w:lang w:eastAsia="en-GB"/>
        </w:rPr>
      </w:pPr>
      <w:r w:rsidRPr="002E0A2D">
        <w:rPr>
          <w:lang w:eastAsia="en-GB"/>
        </w:rPr>
        <w:t>Principal Lecturer in Clinical Psychology – Academic Director, DClinPsy</w:t>
      </w:r>
    </w:p>
    <w:p w14:paraId="43501B9B" w14:textId="77777777" w:rsidR="009C3C86" w:rsidRPr="002E0A2D" w:rsidRDefault="009C3C86" w:rsidP="00027769">
      <w:pPr>
        <w:rPr>
          <w:lang w:eastAsia="en-GB"/>
        </w:rPr>
      </w:pPr>
      <w:r w:rsidRPr="002E0A2D">
        <w:rPr>
          <w:lang w:eastAsia="en-GB"/>
        </w:rPr>
        <w:t>Staffordshire University</w:t>
      </w:r>
    </w:p>
    <w:p w14:paraId="733FD8F4" w14:textId="77777777" w:rsidR="009C3C86" w:rsidRPr="00476035" w:rsidRDefault="009C3C86" w:rsidP="00027769">
      <w:pPr>
        <w:rPr>
          <w:lang w:eastAsia="en-GB"/>
        </w:rPr>
      </w:pPr>
      <w:r w:rsidRPr="00476035">
        <w:rPr>
          <w:highlight w:val="black"/>
          <w:lang w:eastAsia="en-GB"/>
        </w:rPr>
        <w:t>R207 Science Centre</w:t>
      </w:r>
    </w:p>
    <w:p w14:paraId="73730C10" w14:textId="77777777" w:rsidR="009C3C86" w:rsidRPr="00F855DE" w:rsidRDefault="009C3C86" w:rsidP="00027769">
      <w:pPr>
        <w:rPr>
          <w:lang w:eastAsia="en-GB"/>
        </w:rPr>
      </w:pPr>
      <w:r>
        <w:rPr>
          <w:lang w:eastAsia="en-GB"/>
        </w:rPr>
        <w:t xml:space="preserve">Email: </w:t>
      </w:r>
      <w:hyperlink r:id="rId172" w:history="1">
        <w:r w:rsidRPr="00F855DE">
          <w:rPr>
            <w:rStyle w:val="Hyperlink"/>
            <w:rFonts w:ascii="Arial" w:hAnsi="Arial" w:cs="Arial"/>
            <w:color w:val="auto"/>
            <w:sz w:val="19"/>
            <w:szCs w:val="19"/>
            <w:highlight w:val="black"/>
            <w:lang w:eastAsia="en-GB"/>
          </w:rPr>
          <w:t>yvonne.melia@staffs.ac.uk</w:t>
        </w:r>
      </w:hyperlink>
    </w:p>
    <w:p w14:paraId="1FA2B2BB" w14:textId="77777777" w:rsidR="009C3C86" w:rsidRDefault="009C3C86" w:rsidP="00027769">
      <w:pPr>
        <w:rPr>
          <w:lang w:eastAsia="en-GB"/>
        </w:rPr>
      </w:pPr>
      <w:r w:rsidRPr="00463315">
        <w:rPr>
          <w:lang w:eastAsia="en-GB"/>
        </w:rPr>
        <w:br/>
      </w:r>
      <w:r w:rsidRPr="00F855DE">
        <w:rPr>
          <w:highlight w:val="black"/>
          <w:lang w:eastAsia="en-GB"/>
        </w:rPr>
        <w:t>Dr. Tim Horne</w:t>
      </w:r>
    </w:p>
    <w:p w14:paraId="3FAF7F95" w14:textId="77777777" w:rsidR="009C3C86" w:rsidRDefault="009C3C86" w:rsidP="00027769">
      <w:pPr>
        <w:rPr>
          <w:lang w:eastAsia="en-GB"/>
        </w:rPr>
      </w:pPr>
      <w:r>
        <w:rPr>
          <w:lang w:eastAsia="en-GB"/>
        </w:rPr>
        <w:t>Director of Research, Staffordshire University</w:t>
      </w:r>
    </w:p>
    <w:p w14:paraId="4ABE5431" w14:textId="77777777" w:rsidR="009C3C86" w:rsidRPr="006D2EFE" w:rsidRDefault="009C3C86" w:rsidP="00027769">
      <w:pPr>
        <w:rPr>
          <w:lang w:eastAsia="en-GB"/>
        </w:rPr>
      </w:pPr>
      <w:r>
        <w:rPr>
          <w:lang w:eastAsia="en-GB"/>
        </w:rPr>
        <w:t>E</w:t>
      </w:r>
      <w:r w:rsidRPr="00E45018">
        <w:rPr>
          <w:lang w:eastAsia="en-GB"/>
        </w:rPr>
        <w:t>mail</w:t>
      </w:r>
      <w:r>
        <w:rPr>
          <w:lang w:eastAsia="en-GB"/>
        </w:rPr>
        <w:t xml:space="preserve">: </w:t>
      </w:r>
      <w:r w:rsidRPr="00F855DE">
        <w:rPr>
          <w:highlight w:val="black"/>
          <w:lang w:eastAsia="en-GB"/>
        </w:rPr>
        <w:t>Tim.horne@staffs.ac.uk</w:t>
      </w:r>
    </w:p>
    <w:p w14:paraId="02B0A635" w14:textId="77777777" w:rsidR="009C3C86" w:rsidRDefault="009C3C86" w:rsidP="00027769"/>
    <w:p w14:paraId="4DE500E4" w14:textId="77777777" w:rsidR="009C3C86" w:rsidRDefault="009C3C86" w:rsidP="009C3C86">
      <w:pPr>
        <w:spacing w:after="79" w:line="256" w:lineRule="auto"/>
      </w:pPr>
    </w:p>
    <w:p w14:paraId="6560092A" w14:textId="77777777" w:rsidR="009C3C86" w:rsidRDefault="009C3C86" w:rsidP="009C3C86"/>
    <w:p w14:paraId="304C750A" w14:textId="77777777" w:rsidR="009C3C86" w:rsidRDefault="009C3C86" w:rsidP="009C3C86"/>
    <w:p w14:paraId="0032BFE0" w14:textId="77777777" w:rsidR="009C3C86" w:rsidRDefault="009C3C86" w:rsidP="009C3C86"/>
    <w:p w14:paraId="35F7B38A" w14:textId="77777777" w:rsidR="009C3C86" w:rsidRDefault="009C3C86" w:rsidP="009C3C86"/>
    <w:p w14:paraId="7AAF93B1" w14:textId="77777777" w:rsidR="009C3C86" w:rsidRDefault="009C3C86" w:rsidP="009C3C86"/>
    <w:p w14:paraId="3CC1DE5E" w14:textId="77777777" w:rsidR="009C3C86" w:rsidRDefault="009C3C86" w:rsidP="009C3C86"/>
    <w:p w14:paraId="747C99BB" w14:textId="77777777" w:rsidR="009C3C86" w:rsidRDefault="009C3C86" w:rsidP="009C3C86"/>
    <w:p w14:paraId="6B22961D" w14:textId="77777777" w:rsidR="009C3C86" w:rsidRDefault="009C3C86" w:rsidP="009C3C86"/>
    <w:p w14:paraId="28E5C80E" w14:textId="77777777" w:rsidR="009C3C86" w:rsidRDefault="009C3C86" w:rsidP="009C3C86"/>
    <w:p w14:paraId="12387BC2" w14:textId="77777777" w:rsidR="009C3C86" w:rsidRDefault="009C3C86" w:rsidP="009C3C86"/>
    <w:p w14:paraId="1BF07D92" w14:textId="77777777" w:rsidR="009C3C86" w:rsidRDefault="009C3C86" w:rsidP="009C3C86"/>
    <w:p w14:paraId="740E1770" w14:textId="77777777" w:rsidR="009C3C86" w:rsidRDefault="009C3C86" w:rsidP="009C3C86"/>
    <w:p w14:paraId="5BA615E0" w14:textId="77777777" w:rsidR="009C3C86" w:rsidRDefault="009C3C86" w:rsidP="009C3C86"/>
    <w:p w14:paraId="5AFCDFE9" w14:textId="77777777" w:rsidR="00027769" w:rsidRDefault="00027769">
      <w:pPr>
        <w:rPr>
          <w:rFonts w:eastAsiaTheme="majorEastAsia" w:cstheme="minorHAnsi"/>
          <w:b/>
        </w:rPr>
      </w:pPr>
      <w:r>
        <w:br w:type="page"/>
      </w:r>
    </w:p>
    <w:p w14:paraId="0DA22BB0" w14:textId="798AC036" w:rsidR="009C3C86" w:rsidRPr="00F3316E" w:rsidRDefault="009C3C86" w:rsidP="00027769">
      <w:pPr>
        <w:pStyle w:val="Heading1"/>
      </w:pPr>
      <w:bookmarkStart w:id="194" w:name="_Toc133487854"/>
      <w:r>
        <w:lastRenderedPageBreak/>
        <w:t>Appendix J</w:t>
      </w:r>
      <w:bookmarkEnd w:id="194"/>
    </w:p>
    <w:p w14:paraId="2172B556" w14:textId="7701F0FD" w:rsidR="009C3C86" w:rsidRPr="00A53770" w:rsidRDefault="009C3C86" w:rsidP="00FA1AA6">
      <w:pPr>
        <w:ind w:left="1440" w:firstLine="720"/>
        <w:rPr>
          <w:b/>
        </w:rPr>
      </w:pPr>
      <w:bookmarkStart w:id="195" w:name="_Toc133144224"/>
      <w:r w:rsidRPr="00A53770">
        <w:rPr>
          <w:b/>
        </w:rPr>
        <w:t>SPSS Output – Normality checks for study variables</w:t>
      </w:r>
      <w:bookmarkEnd w:id="195"/>
    </w:p>
    <w:p w14:paraId="48A37923" w14:textId="77777777" w:rsidR="009C3C86" w:rsidRPr="00002F41" w:rsidRDefault="009C3C86" w:rsidP="009C3C86">
      <w:pPr>
        <w:autoSpaceDE w:val="0"/>
        <w:autoSpaceDN w:val="0"/>
        <w:adjustRightInd w:val="0"/>
        <w:spacing w:after="0" w:line="240" w:lineRule="auto"/>
        <w:rPr>
          <w:rFonts w:ascii="Times New Roman" w:hAnsi="Times New Roman" w:cs="Times New Roman"/>
          <w:sz w:val="24"/>
          <w:szCs w:val="24"/>
        </w:rPr>
      </w:pPr>
    </w:p>
    <w:p w14:paraId="426B05D6" w14:textId="77777777" w:rsidR="009C3C86" w:rsidRPr="00C8134D" w:rsidRDefault="009C3C86" w:rsidP="009C3C86">
      <w:pPr>
        <w:autoSpaceDE w:val="0"/>
        <w:autoSpaceDN w:val="0"/>
        <w:adjustRightInd w:val="0"/>
        <w:spacing w:after="0" w:line="240" w:lineRule="auto"/>
        <w:rPr>
          <w:rFonts w:ascii="Times New Roman" w:hAnsi="Times New Roman" w:cs="Times New Roman"/>
          <w:sz w:val="24"/>
          <w:szCs w:val="24"/>
        </w:rPr>
      </w:pPr>
    </w:p>
    <w:p w14:paraId="1ECBBF95" w14:textId="77777777" w:rsidR="009C3C86" w:rsidRPr="00A4191D" w:rsidRDefault="009C3C86" w:rsidP="009C3C86">
      <w:pPr>
        <w:autoSpaceDE w:val="0"/>
        <w:autoSpaceDN w:val="0"/>
        <w:adjustRightInd w:val="0"/>
        <w:spacing w:after="0" w:line="240" w:lineRule="auto"/>
        <w:rPr>
          <w:rFonts w:ascii="Times New Roman" w:hAnsi="Times New Roman" w:cs="Times New Roman"/>
          <w:sz w:val="24"/>
          <w:szCs w:val="24"/>
        </w:rPr>
      </w:pPr>
    </w:p>
    <w:tbl>
      <w:tblPr>
        <w:tblW w:w="9565" w:type="dxa"/>
        <w:tblLayout w:type="fixed"/>
        <w:tblCellMar>
          <w:left w:w="0" w:type="dxa"/>
          <w:right w:w="0" w:type="dxa"/>
        </w:tblCellMar>
        <w:tblLook w:val="0000" w:firstRow="0" w:lastRow="0" w:firstColumn="0" w:lastColumn="0" w:noHBand="0" w:noVBand="0"/>
      </w:tblPr>
      <w:tblGrid>
        <w:gridCol w:w="2468"/>
        <w:gridCol w:w="1021"/>
        <w:gridCol w:w="1022"/>
        <w:gridCol w:w="1082"/>
        <w:gridCol w:w="1474"/>
        <w:gridCol w:w="1021"/>
        <w:gridCol w:w="1477"/>
      </w:tblGrid>
      <w:tr w:rsidR="009C3C86" w:rsidRPr="00A4191D" w14:paraId="45312A7D" w14:textId="77777777" w:rsidTr="009C3C86">
        <w:trPr>
          <w:cantSplit/>
          <w:trHeight w:val="321"/>
        </w:trPr>
        <w:tc>
          <w:tcPr>
            <w:tcW w:w="9565" w:type="dxa"/>
            <w:gridSpan w:val="7"/>
            <w:tcBorders>
              <w:top w:val="nil"/>
              <w:left w:val="nil"/>
              <w:bottom w:val="nil"/>
              <w:right w:val="nil"/>
            </w:tcBorders>
            <w:shd w:val="clear" w:color="auto" w:fill="FFFFFF"/>
            <w:vAlign w:val="center"/>
          </w:tcPr>
          <w:p w14:paraId="09816CA2" w14:textId="77777777" w:rsidR="009C3C86" w:rsidRPr="00A4191D" w:rsidRDefault="009C3C86" w:rsidP="009C3C86">
            <w:pPr>
              <w:autoSpaceDE w:val="0"/>
              <w:autoSpaceDN w:val="0"/>
              <w:adjustRightInd w:val="0"/>
              <w:spacing w:after="0" w:line="320" w:lineRule="atLeast"/>
              <w:ind w:left="60" w:right="60"/>
              <w:jc w:val="center"/>
              <w:rPr>
                <w:rFonts w:ascii="Arial" w:hAnsi="Arial" w:cs="Arial"/>
                <w:color w:val="010205"/>
                <w:sz w:val="28"/>
                <w:szCs w:val="28"/>
              </w:rPr>
            </w:pPr>
            <w:r w:rsidRPr="00A4191D">
              <w:rPr>
                <w:rFonts w:ascii="Arial" w:hAnsi="Arial" w:cs="Arial"/>
                <w:b/>
                <w:bCs/>
                <w:color w:val="010205"/>
                <w:sz w:val="28"/>
                <w:szCs w:val="28"/>
              </w:rPr>
              <w:t>Statistics</w:t>
            </w:r>
          </w:p>
        </w:tc>
      </w:tr>
      <w:tr w:rsidR="009C3C86" w:rsidRPr="00A4191D" w14:paraId="0110D473" w14:textId="77777777" w:rsidTr="009C3C86">
        <w:trPr>
          <w:cantSplit/>
          <w:trHeight w:val="321"/>
        </w:trPr>
        <w:tc>
          <w:tcPr>
            <w:tcW w:w="2468" w:type="dxa"/>
            <w:vMerge w:val="restart"/>
            <w:tcBorders>
              <w:top w:val="nil"/>
              <w:left w:val="nil"/>
              <w:bottom w:val="nil"/>
              <w:right w:val="nil"/>
            </w:tcBorders>
            <w:shd w:val="clear" w:color="auto" w:fill="FFFFFF"/>
            <w:vAlign w:val="bottom"/>
          </w:tcPr>
          <w:p w14:paraId="0A37DAA0" w14:textId="77777777" w:rsidR="009C3C86" w:rsidRPr="00A4191D" w:rsidRDefault="009C3C86" w:rsidP="009C3C86">
            <w:pPr>
              <w:autoSpaceDE w:val="0"/>
              <w:autoSpaceDN w:val="0"/>
              <w:adjustRightInd w:val="0"/>
              <w:spacing w:after="0" w:line="240" w:lineRule="auto"/>
              <w:rPr>
                <w:rFonts w:ascii="Times New Roman" w:hAnsi="Times New Roman" w:cs="Times New Roman"/>
                <w:sz w:val="24"/>
                <w:szCs w:val="24"/>
              </w:rPr>
            </w:pPr>
          </w:p>
        </w:tc>
        <w:tc>
          <w:tcPr>
            <w:tcW w:w="2043" w:type="dxa"/>
            <w:gridSpan w:val="2"/>
            <w:tcBorders>
              <w:top w:val="nil"/>
              <w:left w:val="nil"/>
              <w:bottom w:val="nil"/>
              <w:right w:val="single" w:sz="8" w:space="0" w:color="E0E0E0"/>
            </w:tcBorders>
            <w:shd w:val="clear" w:color="auto" w:fill="FFFFFF"/>
            <w:vAlign w:val="bottom"/>
          </w:tcPr>
          <w:p w14:paraId="1BCADE1B" w14:textId="77777777" w:rsidR="009C3C86" w:rsidRPr="00A4191D"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A4191D">
              <w:rPr>
                <w:rFonts w:ascii="Arial" w:hAnsi="Arial" w:cs="Arial"/>
                <w:color w:val="264A60"/>
                <w:sz w:val="24"/>
                <w:szCs w:val="24"/>
              </w:rPr>
              <w:t>N</w:t>
            </w:r>
          </w:p>
        </w:tc>
        <w:tc>
          <w:tcPr>
            <w:tcW w:w="1082" w:type="dxa"/>
            <w:vMerge w:val="restart"/>
            <w:tcBorders>
              <w:top w:val="nil"/>
              <w:left w:val="single" w:sz="8" w:space="0" w:color="E0E0E0"/>
              <w:bottom w:val="nil"/>
              <w:right w:val="single" w:sz="8" w:space="0" w:color="E0E0E0"/>
            </w:tcBorders>
            <w:shd w:val="clear" w:color="auto" w:fill="FFFFFF"/>
            <w:vAlign w:val="bottom"/>
          </w:tcPr>
          <w:p w14:paraId="50B76B34" w14:textId="77777777" w:rsidR="009C3C86" w:rsidRPr="00A4191D"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A4191D">
              <w:rPr>
                <w:rFonts w:ascii="Arial" w:hAnsi="Arial" w:cs="Arial"/>
                <w:color w:val="264A60"/>
                <w:sz w:val="24"/>
                <w:szCs w:val="24"/>
              </w:rPr>
              <w:t>Skewness</w:t>
            </w:r>
          </w:p>
        </w:tc>
        <w:tc>
          <w:tcPr>
            <w:tcW w:w="1474" w:type="dxa"/>
            <w:vMerge w:val="restart"/>
            <w:tcBorders>
              <w:top w:val="nil"/>
              <w:left w:val="single" w:sz="8" w:space="0" w:color="E0E0E0"/>
              <w:bottom w:val="nil"/>
              <w:right w:val="single" w:sz="8" w:space="0" w:color="E0E0E0"/>
            </w:tcBorders>
            <w:shd w:val="clear" w:color="auto" w:fill="FFFFFF"/>
            <w:vAlign w:val="bottom"/>
          </w:tcPr>
          <w:p w14:paraId="279888FA" w14:textId="77777777" w:rsidR="009C3C86" w:rsidRPr="00A4191D"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A4191D">
              <w:rPr>
                <w:rFonts w:ascii="Arial" w:hAnsi="Arial" w:cs="Arial"/>
                <w:color w:val="264A60"/>
                <w:sz w:val="24"/>
                <w:szCs w:val="24"/>
              </w:rPr>
              <w:t>Std. Error of Skewness</w:t>
            </w:r>
          </w:p>
        </w:tc>
        <w:tc>
          <w:tcPr>
            <w:tcW w:w="1021" w:type="dxa"/>
            <w:vMerge w:val="restart"/>
            <w:tcBorders>
              <w:top w:val="nil"/>
              <w:left w:val="single" w:sz="8" w:space="0" w:color="E0E0E0"/>
              <w:bottom w:val="nil"/>
              <w:right w:val="single" w:sz="8" w:space="0" w:color="E0E0E0"/>
            </w:tcBorders>
            <w:shd w:val="clear" w:color="auto" w:fill="FFFFFF"/>
            <w:vAlign w:val="bottom"/>
          </w:tcPr>
          <w:p w14:paraId="21CBA58E" w14:textId="77777777" w:rsidR="009C3C86" w:rsidRPr="00A4191D"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A4191D">
              <w:rPr>
                <w:rFonts w:ascii="Arial" w:hAnsi="Arial" w:cs="Arial"/>
                <w:color w:val="264A60"/>
                <w:sz w:val="24"/>
                <w:szCs w:val="24"/>
              </w:rPr>
              <w:t>Kurtosis</w:t>
            </w:r>
          </w:p>
        </w:tc>
        <w:tc>
          <w:tcPr>
            <w:tcW w:w="1474" w:type="dxa"/>
            <w:vMerge w:val="restart"/>
            <w:tcBorders>
              <w:top w:val="nil"/>
              <w:left w:val="single" w:sz="8" w:space="0" w:color="E0E0E0"/>
              <w:bottom w:val="nil"/>
              <w:right w:val="nil"/>
            </w:tcBorders>
            <w:shd w:val="clear" w:color="auto" w:fill="FFFFFF"/>
            <w:vAlign w:val="bottom"/>
          </w:tcPr>
          <w:p w14:paraId="1C9AFE0C" w14:textId="77777777" w:rsidR="009C3C86" w:rsidRPr="00A4191D"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A4191D">
              <w:rPr>
                <w:rFonts w:ascii="Arial" w:hAnsi="Arial" w:cs="Arial"/>
                <w:color w:val="264A60"/>
                <w:sz w:val="24"/>
                <w:szCs w:val="24"/>
              </w:rPr>
              <w:t>Std. Error of Kurtosis</w:t>
            </w:r>
          </w:p>
        </w:tc>
      </w:tr>
      <w:tr w:rsidR="009C3C86" w:rsidRPr="00A4191D" w14:paraId="11A6626D" w14:textId="77777777" w:rsidTr="009C3C86">
        <w:trPr>
          <w:cantSplit/>
          <w:trHeight w:val="321"/>
        </w:trPr>
        <w:tc>
          <w:tcPr>
            <w:tcW w:w="2468" w:type="dxa"/>
            <w:vMerge/>
            <w:tcBorders>
              <w:top w:val="nil"/>
              <w:left w:val="nil"/>
              <w:bottom w:val="nil"/>
              <w:right w:val="nil"/>
            </w:tcBorders>
            <w:shd w:val="clear" w:color="auto" w:fill="FFFFFF"/>
            <w:vAlign w:val="bottom"/>
          </w:tcPr>
          <w:p w14:paraId="7DB2FB31" w14:textId="77777777" w:rsidR="009C3C86" w:rsidRPr="00A4191D" w:rsidRDefault="009C3C86" w:rsidP="009C3C86">
            <w:pPr>
              <w:autoSpaceDE w:val="0"/>
              <w:autoSpaceDN w:val="0"/>
              <w:adjustRightInd w:val="0"/>
              <w:spacing w:after="0" w:line="240" w:lineRule="auto"/>
              <w:rPr>
                <w:rFonts w:ascii="Arial" w:hAnsi="Arial" w:cs="Arial"/>
                <w:color w:val="264A60"/>
                <w:sz w:val="24"/>
                <w:szCs w:val="24"/>
              </w:rPr>
            </w:pPr>
          </w:p>
        </w:tc>
        <w:tc>
          <w:tcPr>
            <w:tcW w:w="1021" w:type="dxa"/>
            <w:tcBorders>
              <w:top w:val="nil"/>
              <w:left w:val="nil"/>
              <w:bottom w:val="single" w:sz="8" w:space="0" w:color="152935"/>
              <w:right w:val="single" w:sz="8" w:space="0" w:color="E0E0E0"/>
            </w:tcBorders>
            <w:shd w:val="clear" w:color="auto" w:fill="FFFFFF"/>
            <w:vAlign w:val="bottom"/>
          </w:tcPr>
          <w:p w14:paraId="565B8894" w14:textId="77777777" w:rsidR="009C3C86" w:rsidRPr="00A4191D"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A4191D">
              <w:rPr>
                <w:rFonts w:ascii="Arial" w:hAnsi="Arial" w:cs="Arial"/>
                <w:color w:val="264A60"/>
                <w:sz w:val="24"/>
                <w:szCs w:val="24"/>
              </w:rPr>
              <w:t>Valid</w:t>
            </w:r>
          </w:p>
        </w:tc>
        <w:tc>
          <w:tcPr>
            <w:tcW w:w="1021" w:type="dxa"/>
            <w:tcBorders>
              <w:top w:val="nil"/>
              <w:left w:val="single" w:sz="8" w:space="0" w:color="E0E0E0"/>
              <w:bottom w:val="single" w:sz="8" w:space="0" w:color="152935"/>
              <w:right w:val="single" w:sz="8" w:space="0" w:color="E0E0E0"/>
            </w:tcBorders>
            <w:shd w:val="clear" w:color="auto" w:fill="FFFFFF"/>
            <w:vAlign w:val="bottom"/>
          </w:tcPr>
          <w:p w14:paraId="10936BDD" w14:textId="77777777" w:rsidR="009C3C86" w:rsidRPr="00A4191D"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A4191D">
              <w:rPr>
                <w:rFonts w:ascii="Arial" w:hAnsi="Arial" w:cs="Arial"/>
                <w:color w:val="264A60"/>
                <w:sz w:val="24"/>
                <w:szCs w:val="24"/>
              </w:rPr>
              <w:t>Missing</w:t>
            </w:r>
          </w:p>
        </w:tc>
        <w:tc>
          <w:tcPr>
            <w:tcW w:w="1082" w:type="dxa"/>
            <w:vMerge/>
            <w:tcBorders>
              <w:top w:val="nil"/>
              <w:left w:val="single" w:sz="8" w:space="0" w:color="E0E0E0"/>
              <w:bottom w:val="nil"/>
              <w:right w:val="single" w:sz="8" w:space="0" w:color="E0E0E0"/>
            </w:tcBorders>
            <w:shd w:val="clear" w:color="auto" w:fill="FFFFFF"/>
            <w:vAlign w:val="bottom"/>
          </w:tcPr>
          <w:p w14:paraId="029DA573" w14:textId="77777777" w:rsidR="009C3C86" w:rsidRPr="00A4191D" w:rsidRDefault="009C3C86" w:rsidP="009C3C86">
            <w:pPr>
              <w:autoSpaceDE w:val="0"/>
              <w:autoSpaceDN w:val="0"/>
              <w:adjustRightInd w:val="0"/>
              <w:spacing w:after="0" w:line="240" w:lineRule="auto"/>
              <w:rPr>
                <w:rFonts w:ascii="Arial" w:hAnsi="Arial" w:cs="Arial"/>
                <w:color w:val="264A60"/>
                <w:sz w:val="24"/>
                <w:szCs w:val="24"/>
              </w:rPr>
            </w:pPr>
          </w:p>
        </w:tc>
        <w:tc>
          <w:tcPr>
            <w:tcW w:w="1474" w:type="dxa"/>
            <w:vMerge/>
            <w:tcBorders>
              <w:top w:val="nil"/>
              <w:left w:val="single" w:sz="8" w:space="0" w:color="E0E0E0"/>
              <w:bottom w:val="nil"/>
              <w:right w:val="single" w:sz="8" w:space="0" w:color="E0E0E0"/>
            </w:tcBorders>
            <w:shd w:val="clear" w:color="auto" w:fill="FFFFFF"/>
            <w:vAlign w:val="bottom"/>
          </w:tcPr>
          <w:p w14:paraId="74E0EE09" w14:textId="77777777" w:rsidR="009C3C86" w:rsidRPr="00A4191D" w:rsidRDefault="009C3C86" w:rsidP="009C3C86">
            <w:pPr>
              <w:autoSpaceDE w:val="0"/>
              <w:autoSpaceDN w:val="0"/>
              <w:adjustRightInd w:val="0"/>
              <w:spacing w:after="0" w:line="240" w:lineRule="auto"/>
              <w:rPr>
                <w:rFonts w:ascii="Arial" w:hAnsi="Arial" w:cs="Arial"/>
                <w:color w:val="264A60"/>
                <w:sz w:val="24"/>
                <w:szCs w:val="24"/>
              </w:rPr>
            </w:pPr>
          </w:p>
        </w:tc>
        <w:tc>
          <w:tcPr>
            <w:tcW w:w="1021" w:type="dxa"/>
            <w:vMerge/>
            <w:tcBorders>
              <w:top w:val="nil"/>
              <w:left w:val="single" w:sz="8" w:space="0" w:color="E0E0E0"/>
              <w:bottom w:val="nil"/>
              <w:right w:val="single" w:sz="8" w:space="0" w:color="E0E0E0"/>
            </w:tcBorders>
            <w:shd w:val="clear" w:color="auto" w:fill="FFFFFF"/>
            <w:vAlign w:val="bottom"/>
          </w:tcPr>
          <w:p w14:paraId="7418D77D" w14:textId="77777777" w:rsidR="009C3C86" w:rsidRPr="00A4191D" w:rsidRDefault="009C3C86" w:rsidP="009C3C86">
            <w:pPr>
              <w:autoSpaceDE w:val="0"/>
              <w:autoSpaceDN w:val="0"/>
              <w:adjustRightInd w:val="0"/>
              <w:spacing w:after="0" w:line="240" w:lineRule="auto"/>
              <w:rPr>
                <w:rFonts w:ascii="Arial" w:hAnsi="Arial" w:cs="Arial"/>
                <w:color w:val="264A60"/>
                <w:sz w:val="24"/>
                <w:szCs w:val="24"/>
              </w:rPr>
            </w:pPr>
          </w:p>
        </w:tc>
        <w:tc>
          <w:tcPr>
            <w:tcW w:w="1474" w:type="dxa"/>
            <w:vMerge/>
            <w:tcBorders>
              <w:top w:val="nil"/>
              <w:left w:val="single" w:sz="8" w:space="0" w:color="E0E0E0"/>
              <w:bottom w:val="nil"/>
              <w:right w:val="nil"/>
            </w:tcBorders>
            <w:shd w:val="clear" w:color="auto" w:fill="FFFFFF"/>
            <w:vAlign w:val="bottom"/>
          </w:tcPr>
          <w:p w14:paraId="780FCFDE" w14:textId="77777777" w:rsidR="009C3C86" w:rsidRPr="00A4191D" w:rsidRDefault="009C3C86" w:rsidP="009C3C86">
            <w:pPr>
              <w:autoSpaceDE w:val="0"/>
              <w:autoSpaceDN w:val="0"/>
              <w:adjustRightInd w:val="0"/>
              <w:spacing w:after="0" w:line="240" w:lineRule="auto"/>
              <w:rPr>
                <w:rFonts w:ascii="Arial" w:hAnsi="Arial" w:cs="Arial"/>
                <w:color w:val="264A60"/>
                <w:sz w:val="24"/>
                <w:szCs w:val="24"/>
              </w:rPr>
            </w:pPr>
          </w:p>
        </w:tc>
      </w:tr>
      <w:tr w:rsidR="009C3C86" w:rsidRPr="00A4191D" w14:paraId="15CC1192" w14:textId="77777777" w:rsidTr="009C3C86">
        <w:trPr>
          <w:cantSplit/>
          <w:trHeight w:val="321"/>
        </w:trPr>
        <w:tc>
          <w:tcPr>
            <w:tcW w:w="2468" w:type="dxa"/>
            <w:tcBorders>
              <w:top w:val="single" w:sz="8" w:space="0" w:color="152935"/>
              <w:left w:val="nil"/>
              <w:bottom w:val="single" w:sz="8" w:space="0" w:color="AEAEAE"/>
              <w:right w:val="nil"/>
            </w:tcBorders>
            <w:shd w:val="clear" w:color="auto" w:fill="E0E0E0"/>
          </w:tcPr>
          <w:p w14:paraId="371A9CEE" w14:textId="77777777" w:rsidR="009C3C86" w:rsidRPr="00A4191D" w:rsidRDefault="009C3C86" w:rsidP="009C3C86">
            <w:pPr>
              <w:autoSpaceDE w:val="0"/>
              <w:autoSpaceDN w:val="0"/>
              <w:adjustRightInd w:val="0"/>
              <w:spacing w:after="0" w:line="320" w:lineRule="atLeast"/>
              <w:ind w:left="60" w:right="60"/>
              <w:rPr>
                <w:rFonts w:ascii="Arial" w:hAnsi="Arial" w:cs="Arial"/>
                <w:color w:val="264A60"/>
                <w:sz w:val="24"/>
                <w:szCs w:val="24"/>
              </w:rPr>
            </w:pPr>
            <w:r w:rsidRPr="00A4191D">
              <w:rPr>
                <w:rFonts w:ascii="Arial" w:hAnsi="Arial" w:cs="Arial"/>
                <w:color w:val="264A60"/>
                <w:sz w:val="24"/>
                <w:szCs w:val="24"/>
              </w:rPr>
              <w:t>Somatisation</w:t>
            </w:r>
          </w:p>
        </w:tc>
        <w:tc>
          <w:tcPr>
            <w:tcW w:w="1021" w:type="dxa"/>
            <w:tcBorders>
              <w:top w:val="single" w:sz="8" w:space="0" w:color="152935"/>
              <w:left w:val="nil"/>
              <w:bottom w:val="single" w:sz="8" w:space="0" w:color="AEAEAE"/>
              <w:right w:val="single" w:sz="8" w:space="0" w:color="E0E0E0"/>
            </w:tcBorders>
            <w:shd w:val="clear" w:color="auto" w:fill="F9F9FB"/>
          </w:tcPr>
          <w:p w14:paraId="13032C2F"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90</w:t>
            </w:r>
          </w:p>
        </w:tc>
        <w:tc>
          <w:tcPr>
            <w:tcW w:w="1021" w:type="dxa"/>
            <w:tcBorders>
              <w:top w:val="single" w:sz="8" w:space="0" w:color="152935"/>
              <w:left w:val="single" w:sz="8" w:space="0" w:color="E0E0E0"/>
              <w:bottom w:val="single" w:sz="8" w:space="0" w:color="AEAEAE"/>
              <w:right w:val="single" w:sz="8" w:space="0" w:color="E0E0E0"/>
            </w:tcBorders>
            <w:shd w:val="clear" w:color="auto" w:fill="F9F9FB"/>
          </w:tcPr>
          <w:p w14:paraId="7BC2B2C1"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0</w:t>
            </w:r>
          </w:p>
        </w:tc>
        <w:tc>
          <w:tcPr>
            <w:tcW w:w="1082" w:type="dxa"/>
            <w:tcBorders>
              <w:top w:val="single" w:sz="8" w:space="0" w:color="152935"/>
              <w:left w:val="single" w:sz="8" w:space="0" w:color="E0E0E0"/>
              <w:bottom w:val="single" w:sz="8" w:space="0" w:color="AEAEAE"/>
              <w:right w:val="single" w:sz="8" w:space="0" w:color="E0E0E0"/>
            </w:tcBorders>
            <w:shd w:val="clear" w:color="auto" w:fill="F9F9FB"/>
          </w:tcPr>
          <w:p w14:paraId="77509257"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.402</w:t>
            </w:r>
          </w:p>
        </w:tc>
        <w:tc>
          <w:tcPr>
            <w:tcW w:w="1474" w:type="dxa"/>
            <w:tcBorders>
              <w:top w:val="single" w:sz="8" w:space="0" w:color="152935"/>
              <w:left w:val="single" w:sz="8" w:space="0" w:color="E0E0E0"/>
              <w:bottom w:val="single" w:sz="8" w:space="0" w:color="AEAEAE"/>
              <w:right w:val="single" w:sz="8" w:space="0" w:color="E0E0E0"/>
            </w:tcBorders>
            <w:shd w:val="clear" w:color="auto" w:fill="F9F9FB"/>
          </w:tcPr>
          <w:p w14:paraId="690B1A19"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.254</w:t>
            </w:r>
          </w:p>
        </w:tc>
        <w:tc>
          <w:tcPr>
            <w:tcW w:w="1021" w:type="dxa"/>
            <w:tcBorders>
              <w:top w:val="single" w:sz="8" w:space="0" w:color="152935"/>
              <w:left w:val="single" w:sz="8" w:space="0" w:color="E0E0E0"/>
              <w:bottom w:val="single" w:sz="8" w:space="0" w:color="AEAEAE"/>
              <w:right w:val="single" w:sz="8" w:space="0" w:color="E0E0E0"/>
            </w:tcBorders>
            <w:shd w:val="clear" w:color="auto" w:fill="F9F9FB"/>
          </w:tcPr>
          <w:p w14:paraId="69F53315"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-.654</w:t>
            </w:r>
          </w:p>
        </w:tc>
        <w:tc>
          <w:tcPr>
            <w:tcW w:w="1474" w:type="dxa"/>
            <w:tcBorders>
              <w:top w:val="single" w:sz="8" w:space="0" w:color="152935"/>
              <w:left w:val="single" w:sz="8" w:space="0" w:color="E0E0E0"/>
              <w:bottom w:val="single" w:sz="8" w:space="0" w:color="AEAEAE"/>
              <w:right w:val="nil"/>
            </w:tcBorders>
            <w:shd w:val="clear" w:color="auto" w:fill="F9F9FB"/>
          </w:tcPr>
          <w:p w14:paraId="7EB58C16"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.503</w:t>
            </w:r>
          </w:p>
        </w:tc>
      </w:tr>
      <w:tr w:rsidR="009C3C86" w:rsidRPr="00A4191D" w14:paraId="7A34D1EC" w14:textId="77777777" w:rsidTr="009C3C86">
        <w:trPr>
          <w:cantSplit/>
          <w:trHeight w:val="321"/>
        </w:trPr>
        <w:tc>
          <w:tcPr>
            <w:tcW w:w="2468" w:type="dxa"/>
            <w:tcBorders>
              <w:top w:val="single" w:sz="8" w:space="0" w:color="AEAEAE"/>
              <w:left w:val="nil"/>
              <w:bottom w:val="single" w:sz="8" w:space="0" w:color="AEAEAE"/>
              <w:right w:val="nil"/>
            </w:tcBorders>
            <w:shd w:val="clear" w:color="auto" w:fill="E0E0E0"/>
          </w:tcPr>
          <w:p w14:paraId="50CABEF7" w14:textId="77777777" w:rsidR="009C3C86" w:rsidRPr="00A4191D" w:rsidRDefault="009C3C86" w:rsidP="009C3C86">
            <w:pPr>
              <w:autoSpaceDE w:val="0"/>
              <w:autoSpaceDN w:val="0"/>
              <w:adjustRightInd w:val="0"/>
              <w:spacing w:after="0" w:line="320" w:lineRule="atLeast"/>
              <w:ind w:left="60" w:right="60"/>
              <w:rPr>
                <w:rFonts w:ascii="Arial" w:hAnsi="Arial" w:cs="Arial"/>
                <w:color w:val="264A60"/>
                <w:sz w:val="24"/>
                <w:szCs w:val="24"/>
              </w:rPr>
            </w:pPr>
            <w:r>
              <w:rPr>
                <w:rFonts w:ascii="Arial" w:hAnsi="Arial" w:cs="Arial"/>
                <w:color w:val="264A60"/>
                <w:sz w:val="24"/>
                <w:szCs w:val="24"/>
              </w:rPr>
              <w:t>S</w:t>
            </w:r>
            <w:r w:rsidRPr="00A4191D">
              <w:rPr>
                <w:rFonts w:ascii="Arial" w:hAnsi="Arial" w:cs="Arial"/>
                <w:color w:val="264A60"/>
                <w:sz w:val="24"/>
                <w:szCs w:val="24"/>
              </w:rPr>
              <w:t>eizure</w:t>
            </w:r>
            <w:r>
              <w:rPr>
                <w:rFonts w:ascii="Arial" w:hAnsi="Arial" w:cs="Arial"/>
                <w:color w:val="264A60"/>
                <w:sz w:val="24"/>
                <w:szCs w:val="24"/>
              </w:rPr>
              <w:t xml:space="preserve"> </w:t>
            </w:r>
            <w:r w:rsidRPr="00A4191D">
              <w:rPr>
                <w:rFonts w:ascii="Arial" w:hAnsi="Arial" w:cs="Arial"/>
                <w:color w:val="264A60"/>
                <w:sz w:val="24"/>
                <w:szCs w:val="24"/>
              </w:rPr>
              <w:t>number</w:t>
            </w:r>
          </w:p>
        </w:tc>
        <w:tc>
          <w:tcPr>
            <w:tcW w:w="1021" w:type="dxa"/>
            <w:tcBorders>
              <w:top w:val="single" w:sz="8" w:space="0" w:color="AEAEAE"/>
              <w:left w:val="nil"/>
              <w:bottom w:val="single" w:sz="8" w:space="0" w:color="AEAEAE"/>
              <w:right w:val="single" w:sz="8" w:space="0" w:color="E0E0E0"/>
            </w:tcBorders>
            <w:shd w:val="clear" w:color="auto" w:fill="F9F9FB"/>
          </w:tcPr>
          <w:p w14:paraId="0D0CFB07"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86</w:t>
            </w:r>
          </w:p>
        </w:tc>
        <w:tc>
          <w:tcPr>
            <w:tcW w:w="1021" w:type="dxa"/>
            <w:tcBorders>
              <w:top w:val="single" w:sz="8" w:space="0" w:color="AEAEAE"/>
              <w:left w:val="single" w:sz="8" w:space="0" w:color="E0E0E0"/>
              <w:bottom w:val="single" w:sz="8" w:space="0" w:color="AEAEAE"/>
              <w:right w:val="single" w:sz="8" w:space="0" w:color="E0E0E0"/>
            </w:tcBorders>
            <w:shd w:val="clear" w:color="auto" w:fill="F9F9FB"/>
          </w:tcPr>
          <w:p w14:paraId="4606E13B"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4</w:t>
            </w:r>
          </w:p>
        </w:tc>
        <w:tc>
          <w:tcPr>
            <w:tcW w:w="1082" w:type="dxa"/>
            <w:tcBorders>
              <w:top w:val="single" w:sz="8" w:space="0" w:color="AEAEAE"/>
              <w:left w:val="single" w:sz="8" w:space="0" w:color="E0E0E0"/>
              <w:bottom w:val="single" w:sz="8" w:space="0" w:color="AEAEAE"/>
              <w:right w:val="single" w:sz="8" w:space="0" w:color="E0E0E0"/>
            </w:tcBorders>
            <w:shd w:val="clear" w:color="auto" w:fill="F9F9FB"/>
          </w:tcPr>
          <w:p w14:paraId="10FB7C4A"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6.310</w:t>
            </w:r>
          </w:p>
        </w:tc>
        <w:tc>
          <w:tcPr>
            <w:tcW w:w="1474" w:type="dxa"/>
            <w:tcBorders>
              <w:top w:val="single" w:sz="8" w:space="0" w:color="AEAEAE"/>
              <w:left w:val="single" w:sz="8" w:space="0" w:color="E0E0E0"/>
              <w:bottom w:val="single" w:sz="8" w:space="0" w:color="AEAEAE"/>
              <w:right w:val="single" w:sz="8" w:space="0" w:color="E0E0E0"/>
            </w:tcBorders>
            <w:shd w:val="clear" w:color="auto" w:fill="F9F9FB"/>
          </w:tcPr>
          <w:p w14:paraId="1ADBCCEC"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.260</w:t>
            </w:r>
          </w:p>
        </w:tc>
        <w:tc>
          <w:tcPr>
            <w:tcW w:w="1021" w:type="dxa"/>
            <w:tcBorders>
              <w:top w:val="single" w:sz="8" w:space="0" w:color="AEAEAE"/>
              <w:left w:val="single" w:sz="8" w:space="0" w:color="E0E0E0"/>
              <w:bottom w:val="single" w:sz="8" w:space="0" w:color="AEAEAE"/>
              <w:right w:val="single" w:sz="8" w:space="0" w:color="E0E0E0"/>
            </w:tcBorders>
            <w:shd w:val="clear" w:color="auto" w:fill="F9F9FB"/>
          </w:tcPr>
          <w:p w14:paraId="7D512963"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39.933</w:t>
            </w:r>
          </w:p>
        </w:tc>
        <w:tc>
          <w:tcPr>
            <w:tcW w:w="1474" w:type="dxa"/>
            <w:tcBorders>
              <w:top w:val="single" w:sz="8" w:space="0" w:color="AEAEAE"/>
              <w:left w:val="single" w:sz="8" w:space="0" w:color="E0E0E0"/>
              <w:bottom w:val="single" w:sz="8" w:space="0" w:color="AEAEAE"/>
              <w:right w:val="nil"/>
            </w:tcBorders>
            <w:shd w:val="clear" w:color="auto" w:fill="F9F9FB"/>
          </w:tcPr>
          <w:p w14:paraId="2DADA8E3"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.514</w:t>
            </w:r>
          </w:p>
        </w:tc>
      </w:tr>
      <w:tr w:rsidR="009C3C86" w:rsidRPr="00A4191D" w14:paraId="0234C2C8" w14:textId="77777777" w:rsidTr="009C3C86">
        <w:trPr>
          <w:cantSplit/>
          <w:trHeight w:val="643"/>
        </w:trPr>
        <w:tc>
          <w:tcPr>
            <w:tcW w:w="2468" w:type="dxa"/>
            <w:tcBorders>
              <w:top w:val="single" w:sz="8" w:space="0" w:color="AEAEAE"/>
              <w:left w:val="nil"/>
              <w:bottom w:val="single" w:sz="8" w:space="0" w:color="AEAEAE"/>
              <w:right w:val="nil"/>
            </w:tcBorders>
            <w:shd w:val="clear" w:color="auto" w:fill="E0E0E0"/>
          </w:tcPr>
          <w:p w14:paraId="5766332F" w14:textId="77777777" w:rsidR="009C3C86" w:rsidRPr="00A4191D" w:rsidRDefault="009C3C86" w:rsidP="009C3C86">
            <w:pPr>
              <w:autoSpaceDE w:val="0"/>
              <w:autoSpaceDN w:val="0"/>
              <w:adjustRightInd w:val="0"/>
              <w:spacing w:after="0" w:line="320" w:lineRule="atLeast"/>
              <w:ind w:left="60" w:right="60"/>
              <w:rPr>
                <w:rFonts w:ascii="Arial" w:hAnsi="Arial" w:cs="Arial"/>
                <w:color w:val="264A60"/>
                <w:sz w:val="24"/>
                <w:szCs w:val="24"/>
              </w:rPr>
            </w:pPr>
            <w:r w:rsidRPr="00A4191D">
              <w:rPr>
                <w:rFonts w:ascii="Arial" w:hAnsi="Arial" w:cs="Arial"/>
                <w:color w:val="264A60"/>
                <w:sz w:val="24"/>
                <w:szCs w:val="24"/>
              </w:rPr>
              <w:t>Intolerance</w:t>
            </w:r>
            <w:r>
              <w:rPr>
                <w:rFonts w:ascii="Arial" w:hAnsi="Arial" w:cs="Arial"/>
                <w:color w:val="264A60"/>
                <w:sz w:val="24"/>
                <w:szCs w:val="24"/>
              </w:rPr>
              <w:t xml:space="preserve"> </w:t>
            </w:r>
            <w:r w:rsidRPr="00A4191D">
              <w:rPr>
                <w:rFonts w:ascii="Arial" w:hAnsi="Arial" w:cs="Arial"/>
                <w:color w:val="264A60"/>
                <w:sz w:val="24"/>
                <w:szCs w:val="24"/>
              </w:rPr>
              <w:t>of</w:t>
            </w:r>
            <w:r>
              <w:rPr>
                <w:rFonts w:ascii="Arial" w:hAnsi="Arial" w:cs="Arial"/>
                <w:color w:val="264A60"/>
                <w:sz w:val="24"/>
                <w:szCs w:val="24"/>
              </w:rPr>
              <w:t xml:space="preserve"> </w:t>
            </w:r>
            <w:r w:rsidRPr="00A4191D">
              <w:rPr>
                <w:rFonts w:ascii="Arial" w:hAnsi="Arial" w:cs="Arial"/>
                <w:color w:val="264A60"/>
                <w:sz w:val="24"/>
                <w:szCs w:val="24"/>
              </w:rPr>
              <w:t>uncertainty</w:t>
            </w:r>
          </w:p>
        </w:tc>
        <w:tc>
          <w:tcPr>
            <w:tcW w:w="1021" w:type="dxa"/>
            <w:tcBorders>
              <w:top w:val="single" w:sz="8" w:space="0" w:color="AEAEAE"/>
              <w:left w:val="nil"/>
              <w:bottom w:val="single" w:sz="8" w:space="0" w:color="AEAEAE"/>
              <w:right w:val="single" w:sz="8" w:space="0" w:color="E0E0E0"/>
            </w:tcBorders>
            <w:shd w:val="clear" w:color="auto" w:fill="F9F9FB"/>
          </w:tcPr>
          <w:p w14:paraId="06C67402"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90</w:t>
            </w:r>
          </w:p>
        </w:tc>
        <w:tc>
          <w:tcPr>
            <w:tcW w:w="1021" w:type="dxa"/>
            <w:tcBorders>
              <w:top w:val="single" w:sz="8" w:space="0" w:color="AEAEAE"/>
              <w:left w:val="single" w:sz="8" w:space="0" w:color="E0E0E0"/>
              <w:bottom w:val="single" w:sz="8" w:space="0" w:color="AEAEAE"/>
              <w:right w:val="single" w:sz="8" w:space="0" w:color="E0E0E0"/>
            </w:tcBorders>
            <w:shd w:val="clear" w:color="auto" w:fill="F9F9FB"/>
          </w:tcPr>
          <w:p w14:paraId="065D33B7"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0</w:t>
            </w:r>
          </w:p>
        </w:tc>
        <w:tc>
          <w:tcPr>
            <w:tcW w:w="1082" w:type="dxa"/>
            <w:tcBorders>
              <w:top w:val="single" w:sz="8" w:space="0" w:color="AEAEAE"/>
              <w:left w:val="single" w:sz="8" w:space="0" w:color="E0E0E0"/>
              <w:bottom w:val="single" w:sz="8" w:space="0" w:color="AEAEAE"/>
              <w:right w:val="single" w:sz="8" w:space="0" w:color="E0E0E0"/>
            </w:tcBorders>
            <w:shd w:val="clear" w:color="auto" w:fill="F9F9FB"/>
          </w:tcPr>
          <w:p w14:paraId="4095B5CB"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-.165</w:t>
            </w:r>
          </w:p>
        </w:tc>
        <w:tc>
          <w:tcPr>
            <w:tcW w:w="1474" w:type="dxa"/>
            <w:tcBorders>
              <w:top w:val="single" w:sz="8" w:space="0" w:color="AEAEAE"/>
              <w:left w:val="single" w:sz="8" w:space="0" w:color="E0E0E0"/>
              <w:bottom w:val="single" w:sz="8" w:space="0" w:color="AEAEAE"/>
              <w:right w:val="single" w:sz="8" w:space="0" w:color="E0E0E0"/>
            </w:tcBorders>
            <w:shd w:val="clear" w:color="auto" w:fill="F9F9FB"/>
          </w:tcPr>
          <w:p w14:paraId="4A6BFD12"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.254</w:t>
            </w:r>
          </w:p>
        </w:tc>
        <w:tc>
          <w:tcPr>
            <w:tcW w:w="1021" w:type="dxa"/>
            <w:tcBorders>
              <w:top w:val="single" w:sz="8" w:space="0" w:color="AEAEAE"/>
              <w:left w:val="single" w:sz="8" w:space="0" w:color="E0E0E0"/>
              <w:bottom w:val="single" w:sz="8" w:space="0" w:color="AEAEAE"/>
              <w:right w:val="single" w:sz="8" w:space="0" w:color="E0E0E0"/>
            </w:tcBorders>
            <w:shd w:val="clear" w:color="auto" w:fill="F9F9FB"/>
          </w:tcPr>
          <w:p w14:paraId="2BD86A97"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-.746</w:t>
            </w:r>
          </w:p>
        </w:tc>
        <w:tc>
          <w:tcPr>
            <w:tcW w:w="1474" w:type="dxa"/>
            <w:tcBorders>
              <w:top w:val="single" w:sz="8" w:space="0" w:color="AEAEAE"/>
              <w:left w:val="single" w:sz="8" w:space="0" w:color="E0E0E0"/>
              <w:bottom w:val="single" w:sz="8" w:space="0" w:color="AEAEAE"/>
              <w:right w:val="nil"/>
            </w:tcBorders>
            <w:shd w:val="clear" w:color="auto" w:fill="F9F9FB"/>
          </w:tcPr>
          <w:p w14:paraId="287DEE89"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.503</w:t>
            </w:r>
          </w:p>
        </w:tc>
      </w:tr>
      <w:tr w:rsidR="009C3C86" w:rsidRPr="00A4191D" w14:paraId="1E346DD5" w14:textId="77777777" w:rsidTr="009C3C86">
        <w:trPr>
          <w:cantSplit/>
          <w:trHeight w:val="321"/>
        </w:trPr>
        <w:tc>
          <w:tcPr>
            <w:tcW w:w="2468" w:type="dxa"/>
            <w:tcBorders>
              <w:top w:val="single" w:sz="8" w:space="0" w:color="AEAEAE"/>
              <w:left w:val="nil"/>
              <w:bottom w:val="single" w:sz="8" w:space="0" w:color="AEAEAE"/>
              <w:right w:val="nil"/>
            </w:tcBorders>
            <w:shd w:val="clear" w:color="auto" w:fill="E0E0E0"/>
          </w:tcPr>
          <w:p w14:paraId="3D21314C" w14:textId="77777777" w:rsidR="009C3C86" w:rsidRPr="00A4191D" w:rsidRDefault="009C3C86" w:rsidP="009C3C86">
            <w:pPr>
              <w:autoSpaceDE w:val="0"/>
              <w:autoSpaceDN w:val="0"/>
              <w:adjustRightInd w:val="0"/>
              <w:spacing w:after="0" w:line="320" w:lineRule="atLeast"/>
              <w:ind w:left="60" w:right="60"/>
              <w:rPr>
                <w:rFonts w:ascii="Arial" w:hAnsi="Arial" w:cs="Arial"/>
                <w:color w:val="264A60"/>
                <w:sz w:val="24"/>
                <w:szCs w:val="24"/>
              </w:rPr>
            </w:pPr>
            <w:r w:rsidRPr="00A4191D">
              <w:rPr>
                <w:rFonts w:ascii="Arial" w:hAnsi="Arial" w:cs="Arial"/>
                <w:color w:val="264A60"/>
                <w:sz w:val="24"/>
                <w:szCs w:val="24"/>
              </w:rPr>
              <w:t>Anxiety</w:t>
            </w:r>
            <w:r>
              <w:rPr>
                <w:rFonts w:ascii="Arial" w:hAnsi="Arial" w:cs="Arial"/>
                <w:color w:val="264A60"/>
                <w:sz w:val="24"/>
                <w:szCs w:val="24"/>
              </w:rPr>
              <w:t xml:space="preserve"> </w:t>
            </w:r>
            <w:r w:rsidRPr="00A4191D">
              <w:rPr>
                <w:rFonts w:ascii="Arial" w:hAnsi="Arial" w:cs="Arial"/>
                <w:color w:val="264A60"/>
                <w:sz w:val="24"/>
                <w:szCs w:val="24"/>
              </w:rPr>
              <w:t>sensitivity</w:t>
            </w:r>
          </w:p>
        </w:tc>
        <w:tc>
          <w:tcPr>
            <w:tcW w:w="1021" w:type="dxa"/>
            <w:tcBorders>
              <w:top w:val="single" w:sz="8" w:space="0" w:color="AEAEAE"/>
              <w:left w:val="nil"/>
              <w:bottom w:val="single" w:sz="8" w:space="0" w:color="AEAEAE"/>
              <w:right w:val="single" w:sz="8" w:space="0" w:color="E0E0E0"/>
            </w:tcBorders>
            <w:shd w:val="clear" w:color="auto" w:fill="F9F9FB"/>
          </w:tcPr>
          <w:p w14:paraId="3D6D04C2"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90</w:t>
            </w:r>
          </w:p>
        </w:tc>
        <w:tc>
          <w:tcPr>
            <w:tcW w:w="1021" w:type="dxa"/>
            <w:tcBorders>
              <w:top w:val="single" w:sz="8" w:space="0" w:color="AEAEAE"/>
              <w:left w:val="single" w:sz="8" w:space="0" w:color="E0E0E0"/>
              <w:bottom w:val="single" w:sz="8" w:space="0" w:color="AEAEAE"/>
              <w:right w:val="single" w:sz="8" w:space="0" w:color="E0E0E0"/>
            </w:tcBorders>
            <w:shd w:val="clear" w:color="auto" w:fill="F9F9FB"/>
          </w:tcPr>
          <w:p w14:paraId="1A5C5049"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0</w:t>
            </w:r>
          </w:p>
        </w:tc>
        <w:tc>
          <w:tcPr>
            <w:tcW w:w="1082" w:type="dxa"/>
            <w:tcBorders>
              <w:top w:val="single" w:sz="8" w:space="0" w:color="AEAEAE"/>
              <w:left w:val="single" w:sz="8" w:space="0" w:color="E0E0E0"/>
              <w:bottom w:val="single" w:sz="8" w:space="0" w:color="AEAEAE"/>
              <w:right w:val="single" w:sz="8" w:space="0" w:color="E0E0E0"/>
            </w:tcBorders>
            <w:shd w:val="clear" w:color="auto" w:fill="F9F9FB"/>
          </w:tcPr>
          <w:p w14:paraId="6280B0C6"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.534</w:t>
            </w:r>
          </w:p>
        </w:tc>
        <w:tc>
          <w:tcPr>
            <w:tcW w:w="1474" w:type="dxa"/>
            <w:tcBorders>
              <w:top w:val="single" w:sz="8" w:space="0" w:color="AEAEAE"/>
              <w:left w:val="single" w:sz="8" w:space="0" w:color="E0E0E0"/>
              <w:bottom w:val="single" w:sz="8" w:space="0" w:color="AEAEAE"/>
              <w:right w:val="single" w:sz="8" w:space="0" w:color="E0E0E0"/>
            </w:tcBorders>
            <w:shd w:val="clear" w:color="auto" w:fill="F9F9FB"/>
          </w:tcPr>
          <w:p w14:paraId="7E0A74DE"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.254</w:t>
            </w:r>
          </w:p>
        </w:tc>
        <w:tc>
          <w:tcPr>
            <w:tcW w:w="1021" w:type="dxa"/>
            <w:tcBorders>
              <w:top w:val="single" w:sz="8" w:space="0" w:color="AEAEAE"/>
              <w:left w:val="single" w:sz="8" w:space="0" w:color="E0E0E0"/>
              <w:bottom w:val="single" w:sz="8" w:space="0" w:color="AEAEAE"/>
              <w:right w:val="single" w:sz="8" w:space="0" w:color="E0E0E0"/>
            </w:tcBorders>
            <w:shd w:val="clear" w:color="auto" w:fill="F9F9FB"/>
          </w:tcPr>
          <w:p w14:paraId="723259CA"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-.680</w:t>
            </w:r>
          </w:p>
        </w:tc>
        <w:tc>
          <w:tcPr>
            <w:tcW w:w="1474" w:type="dxa"/>
            <w:tcBorders>
              <w:top w:val="single" w:sz="8" w:space="0" w:color="AEAEAE"/>
              <w:left w:val="single" w:sz="8" w:space="0" w:color="E0E0E0"/>
              <w:bottom w:val="single" w:sz="8" w:space="0" w:color="AEAEAE"/>
              <w:right w:val="nil"/>
            </w:tcBorders>
            <w:shd w:val="clear" w:color="auto" w:fill="F9F9FB"/>
          </w:tcPr>
          <w:p w14:paraId="10AB7F04"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.503</w:t>
            </w:r>
          </w:p>
        </w:tc>
      </w:tr>
      <w:tr w:rsidR="009C3C86" w:rsidRPr="00A4191D" w14:paraId="2EA070BB" w14:textId="77777777" w:rsidTr="009C3C86">
        <w:trPr>
          <w:cantSplit/>
          <w:trHeight w:val="321"/>
        </w:trPr>
        <w:tc>
          <w:tcPr>
            <w:tcW w:w="2468" w:type="dxa"/>
            <w:tcBorders>
              <w:top w:val="single" w:sz="8" w:space="0" w:color="AEAEAE"/>
              <w:left w:val="nil"/>
              <w:bottom w:val="single" w:sz="8" w:space="0" w:color="AEAEAE"/>
              <w:right w:val="nil"/>
            </w:tcBorders>
            <w:shd w:val="clear" w:color="auto" w:fill="E0E0E0"/>
          </w:tcPr>
          <w:p w14:paraId="5C6652C1" w14:textId="77777777" w:rsidR="009C3C86" w:rsidRPr="00A4191D" w:rsidRDefault="009C3C86" w:rsidP="009C3C86">
            <w:pPr>
              <w:autoSpaceDE w:val="0"/>
              <w:autoSpaceDN w:val="0"/>
              <w:adjustRightInd w:val="0"/>
              <w:spacing w:after="0" w:line="320" w:lineRule="atLeast"/>
              <w:ind w:left="60" w:right="60"/>
              <w:rPr>
                <w:rFonts w:ascii="Arial" w:hAnsi="Arial" w:cs="Arial"/>
                <w:color w:val="264A60"/>
                <w:sz w:val="24"/>
                <w:szCs w:val="24"/>
              </w:rPr>
            </w:pPr>
            <w:r w:rsidRPr="00A4191D">
              <w:rPr>
                <w:rFonts w:ascii="Arial" w:hAnsi="Arial" w:cs="Arial"/>
                <w:color w:val="264A60"/>
                <w:sz w:val="24"/>
                <w:szCs w:val="24"/>
              </w:rPr>
              <w:t>Depression</w:t>
            </w:r>
          </w:p>
        </w:tc>
        <w:tc>
          <w:tcPr>
            <w:tcW w:w="1021" w:type="dxa"/>
            <w:tcBorders>
              <w:top w:val="single" w:sz="8" w:space="0" w:color="AEAEAE"/>
              <w:left w:val="nil"/>
              <w:bottom w:val="single" w:sz="8" w:space="0" w:color="AEAEAE"/>
              <w:right w:val="single" w:sz="8" w:space="0" w:color="E0E0E0"/>
            </w:tcBorders>
            <w:shd w:val="clear" w:color="auto" w:fill="F9F9FB"/>
          </w:tcPr>
          <w:p w14:paraId="5C818FCD"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90</w:t>
            </w:r>
          </w:p>
        </w:tc>
        <w:tc>
          <w:tcPr>
            <w:tcW w:w="1021" w:type="dxa"/>
            <w:tcBorders>
              <w:top w:val="single" w:sz="8" w:space="0" w:color="AEAEAE"/>
              <w:left w:val="single" w:sz="8" w:space="0" w:color="E0E0E0"/>
              <w:bottom w:val="single" w:sz="8" w:space="0" w:color="AEAEAE"/>
              <w:right w:val="single" w:sz="8" w:space="0" w:color="E0E0E0"/>
            </w:tcBorders>
            <w:shd w:val="clear" w:color="auto" w:fill="F9F9FB"/>
          </w:tcPr>
          <w:p w14:paraId="71769592"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0</w:t>
            </w:r>
          </w:p>
        </w:tc>
        <w:tc>
          <w:tcPr>
            <w:tcW w:w="1082" w:type="dxa"/>
            <w:tcBorders>
              <w:top w:val="single" w:sz="8" w:space="0" w:color="AEAEAE"/>
              <w:left w:val="single" w:sz="8" w:space="0" w:color="E0E0E0"/>
              <w:bottom w:val="single" w:sz="8" w:space="0" w:color="AEAEAE"/>
              <w:right w:val="single" w:sz="8" w:space="0" w:color="E0E0E0"/>
            </w:tcBorders>
            <w:shd w:val="clear" w:color="auto" w:fill="F9F9FB"/>
          </w:tcPr>
          <w:p w14:paraId="6D54E3AB"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-.191</w:t>
            </w:r>
          </w:p>
        </w:tc>
        <w:tc>
          <w:tcPr>
            <w:tcW w:w="1474" w:type="dxa"/>
            <w:tcBorders>
              <w:top w:val="single" w:sz="8" w:space="0" w:color="AEAEAE"/>
              <w:left w:val="single" w:sz="8" w:space="0" w:color="E0E0E0"/>
              <w:bottom w:val="single" w:sz="8" w:space="0" w:color="AEAEAE"/>
              <w:right w:val="single" w:sz="8" w:space="0" w:color="E0E0E0"/>
            </w:tcBorders>
            <w:shd w:val="clear" w:color="auto" w:fill="F9F9FB"/>
          </w:tcPr>
          <w:p w14:paraId="6CAF0B08"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.254</w:t>
            </w:r>
          </w:p>
        </w:tc>
        <w:tc>
          <w:tcPr>
            <w:tcW w:w="1021" w:type="dxa"/>
            <w:tcBorders>
              <w:top w:val="single" w:sz="8" w:space="0" w:color="AEAEAE"/>
              <w:left w:val="single" w:sz="8" w:space="0" w:color="E0E0E0"/>
              <w:bottom w:val="single" w:sz="8" w:space="0" w:color="AEAEAE"/>
              <w:right w:val="single" w:sz="8" w:space="0" w:color="E0E0E0"/>
            </w:tcBorders>
            <w:shd w:val="clear" w:color="auto" w:fill="F9F9FB"/>
          </w:tcPr>
          <w:p w14:paraId="1247321D"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-.943</w:t>
            </w:r>
          </w:p>
        </w:tc>
        <w:tc>
          <w:tcPr>
            <w:tcW w:w="1474" w:type="dxa"/>
            <w:tcBorders>
              <w:top w:val="single" w:sz="8" w:space="0" w:color="AEAEAE"/>
              <w:left w:val="single" w:sz="8" w:space="0" w:color="E0E0E0"/>
              <w:bottom w:val="single" w:sz="8" w:space="0" w:color="AEAEAE"/>
              <w:right w:val="nil"/>
            </w:tcBorders>
            <w:shd w:val="clear" w:color="auto" w:fill="F9F9FB"/>
          </w:tcPr>
          <w:p w14:paraId="505A2DEB"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.503</w:t>
            </w:r>
          </w:p>
        </w:tc>
      </w:tr>
      <w:tr w:rsidR="009C3C86" w:rsidRPr="00A4191D" w14:paraId="4729A2B0" w14:textId="77777777" w:rsidTr="009C3C86">
        <w:trPr>
          <w:cantSplit/>
          <w:trHeight w:val="321"/>
        </w:trPr>
        <w:tc>
          <w:tcPr>
            <w:tcW w:w="2468" w:type="dxa"/>
            <w:tcBorders>
              <w:top w:val="single" w:sz="8" w:space="0" w:color="AEAEAE"/>
              <w:left w:val="nil"/>
              <w:bottom w:val="single" w:sz="8" w:space="0" w:color="AEAEAE"/>
              <w:right w:val="nil"/>
            </w:tcBorders>
            <w:shd w:val="clear" w:color="auto" w:fill="E0E0E0"/>
          </w:tcPr>
          <w:p w14:paraId="5C118009" w14:textId="77777777" w:rsidR="009C3C86" w:rsidRPr="00A4191D" w:rsidRDefault="009C3C86" w:rsidP="009C3C86">
            <w:pPr>
              <w:autoSpaceDE w:val="0"/>
              <w:autoSpaceDN w:val="0"/>
              <w:adjustRightInd w:val="0"/>
              <w:spacing w:after="0" w:line="320" w:lineRule="atLeast"/>
              <w:ind w:left="60" w:right="60"/>
              <w:rPr>
                <w:rFonts w:ascii="Arial" w:hAnsi="Arial" w:cs="Arial"/>
                <w:color w:val="264A60"/>
                <w:sz w:val="24"/>
                <w:szCs w:val="24"/>
              </w:rPr>
            </w:pPr>
            <w:r w:rsidRPr="00A4191D">
              <w:rPr>
                <w:rFonts w:ascii="Arial" w:hAnsi="Arial" w:cs="Arial"/>
                <w:color w:val="264A60"/>
                <w:sz w:val="24"/>
                <w:szCs w:val="24"/>
              </w:rPr>
              <w:t>Anxiety</w:t>
            </w:r>
          </w:p>
        </w:tc>
        <w:tc>
          <w:tcPr>
            <w:tcW w:w="1021" w:type="dxa"/>
            <w:tcBorders>
              <w:top w:val="single" w:sz="8" w:space="0" w:color="AEAEAE"/>
              <w:left w:val="nil"/>
              <w:bottom w:val="single" w:sz="8" w:space="0" w:color="AEAEAE"/>
              <w:right w:val="single" w:sz="8" w:space="0" w:color="E0E0E0"/>
            </w:tcBorders>
            <w:shd w:val="clear" w:color="auto" w:fill="F9F9FB"/>
          </w:tcPr>
          <w:p w14:paraId="2669CBC3"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90</w:t>
            </w:r>
          </w:p>
        </w:tc>
        <w:tc>
          <w:tcPr>
            <w:tcW w:w="1021" w:type="dxa"/>
            <w:tcBorders>
              <w:top w:val="single" w:sz="8" w:space="0" w:color="AEAEAE"/>
              <w:left w:val="single" w:sz="8" w:space="0" w:color="E0E0E0"/>
              <w:bottom w:val="single" w:sz="8" w:space="0" w:color="AEAEAE"/>
              <w:right w:val="single" w:sz="8" w:space="0" w:color="E0E0E0"/>
            </w:tcBorders>
            <w:shd w:val="clear" w:color="auto" w:fill="F9F9FB"/>
          </w:tcPr>
          <w:p w14:paraId="43BAC04C"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0</w:t>
            </w:r>
          </w:p>
        </w:tc>
        <w:tc>
          <w:tcPr>
            <w:tcW w:w="1082" w:type="dxa"/>
            <w:tcBorders>
              <w:top w:val="single" w:sz="8" w:space="0" w:color="AEAEAE"/>
              <w:left w:val="single" w:sz="8" w:space="0" w:color="E0E0E0"/>
              <w:bottom w:val="single" w:sz="8" w:space="0" w:color="AEAEAE"/>
              <w:right w:val="single" w:sz="8" w:space="0" w:color="E0E0E0"/>
            </w:tcBorders>
            <w:shd w:val="clear" w:color="auto" w:fill="F9F9FB"/>
          </w:tcPr>
          <w:p w14:paraId="6E6FEFE2"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-.149</w:t>
            </w:r>
          </w:p>
        </w:tc>
        <w:tc>
          <w:tcPr>
            <w:tcW w:w="1474" w:type="dxa"/>
            <w:tcBorders>
              <w:top w:val="single" w:sz="8" w:space="0" w:color="AEAEAE"/>
              <w:left w:val="single" w:sz="8" w:space="0" w:color="E0E0E0"/>
              <w:bottom w:val="single" w:sz="8" w:space="0" w:color="AEAEAE"/>
              <w:right w:val="single" w:sz="8" w:space="0" w:color="E0E0E0"/>
            </w:tcBorders>
            <w:shd w:val="clear" w:color="auto" w:fill="F9F9FB"/>
          </w:tcPr>
          <w:p w14:paraId="5752ADDB"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.254</w:t>
            </w:r>
          </w:p>
        </w:tc>
        <w:tc>
          <w:tcPr>
            <w:tcW w:w="1021" w:type="dxa"/>
            <w:tcBorders>
              <w:top w:val="single" w:sz="8" w:space="0" w:color="AEAEAE"/>
              <w:left w:val="single" w:sz="8" w:space="0" w:color="E0E0E0"/>
              <w:bottom w:val="single" w:sz="8" w:space="0" w:color="AEAEAE"/>
              <w:right w:val="single" w:sz="8" w:space="0" w:color="E0E0E0"/>
            </w:tcBorders>
            <w:shd w:val="clear" w:color="auto" w:fill="F9F9FB"/>
          </w:tcPr>
          <w:p w14:paraId="19E49509"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-1.229</w:t>
            </w:r>
          </w:p>
        </w:tc>
        <w:tc>
          <w:tcPr>
            <w:tcW w:w="1474" w:type="dxa"/>
            <w:tcBorders>
              <w:top w:val="single" w:sz="8" w:space="0" w:color="AEAEAE"/>
              <w:left w:val="single" w:sz="8" w:space="0" w:color="E0E0E0"/>
              <w:bottom w:val="single" w:sz="8" w:space="0" w:color="AEAEAE"/>
              <w:right w:val="nil"/>
            </w:tcBorders>
            <w:shd w:val="clear" w:color="auto" w:fill="F9F9FB"/>
          </w:tcPr>
          <w:p w14:paraId="71363203"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.503</w:t>
            </w:r>
          </w:p>
        </w:tc>
      </w:tr>
      <w:tr w:rsidR="009C3C86" w:rsidRPr="00A4191D" w14:paraId="353146F6" w14:textId="77777777" w:rsidTr="009C3C86">
        <w:trPr>
          <w:cantSplit/>
          <w:trHeight w:val="643"/>
        </w:trPr>
        <w:tc>
          <w:tcPr>
            <w:tcW w:w="2468" w:type="dxa"/>
            <w:tcBorders>
              <w:top w:val="single" w:sz="8" w:space="0" w:color="AEAEAE"/>
              <w:left w:val="nil"/>
              <w:bottom w:val="single" w:sz="8" w:space="0" w:color="152935"/>
              <w:right w:val="nil"/>
            </w:tcBorders>
            <w:shd w:val="clear" w:color="auto" w:fill="E0E0E0"/>
          </w:tcPr>
          <w:p w14:paraId="23530EAF" w14:textId="77777777" w:rsidR="009C3C86" w:rsidRPr="00A4191D" w:rsidRDefault="009C3C86" w:rsidP="009C3C86">
            <w:pPr>
              <w:autoSpaceDE w:val="0"/>
              <w:autoSpaceDN w:val="0"/>
              <w:adjustRightInd w:val="0"/>
              <w:spacing w:after="0" w:line="320" w:lineRule="atLeast"/>
              <w:ind w:left="60" w:right="60"/>
              <w:rPr>
                <w:rFonts w:ascii="Arial" w:hAnsi="Arial" w:cs="Arial"/>
                <w:color w:val="264A60"/>
                <w:sz w:val="24"/>
                <w:szCs w:val="24"/>
              </w:rPr>
            </w:pPr>
            <w:r>
              <w:rPr>
                <w:rFonts w:ascii="Arial" w:hAnsi="Arial" w:cs="Arial"/>
                <w:color w:val="264A60"/>
                <w:sz w:val="24"/>
                <w:szCs w:val="24"/>
              </w:rPr>
              <w:t>Diagnosis of epilepsy or DS</w:t>
            </w:r>
          </w:p>
        </w:tc>
        <w:tc>
          <w:tcPr>
            <w:tcW w:w="1021" w:type="dxa"/>
            <w:tcBorders>
              <w:top w:val="single" w:sz="8" w:space="0" w:color="AEAEAE"/>
              <w:left w:val="nil"/>
              <w:bottom w:val="single" w:sz="8" w:space="0" w:color="152935"/>
              <w:right w:val="single" w:sz="8" w:space="0" w:color="E0E0E0"/>
            </w:tcBorders>
            <w:shd w:val="clear" w:color="auto" w:fill="F9F9FB"/>
          </w:tcPr>
          <w:p w14:paraId="446713C2"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90</w:t>
            </w:r>
          </w:p>
        </w:tc>
        <w:tc>
          <w:tcPr>
            <w:tcW w:w="1021" w:type="dxa"/>
            <w:tcBorders>
              <w:top w:val="single" w:sz="8" w:space="0" w:color="AEAEAE"/>
              <w:left w:val="single" w:sz="8" w:space="0" w:color="E0E0E0"/>
              <w:bottom w:val="single" w:sz="8" w:space="0" w:color="152935"/>
              <w:right w:val="single" w:sz="8" w:space="0" w:color="E0E0E0"/>
            </w:tcBorders>
            <w:shd w:val="clear" w:color="auto" w:fill="F9F9FB"/>
          </w:tcPr>
          <w:p w14:paraId="416DDE8E"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0</w:t>
            </w:r>
          </w:p>
        </w:tc>
        <w:tc>
          <w:tcPr>
            <w:tcW w:w="1082" w:type="dxa"/>
            <w:tcBorders>
              <w:top w:val="single" w:sz="8" w:space="0" w:color="AEAEAE"/>
              <w:left w:val="single" w:sz="8" w:space="0" w:color="E0E0E0"/>
              <w:bottom w:val="single" w:sz="8" w:space="0" w:color="152935"/>
              <w:right w:val="single" w:sz="8" w:space="0" w:color="E0E0E0"/>
            </w:tcBorders>
            <w:shd w:val="clear" w:color="auto" w:fill="F9F9FB"/>
          </w:tcPr>
          <w:p w14:paraId="2EFFC8B3"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-.045</w:t>
            </w:r>
          </w:p>
        </w:tc>
        <w:tc>
          <w:tcPr>
            <w:tcW w:w="1474" w:type="dxa"/>
            <w:tcBorders>
              <w:top w:val="single" w:sz="8" w:space="0" w:color="AEAEAE"/>
              <w:left w:val="single" w:sz="8" w:space="0" w:color="E0E0E0"/>
              <w:bottom w:val="single" w:sz="8" w:space="0" w:color="152935"/>
              <w:right w:val="single" w:sz="8" w:space="0" w:color="E0E0E0"/>
            </w:tcBorders>
            <w:shd w:val="clear" w:color="auto" w:fill="F9F9FB"/>
          </w:tcPr>
          <w:p w14:paraId="25C35013"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.254</w:t>
            </w:r>
          </w:p>
        </w:tc>
        <w:tc>
          <w:tcPr>
            <w:tcW w:w="1021" w:type="dxa"/>
            <w:tcBorders>
              <w:top w:val="single" w:sz="8" w:space="0" w:color="AEAEAE"/>
              <w:left w:val="single" w:sz="8" w:space="0" w:color="E0E0E0"/>
              <w:bottom w:val="single" w:sz="8" w:space="0" w:color="152935"/>
              <w:right w:val="single" w:sz="8" w:space="0" w:color="E0E0E0"/>
            </w:tcBorders>
            <w:shd w:val="clear" w:color="auto" w:fill="F9F9FB"/>
          </w:tcPr>
          <w:p w14:paraId="50E3A299"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-2.044</w:t>
            </w:r>
          </w:p>
        </w:tc>
        <w:tc>
          <w:tcPr>
            <w:tcW w:w="1474" w:type="dxa"/>
            <w:tcBorders>
              <w:top w:val="single" w:sz="8" w:space="0" w:color="AEAEAE"/>
              <w:left w:val="single" w:sz="8" w:space="0" w:color="E0E0E0"/>
              <w:bottom w:val="single" w:sz="8" w:space="0" w:color="152935"/>
              <w:right w:val="nil"/>
            </w:tcBorders>
            <w:shd w:val="clear" w:color="auto" w:fill="F9F9FB"/>
          </w:tcPr>
          <w:p w14:paraId="47E19C2D" w14:textId="77777777" w:rsidR="009C3C86" w:rsidRPr="00A4191D"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191D">
              <w:rPr>
                <w:rFonts w:ascii="Arial" w:hAnsi="Arial" w:cs="Arial"/>
                <w:color w:val="010205"/>
                <w:sz w:val="24"/>
                <w:szCs w:val="24"/>
              </w:rPr>
              <w:t>.503</w:t>
            </w:r>
          </w:p>
        </w:tc>
      </w:tr>
    </w:tbl>
    <w:p w14:paraId="3E7C1253" w14:textId="77777777" w:rsidR="009C3C86" w:rsidRPr="00D018BC" w:rsidRDefault="009C3C86" w:rsidP="009C3C86">
      <w:pPr>
        <w:autoSpaceDE w:val="0"/>
        <w:autoSpaceDN w:val="0"/>
        <w:adjustRightInd w:val="0"/>
        <w:spacing w:after="0" w:line="400" w:lineRule="atLeast"/>
        <w:rPr>
          <w:rFonts w:ascii="Times New Roman" w:hAnsi="Times New Roman" w:cs="Times New Roman"/>
          <w:sz w:val="24"/>
          <w:szCs w:val="24"/>
        </w:rPr>
      </w:pPr>
    </w:p>
    <w:p w14:paraId="38D7D484" w14:textId="77777777" w:rsidR="009C3C86" w:rsidRPr="00A4191D" w:rsidRDefault="009C3C86" w:rsidP="009C3C86">
      <w:pPr>
        <w:autoSpaceDE w:val="0"/>
        <w:autoSpaceDN w:val="0"/>
        <w:adjustRightInd w:val="0"/>
        <w:spacing w:after="0" w:line="240" w:lineRule="auto"/>
        <w:rPr>
          <w:rFonts w:ascii="Times New Roman" w:hAnsi="Times New Roman" w:cs="Times New Roman"/>
          <w:sz w:val="24"/>
          <w:szCs w:val="24"/>
        </w:rPr>
      </w:pPr>
    </w:p>
    <w:p w14:paraId="4B00A80A" w14:textId="77777777" w:rsidR="009C3C86" w:rsidRPr="008A3421" w:rsidRDefault="009C3C86" w:rsidP="009C3C86">
      <w:pPr>
        <w:autoSpaceDE w:val="0"/>
        <w:autoSpaceDN w:val="0"/>
        <w:adjustRightInd w:val="0"/>
        <w:spacing w:after="0" w:line="240" w:lineRule="auto"/>
        <w:rPr>
          <w:rFonts w:ascii="Times New Roman" w:hAnsi="Times New Roman" w:cs="Times New Roman"/>
          <w:sz w:val="24"/>
          <w:szCs w:val="24"/>
        </w:rPr>
      </w:pPr>
    </w:p>
    <w:tbl>
      <w:tblPr>
        <w:tblW w:w="8793" w:type="dxa"/>
        <w:tblLayout w:type="fixed"/>
        <w:tblCellMar>
          <w:left w:w="0" w:type="dxa"/>
          <w:right w:w="0" w:type="dxa"/>
        </w:tblCellMar>
        <w:tblLook w:val="0000" w:firstRow="0" w:lastRow="0" w:firstColumn="0" w:lastColumn="0" w:noHBand="0" w:noVBand="0"/>
      </w:tblPr>
      <w:tblGrid>
        <w:gridCol w:w="2523"/>
        <w:gridCol w:w="1045"/>
        <w:gridCol w:w="1045"/>
        <w:gridCol w:w="1045"/>
        <w:gridCol w:w="1045"/>
        <w:gridCol w:w="1045"/>
        <w:gridCol w:w="1045"/>
      </w:tblGrid>
      <w:tr w:rsidR="009C3C86" w:rsidRPr="008A3421" w14:paraId="497300FB" w14:textId="77777777" w:rsidTr="009C3C86">
        <w:trPr>
          <w:cantSplit/>
        </w:trPr>
        <w:tc>
          <w:tcPr>
            <w:tcW w:w="8791" w:type="dxa"/>
            <w:gridSpan w:val="7"/>
            <w:tcBorders>
              <w:top w:val="nil"/>
              <w:left w:val="nil"/>
              <w:bottom w:val="nil"/>
              <w:right w:val="nil"/>
            </w:tcBorders>
            <w:shd w:val="clear" w:color="auto" w:fill="FFFFFF"/>
            <w:vAlign w:val="center"/>
          </w:tcPr>
          <w:p w14:paraId="733B6A89" w14:textId="77777777" w:rsidR="009C3C86" w:rsidRPr="008A3421" w:rsidRDefault="009C3C86" w:rsidP="009C3C86">
            <w:pPr>
              <w:autoSpaceDE w:val="0"/>
              <w:autoSpaceDN w:val="0"/>
              <w:adjustRightInd w:val="0"/>
              <w:spacing w:after="0" w:line="320" w:lineRule="atLeast"/>
              <w:ind w:left="60" w:right="60"/>
              <w:jc w:val="center"/>
              <w:rPr>
                <w:rFonts w:ascii="Arial" w:hAnsi="Arial" w:cs="Arial"/>
                <w:color w:val="010205"/>
                <w:sz w:val="28"/>
                <w:szCs w:val="28"/>
              </w:rPr>
            </w:pPr>
            <w:r w:rsidRPr="008A3421">
              <w:rPr>
                <w:rFonts w:ascii="Arial" w:hAnsi="Arial" w:cs="Arial"/>
                <w:b/>
                <w:bCs/>
                <w:color w:val="010205"/>
                <w:sz w:val="28"/>
                <w:szCs w:val="28"/>
              </w:rPr>
              <w:t>Tests of Normality</w:t>
            </w:r>
          </w:p>
        </w:tc>
      </w:tr>
      <w:tr w:rsidR="009C3C86" w:rsidRPr="008A3421" w14:paraId="5BC9FDE8" w14:textId="77777777" w:rsidTr="009C3C86">
        <w:trPr>
          <w:cantSplit/>
        </w:trPr>
        <w:tc>
          <w:tcPr>
            <w:tcW w:w="2521" w:type="dxa"/>
            <w:vMerge w:val="restart"/>
            <w:tcBorders>
              <w:top w:val="nil"/>
              <w:left w:val="nil"/>
              <w:bottom w:val="nil"/>
              <w:right w:val="nil"/>
            </w:tcBorders>
            <w:shd w:val="clear" w:color="auto" w:fill="FFFFFF"/>
            <w:vAlign w:val="bottom"/>
          </w:tcPr>
          <w:p w14:paraId="5BF976B9" w14:textId="77777777" w:rsidR="009C3C86" w:rsidRPr="008A3421" w:rsidRDefault="009C3C86" w:rsidP="009C3C86">
            <w:pPr>
              <w:autoSpaceDE w:val="0"/>
              <w:autoSpaceDN w:val="0"/>
              <w:adjustRightInd w:val="0"/>
              <w:spacing w:after="0" w:line="240" w:lineRule="auto"/>
              <w:rPr>
                <w:rFonts w:ascii="Times New Roman" w:hAnsi="Times New Roman" w:cs="Times New Roman"/>
                <w:sz w:val="24"/>
                <w:szCs w:val="24"/>
              </w:rPr>
            </w:pPr>
          </w:p>
        </w:tc>
        <w:tc>
          <w:tcPr>
            <w:tcW w:w="3135" w:type="dxa"/>
            <w:gridSpan w:val="3"/>
            <w:tcBorders>
              <w:top w:val="nil"/>
              <w:left w:val="nil"/>
              <w:bottom w:val="nil"/>
              <w:right w:val="nil"/>
            </w:tcBorders>
            <w:shd w:val="clear" w:color="auto" w:fill="FFFFFF"/>
            <w:vAlign w:val="bottom"/>
          </w:tcPr>
          <w:p w14:paraId="0C4C735F" w14:textId="77777777" w:rsidR="009C3C86" w:rsidRPr="008A3421"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8A3421">
              <w:rPr>
                <w:rFonts w:ascii="Arial" w:hAnsi="Arial" w:cs="Arial"/>
                <w:color w:val="264A60"/>
                <w:sz w:val="24"/>
                <w:szCs w:val="24"/>
              </w:rPr>
              <w:t>Kolmogorov-Smirnov</w:t>
            </w:r>
            <w:r w:rsidRPr="008A3421">
              <w:rPr>
                <w:rFonts w:ascii="Arial" w:hAnsi="Arial" w:cs="Arial"/>
                <w:color w:val="264A60"/>
                <w:sz w:val="24"/>
                <w:szCs w:val="24"/>
                <w:vertAlign w:val="superscript"/>
              </w:rPr>
              <w:t>a</w:t>
            </w:r>
          </w:p>
        </w:tc>
        <w:tc>
          <w:tcPr>
            <w:tcW w:w="3135" w:type="dxa"/>
            <w:gridSpan w:val="3"/>
            <w:tcBorders>
              <w:top w:val="nil"/>
              <w:left w:val="single" w:sz="8" w:space="0" w:color="E0E0E0"/>
              <w:bottom w:val="nil"/>
              <w:right w:val="nil"/>
            </w:tcBorders>
            <w:shd w:val="clear" w:color="auto" w:fill="FFFFFF"/>
            <w:vAlign w:val="bottom"/>
          </w:tcPr>
          <w:p w14:paraId="6BF2C705" w14:textId="77777777" w:rsidR="009C3C86" w:rsidRPr="008A3421"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8A3421">
              <w:rPr>
                <w:rFonts w:ascii="Arial" w:hAnsi="Arial" w:cs="Arial"/>
                <w:color w:val="264A60"/>
                <w:sz w:val="24"/>
                <w:szCs w:val="24"/>
              </w:rPr>
              <w:t>Shapiro-Wilk</w:t>
            </w:r>
          </w:p>
        </w:tc>
      </w:tr>
      <w:tr w:rsidR="009C3C86" w:rsidRPr="008A3421" w14:paraId="34B100F4" w14:textId="77777777" w:rsidTr="009C3C86">
        <w:trPr>
          <w:cantSplit/>
        </w:trPr>
        <w:tc>
          <w:tcPr>
            <w:tcW w:w="2521" w:type="dxa"/>
            <w:vMerge/>
            <w:tcBorders>
              <w:top w:val="nil"/>
              <w:left w:val="nil"/>
              <w:bottom w:val="nil"/>
              <w:right w:val="nil"/>
            </w:tcBorders>
            <w:shd w:val="clear" w:color="auto" w:fill="FFFFFF"/>
            <w:vAlign w:val="bottom"/>
          </w:tcPr>
          <w:p w14:paraId="6F1E871E" w14:textId="77777777" w:rsidR="009C3C86" w:rsidRPr="008A3421" w:rsidRDefault="009C3C86" w:rsidP="009C3C86">
            <w:pPr>
              <w:autoSpaceDE w:val="0"/>
              <w:autoSpaceDN w:val="0"/>
              <w:adjustRightInd w:val="0"/>
              <w:spacing w:after="0" w:line="240" w:lineRule="auto"/>
              <w:rPr>
                <w:rFonts w:ascii="Arial" w:hAnsi="Arial" w:cs="Arial"/>
                <w:color w:val="264A60"/>
                <w:sz w:val="24"/>
                <w:szCs w:val="24"/>
              </w:rPr>
            </w:pPr>
          </w:p>
        </w:tc>
        <w:tc>
          <w:tcPr>
            <w:tcW w:w="1045" w:type="dxa"/>
            <w:tcBorders>
              <w:top w:val="nil"/>
              <w:left w:val="nil"/>
              <w:bottom w:val="single" w:sz="8" w:space="0" w:color="152935"/>
              <w:right w:val="single" w:sz="8" w:space="0" w:color="E0E0E0"/>
            </w:tcBorders>
            <w:shd w:val="clear" w:color="auto" w:fill="FFFFFF"/>
            <w:vAlign w:val="bottom"/>
          </w:tcPr>
          <w:p w14:paraId="013281F0" w14:textId="77777777" w:rsidR="009C3C86" w:rsidRPr="008A3421"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8A3421">
              <w:rPr>
                <w:rFonts w:ascii="Arial" w:hAnsi="Arial" w:cs="Arial"/>
                <w:color w:val="264A60"/>
                <w:sz w:val="24"/>
                <w:szCs w:val="24"/>
              </w:rPr>
              <w:t>Statistic</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09AF875E" w14:textId="77777777" w:rsidR="009C3C86" w:rsidRPr="008A3421"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8A3421">
              <w:rPr>
                <w:rFonts w:ascii="Arial" w:hAnsi="Arial" w:cs="Arial"/>
                <w:color w:val="264A60"/>
                <w:sz w:val="24"/>
                <w:szCs w:val="24"/>
              </w:rPr>
              <w:t>df</w:t>
            </w:r>
          </w:p>
        </w:tc>
        <w:tc>
          <w:tcPr>
            <w:tcW w:w="1045" w:type="dxa"/>
            <w:tcBorders>
              <w:top w:val="nil"/>
              <w:left w:val="single" w:sz="8" w:space="0" w:color="E0E0E0"/>
              <w:bottom w:val="single" w:sz="8" w:space="0" w:color="152935"/>
              <w:right w:val="nil"/>
            </w:tcBorders>
            <w:shd w:val="clear" w:color="auto" w:fill="FFFFFF"/>
            <w:vAlign w:val="bottom"/>
          </w:tcPr>
          <w:p w14:paraId="2DE8D6F3" w14:textId="77777777" w:rsidR="009C3C86" w:rsidRPr="008A3421"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8A3421">
              <w:rPr>
                <w:rFonts w:ascii="Arial" w:hAnsi="Arial" w:cs="Arial"/>
                <w:color w:val="264A60"/>
                <w:sz w:val="24"/>
                <w:szCs w:val="24"/>
              </w:rPr>
              <w:t>Sig.</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588AF74A" w14:textId="77777777" w:rsidR="009C3C86" w:rsidRPr="008A3421"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8A3421">
              <w:rPr>
                <w:rFonts w:ascii="Arial" w:hAnsi="Arial" w:cs="Arial"/>
                <w:color w:val="264A60"/>
                <w:sz w:val="24"/>
                <w:szCs w:val="24"/>
              </w:rPr>
              <w:t>Statistic</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663DAD41" w14:textId="77777777" w:rsidR="009C3C86" w:rsidRPr="008A3421"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8A3421">
              <w:rPr>
                <w:rFonts w:ascii="Arial" w:hAnsi="Arial" w:cs="Arial"/>
                <w:color w:val="264A60"/>
                <w:sz w:val="24"/>
                <w:szCs w:val="24"/>
              </w:rPr>
              <w:t>df</w:t>
            </w:r>
          </w:p>
        </w:tc>
        <w:tc>
          <w:tcPr>
            <w:tcW w:w="1045" w:type="dxa"/>
            <w:tcBorders>
              <w:top w:val="nil"/>
              <w:left w:val="single" w:sz="8" w:space="0" w:color="E0E0E0"/>
              <w:bottom w:val="single" w:sz="8" w:space="0" w:color="152935"/>
              <w:right w:val="nil"/>
            </w:tcBorders>
            <w:shd w:val="clear" w:color="auto" w:fill="FFFFFF"/>
            <w:vAlign w:val="bottom"/>
          </w:tcPr>
          <w:p w14:paraId="672C9730" w14:textId="77777777" w:rsidR="009C3C86" w:rsidRPr="008A3421"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8A3421">
              <w:rPr>
                <w:rFonts w:ascii="Arial" w:hAnsi="Arial" w:cs="Arial"/>
                <w:color w:val="264A60"/>
                <w:sz w:val="24"/>
                <w:szCs w:val="24"/>
              </w:rPr>
              <w:t>Sig.</w:t>
            </w:r>
          </w:p>
        </w:tc>
      </w:tr>
      <w:tr w:rsidR="009C3C86" w:rsidRPr="008A3421" w14:paraId="5C760F1A" w14:textId="77777777" w:rsidTr="009C3C86">
        <w:trPr>
          <w:cantSplit/>
        </w:trPr>
        <w:tc>
          <w:tcPr>
            <w:tcW w:w="2521" w:type="dxa"/>
            <w:tcBorders>
              <w:top w:val="single" w:sz="8" w:space="0" w:color="152935"/>
              <w:left w:val="nil"/>
              <w:bottom w:val="single" w:sz="8" w:space="0" w:color="AEAEAE"/>
              <w:right w:val="nil"/>
            </w:tcBorders>
            <w:shd w:val="clear" w:color="auto" w:fill="E0E0E0"/>
          </w:tcPr>
          <w:p w14:paraId="057E556E" w14:textId="77777777" w:rsidR="009C3C86" w:rsidRPr="008A3421" w:rsidRDefault="009C3C86" w:rsidP="009C3C86">
            <w:pPr>
              <w:autoSpaceDE w:val="0"/>
              <w:autoSpaceDN w:val="0"/>
              <w:adjustRightInd w:val="0"/>
              <w:spacing w:after="0" w:line="320" w:lineRule="atLeast"/>
              <w:ind w:left="60" w:right="60"/>
              <w:rPr>
                <w:rFonts w:ascii="Arial" w:hAnsi="Arial" w:cs="Arial"/>
                <w:color w:val="264A60"/>
                <w:sz w:val="24"/>
                <w:szCs w:val="24"/>
              </w:rPr>
            </w:pPr>
            <w:r w:rsidRPr="008A3421">
              <w:rPr>
                <w:rFonts w:ascii="Arial" w:hAnsi="Arial" w:cs="Arial"/>
                <w:color w:val="264A60"/>
                <w:sz w:val="24"/>
                <w:szCs w:val="24"/>
              </w:rPr>
              <w:t>Somatisation</w:t>
            </w:r>
          </w:p>
        </w:tc>
        <w:tc>
          <w:tcPr>
            <w:tcW w:w="1045" w:type="dxa"/>
            <w:tcBorders>
              <w:top w:val="single" w:sz="8" w:space="0" w:color="152935"/>
              <w:left w:val="nil"/>
              <w:bottom w:val="single" w:sz="8" w:space="0" w:color="AEAEAE"/>
              <w:right w:val="single" w:sz="8" w:space="0" w:color="E0E0E0"/>
            </w:tcBorders>
            <w:shd w:val="clear" w:color="auto" w:fill="F9F9FB"/>
          </w:tcPr>
          <w:p w14:paraId="5AA006B2"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.113</w:t>
            </w:r>
          </w:p>
        </w:tc>
        <w:tc>
          <w:tcPr>
            <w:tcW w:w="1045" w:type="dxa"/>
            <w:tcBorders>
              <w:top w:val="single" w:sz="8" w:space="0" w:color="152935"/>
              <w:left w:val="single" w:sz="8" w:space="0" w:color="E0E0E0"/>
              <w:bottom w:val="single" w:sz="8" w:space="0" w:color="AEAEAE"/>
              <w:right w:val="single" w:sz="8" w:space="0" w:color="E0E0E0"/>
            </w:tcBorders>
            <w:shd w:val="clear" w:color="auto" w:fill="F9F9FB"/>
          </w:tcPr>
          <w:p w14:paraId="482DBB2C"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90</w:t>
            </w:r>
          </w:p>
        </w:tc>
        <w:tc>
          <w:tcPr>
            <w:tcW w:w="1045" w:type="dxa"/>
            <w:tcBorders>
              <w:top w:val="single" w:sz="8" w:space="0" w:color="152935"/>
              <w:left w:val="single" w:sz="8" w:space="0" w:color="E0E0E0"/>
              <w:bottom w:val="single" w:sz="8" w:space="0" w:color="AEAEAE"/>
              <w:right w:val="nil"/>
            </w:tcBorders>
            <w:shd w:val="clear" w:color="auto" w:fill="F9F9FB"/>
          </w:tcPr>
          <w:p w14:paraId="1D725F07"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.006</w:t>
            </w:r>
          </w:p>
        </w:tc>
        <w:tc>
          <w:tcPr>
            <w:tcW w:w="1045" w:type="dxa"/>
            <w:tcBorders>
              <w:top w:val="single" w:sz="8" w:space="0" w:color="152935"/>
              <w:left w:val="single" w:sz="8" w:space="0" w:color="E0E0E0"/>
              <w:bottom w:val="single" w:sz="8" w:space="0" w:color="AEAEAE"/>
              <w:right w:val="single" w:sz="8" w:space="0" w:color="E0E0E0"/>
            </w:tcBorders>
            <w:shd w:val="clear" w:color="auto" w:fill="F9F9FB"/>
          </w:tcPr>
          <w:p w14:paraId="47B4536E"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.964</w:t>
            </w:r>
          </w:p>
        </w:tc>
        <w:tc>
          <w:tcPr>
            <w:tcW w:w="1045" w:type="dxa"/>
            <w:tcBorders>
              <w:top w:val="single" w:sz="8" w:space="0" w:color="152935"/>
              <w:left w:val="single" w:sz="8" w:space="0" w:color="E0E0E0"/>
              <w:bottom w:val="single" w:sz="8" w:space="0" w:color="AEAEAE"/>
              <w:right w:val="single" w:sz="8" w:space="0" w:color="E0E0E0"/>
            </w:tcBorders>
            <w:shd w:val="clear" w:color="auto" w:fill="F9F9FB"/>
          </w:tcPr>
          <w:p w14:paraId="6BF16C2A"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90</w:t>
            </w:r>
          </w:p>
        </w:tc>
        <w:tc>
          <w:tcPr>
            <w:tcW w:w="1045" w:type="dxa"/>
            <w:tcBorders>
              <w:top w:val="single" w:sz="8" w:space="0" w:color="152935"/>
              <w:left w:val="single" w:sz="8" w:space="0" w:color="E0E0E0"/>
              <w:bottom w:val="single" w:sz="8" w:space="0" w:color="AEAEAE"/>
              <w:right w:val="nil"/>
            </w:tcBorders>
            <w:shd w:val="clear" w:color="auto" w:fill="F9F9FB"/>
          </w:tcPr>
          <w:p w14:paraId="27CF72DB"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.014</w:t>
            </w:r>
          </w:p>
        </w:tc>
      </w:tr>
      <w:tr w:rsidR="009C3C86" w:rsidRPr="008A3421" w14:paraId="0256E28F" w14:textId="77777777" w:rsidTr="009C3C86">
        <w:trPr>
          <w:cantSplit/>
        </w:trPr>
        <w:tc>
          <w:tcPr>
            <w:tcW w:w="2521" w:type="dxa"/>
            <w:tcBorders>
              <w:top w:val="single" w:sz="8" w:space="0" w:color="AEAEAE"/>
              <w:left w:val="nil"/>
              <w:bottom w:val="single" w:sz="8" w:space="0" w:color="AEAEAE"/>
              <w:right w:val="nil"/>
            </w:tcBorders>
            <w:shd w:val="clear" w:color="auto" w:fill="E0E0E0"/>
          </w:tcPr>
          <w:p w14:paraId="382E4697" w14:textId="77777777" w:rsidR="009C3C86" w:rsidRPr="008A3421" w:rsidRDefault="009C3C86" w:rsidP="009C3C86">
            <w:pPr>
              <w:autoSpaceDE w:val="0"/>
              <w:autoSpaceDN w:val="0"/>
              <w:adjustRightInd w:val="0"/>
              <w:spacing w:after="0" w:line="320" w:lineRule="atLeast"/>
              <w:ind w:left="60" w:right="60"/>
              <w:rPr>
                <w:rFonts w:ascii="Arial" w:hAnsi="Arial" w:cs="Arial"/>
                <w:color w:val="264A60"/>
                <w:sz w:val="24"/>
                <w:szCs w:val="24"/>
              </w:rPr>
            </w:pPr>
            <w:r w:rsidRPr="008A3421">
              <w:rPr>
                <w:rFonts w:ascii="Arial" w:hAnsi="Arial" w:cs="Arial"/>
                <w:color w:val="264A60"/>
                <w:sz w:val="24"/>
                <w:szCs w:val="24"/>
              </w:rPr>
              <w:t>Seizure</w:t>
            </w:r>
            <w:r>
              <w:rPr>
                <w:rFonts w:ascii="Arial" w:hAnsi="Arial" w:cs="Arial"/>
                <w:color w:val="264A60"/>
                <w:sz w:val="24"/>
                <w:szCs w:val="24"/>
              </w:rPr>
              <w:t xml:space="preserve"> </w:t>
            </w:r>
            <w:r w:rsidRPr="008A3421">
              <w:rPr>
                <w:rFonts w:ascii="Arial" w:hAnsi="Arial" w:cs="Arial"/>
                <w:color w:val="264A60"/>
                <w:sz w:val="24"/>
                <w:szCs w:val="24"/>
              </w:rPr>
              <w:t>number</w:t>
            </w:r>
          </w:p>
        </w:tc>
        <w:tc>
          <w:tcPr>
            <w:tcW w:w="1045" w:type="dxa"/>
            <w:tcBorders>
              <w:top w:val="single" w:sz="8" w:space="0" w:color="AEAEAE"/>
              <w:left w:val="nil"/>
              <w:bottom w:val="single" w:sz="8" w:space="0" w:color="AEAEAE"/>
              <w:right w:val="single" w:sz="8" w:space="0" w:color="E0E0E0"/>
            </w:tcBorders>
            <w:shd w:val="clear" w:color="auto" w:fill="F9F9FB"/>
          </w:tcPr>
          <w:p w14:paraId="6256E924"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.403</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3B3B0590"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86</w:t>
            </w:r>
          </w:p>
        </w:tc>
        <w:tc>
          <w:tcPr>
            <w:tcW w:w="1045" w:type="dxa"/>
            <w:tcBorders>
              <w:top w:val="single" w:sz="8" w:space="0" w:color="AEAEAE"/>
              <w:left w:val="single" w:sz="8" w:space="0" w:color="E0E0E0"/>
              <w:bottom w:val="single" w:sz="8" w:space="0" w:color="AEAEAE"/>
              <w:right w:val="nil"/>
            </w:tcBorders>
            <w:shd w:val="clear" w:color="auto" w:fill="F9F9FB"/>
          </w:tcPr>
          <w:p w14:paraId="625125F9"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&lt;.001</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5E2AB84B"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.224</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27ECF23C"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86</w:t>
            </w:r>
          </w:p>
        </w:tc>
        <w:tc>
          <w:tcPr>
            <w:tcW w:w="1045" w:type="dxa"/>
            <w:tcBorders>
              <w:top w:val="single" w:sz="8" w:space="0" w:color="AEAEAE"/>
              <w:left w:val="single" w:sz="8" w:space="0" w:color="E0E0E0"/>
              <w:bottom w:val="single" w:sz="8" w:space="0" w:color="AEAEAE"/>
              <w:right w:val="nil"/>
            </w:tcBorders>
            <w:shd w:val="clear" w:color="auto" w:fill="F9F9FB"/>
          </w:tcPr>
          <w:p w14:paraId="4815AB3B"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&lt;.001</w:t>
            </w:r>
          </w:p>
        </w:tc>
      </w:tr>
      <w:tr w:rsidR="009C3C86" w:rsidRPr="008A3421" w14:paraId="13E21366" w14:textId="77777777" w:rsidTr="009C3C86">
        <w:trPr>
          <w:cantSplit/>
        </w:trPr>
        <w:tc>
          <w:tcPr>
            <w:tcW w:w="2521" w:type="dxa"/>
            <w:tcBorders>
              <w:top w:val="single" w:sz="8" w:space="0" w:color="AEAEAE"/>
              <w:left w:val="nil"/>
              <w:bottom w:val="single" w:sz="8" w:space="0" w:color="AEAEAE"/>
              <w:right w:val="nil"/>
            </w:tcBorders>
            <w:shd w:val="clear" w:color="auto" w:fill="E0E0E0"/>
          </w:tcPr>
          <w:p w14:paraId="5A3E3F8B" w14:textId="77777777" w:rsidR="009C3C86" w:rsidRPr="008A3421" w:rsidRDefault="009C3C86" w:rsidP="009C3C86">
            <w:pPr>
              <w:autoSpaceDE w:val="0"/>
              <w:autoSpaceDN w:val="0"/>
              <w:adjustRightInd w:val="0"/>
              <w:spacing w:after="0" w:line="320" w:lineRule="atLeast"/>
              <w:ind w:left="60" w:right="60"/>
              <w:rPr>
                <w:rFonts w:ascii="Arial" w:hAnsi="Arial" w:cs="Arial"/>
                <w:color w:val="264A60"/>
                <w:sz w:val="24"/>
                <w:szCs w:val="24"/>
              </w:rPr>
            </w:pPr>
            <w:r w:rsidRPr="008A3421">
              <w:rPr>
                <w:rFonts w:ascii="Arial" w:hAnsi="Arial" w:cs="Arial"/>
                <w:color w:val="264A60"/>
                <w:sz w:val="24"/>
                <w:szCs w:val="24"/>
              </w:rPr>
              <w:t>Intolerance</w:t>
            </w:r>
            <w:r>
              <w:rPr>
                <w:rFonts w:ascii="Arial" w:hAnsi="Arial" w:cs="Arial"/>
                <w:color w:val="264A60"/>
                <w:sz w:val="24"/>
                <w:szCs w:val="24"/>
              </w:rPr>
              <w:t xml:space="preserve"> </w:t>
            </w:r>
            <w:r w:rsidRPr="008A3421">
              <w:rPr>
                <w:rFonts w:ascii="Arial" w:hAnsi="Arial" w:cs="Arial"/>
                <w:color w:val="264A60"/>
                <w:sz w:val="24"/>
                <w:szCs w:val="24"/>
              </w:rPr>
              <w:t>of</w:t>
            </w:r>
            <w:r>
              <w:rPr>
                <w:rFonts w:ascii="Arial" w:hAnsi="Arial" w:cs="Arial"/>
                <w:color w:val="264A60"/>
                <w:sz w:val="24"/>
                <w:szCs w:val="24"/>
              </w:rPr>
              <w:t xml:space="preserve"> </w:t>
            </w:r>
            <w:r w:rsidRPr="008A3421">
              <w:rPr>
                <w:rFonts w:ascii="Arial" w:hAnsi="Arial" w:cs="Arial"/>
                <w:color w:val="264A60"/>
                <w:sz w:val="24"/>
                <w:szCs w:val="24"/>
              </w:rPr>
              <w:t>uncertainty</w:t>
            </w:r>
          </w:p>
        </w:tc>
        <w:tc>
          <w:tcPr>
            <w:tcW w:w="1045" w:type="dxa"/>
            <w:tcBorders>
              <w:top w:val="single" w:sz="8" w:space="0" w:color="AEAEAE"/>
              <w:left w:val="nil"/>
              <w:bottom w:val="single" w:sz="8" w:space="0" w:color="AEAEAE"/>
              <w:right w:val="single" w:sz="8" w:space="0" w:color="E0E0E0"/>
            </w:tcBorders>
            <w:shd w:val="clear" w:color="auto" w:fill="F9F9FB"/>
          </w:tcPr>
          <w:p w14:paraId="2118AF29"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.070</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4B048572"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90</w:t>
            </w:r>
          </w:p>
        </w:tc>
        <w:tc>
          <w:tcPr>
            <w:tcW w:w="1045" w:type="dxa"/>
            <w:tcBorders>
              <w:top w:val="single" w:sz="8" w:space="0" w:color="AEAEAE"/>
              <w:left w:val="single" w:sz="8" w:space="0" w:color="E0E0E0"/>
              <w:bottom w:val="single" w:sz="8" w:space="0" w:color="AEAEAE"/>
              <w:right w:val="nil"/>
            </w:tcBorders>
            <w:shd w:val="clear" w:color="auto" w:fill="F9F9FB"/>
          </w:tcPr>
          <w:p w14:paraId="0780402F"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.200</w:t>
            </w:r>
            <w:r w:rsidRPr="008A3421">
              <w:rPr>
                <w:rFonts w:ascii="Arial" w:hAnsi="Arial" w:cs="Arial"/>
                <w:color w:val="010205"/>
                <w:sz w:val="24"/>
                <w:szCs w:val="24"/>
                <w:vertAlign w:val="superscript"/>
              </w:rPr>
              <w:t>*</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5E2AEF6A"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.976</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302F9305"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90</w:t>
            </w:r>
          </w:p>
        </w:tc>
        <w:tc>
          <w:tcPr>
            <w:tcW w:w="1045" w:type="dxa"/>
            <w:tcBorders>
              <w:top w:val="single" w:sz="8" w:space="0" w:color="AEAEAE"/>
              <w:left w:val="single" w:sz="8" w:space="0" w:color="E0E0E0"/>
              <w:bottom w:val="single" w:sz="8" w:space="0" w:color="AEAEAE"/>
              <w:right w:val="nil"/>
            </w:tcBorders>
            <w:shd w:val="clear" w:color="auto" w:fill="F9F9FB"/>
          </w:tcPr>
          <w:p w14:paraId="2C27F4AB"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.102</w:t>
            </w:r>
          </w:p>
        </w:tc>
      </w:tr>
      <w:tr w:rsidR="009C3C86" w:rsidRPr="008A3421" w14:paraId="70290488" w14:textId="77777777" w:rsidTr="009C3C86">
        <w:trPr>
          <w:cantSplit/>
        </w:trPr>
        <w:tc>
          <w:tcPr>
            <w:tcW w:w="2521" w:type="dxa"/>
            <w:tcBorders>
              <w:top w:val="single" w:sz="8" w:space="0" w:color="AEAEAE"/>
              <w:left w:val="nil"/>
              <w:bottom w:val="single" w:sz="8" w:space="0" w:color="AEAEAE"/>
              <w:right w:val="nil"/>
            </w:tcBorders>
            <w:shd w:val="clear" w:color="auto" w:fill="E0E0E0"/>
          </w:tcPr>
          <w:p w14:paraId="630EEA46" w14:textId="77777777" w:rsidR="009C3C86" w:rsidRPr="008A3421" w:rsidRDefault="009C3C86" w:rsidP="009C3C86">
            <w:pPr>
              <w:autoSpaceDE w:val="0"/>
              <w:autoSpaceDN w:val="0"/>
              <w:adjustRightInd w:val="0"/>
              <w:spacing w:after="0" w:line="320" w:lineRule="atLeast"/>
              <w:ind w:left="60" w:right="60"/>
              <w:rPr>
                <w:rFonts w:ascii="Arial" w:hAnsi="Arial" w:cs="Arial"/>
                <w:color w:val="264A60"/>
                <w:sz w:val="24"/>
                <w:szCs w:val="24"/>
              </w:rPr>
            </w:pPr>
            <w:r w:rsidRPr="008A3421">
              <w:rPr>
                <w:rFonts w:ascii="Arial" w:hAnsi="Arial" w:cs="Arial"/>
                <w:color w:val="264A60"/>
                <w:sz w:val="24"/>
                <w:szCs w:val="24"/>
              </w:rPr>
              <w:t>Anxiety</w:t>
            </w:r>
            <w:r>
              <w:rPr>
                <w:rFonts w:ascii="Arial" w:hAnsi="Arial" w:cs="Arial"/>
                <w:color w:val="264A60"/>
                <w:sz w:val="24"/>
                <w:szCs w:val="24"/>
              </w:rPr>
              <w:t xml:space="preserve"> </w:t>
            </w:r>
            <w:r w:rsidRPr="008A3421">
              <w:rPr>
                <w:rFonts w:ascii="Arial" w:hAnsi="Arial" w:cs="Arial"/>
                <w:color w:val="264A60"/>
                <w:sz w:val="24"/>
                <w:szCs w:val="24"/>
              </w:rPr>
              <w:t>sensitivity</w:t>
            </w:r>
          </w:p>
        </w:tc>
        <w:tc>
          <w:tcPr>
            <w:tcW w:w="1045" w:type="dxa"/>
            <w:tcBorders>
              <w:top w:val="single" w:sz="8" w:space="0" w:color="AEAEAE"/>
              <w:left w:val="nil"/>
              <w:bottom w:val="single" w:sz="8" w:space="0" w:color="AEAEAE"/>
              <w:right w:val="single" w:sz="8" w:space="0" w:color="E0E0E0"/>
            </w:tcBorders>
            <w:shd w:val="clear" w:color="auto" w:fill="F9F9FB"/>
          </w:tcPr>
          <w:p w14:paraId="4E3E5E70"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.129</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49B9D4D1"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90</w:t>
            </w:r>
          </w:p>
        </w:tc>
        <w:tc>
          <w:tcPr>
            <w:tcW w:w="1045" w:type="dxa"/>
            <w:tcBorders>
              <w:top w:val="single" w:sz="8" w:space="0" w:color="AEAEAE"/>
              <w:left w:val="single" w:sz="8" w:space="0" w:color="E0E0E0"/>
              <w:bottom w:val="single" w:sz="8" w:space="0" w:color="AEAEAE"/>
              <w:right w:val="nil"/>
            </w:tcBorders>
            <w:shd w:val="clear" w:color="auto" w:fill="F9F9FB"/>
          </w:tcPr>
          <w:p w14:paraId="79261F81"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&lt;.001</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46937FF0"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.942</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239FFF91"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90</w:t>
            </w:r>
          </w:p>
        </w:tc>
        <w:tc>
          <w:tcPr>
            <w:tcW w:w="1045" w:type="dxa"/>
            <w:tcBorders>
              <w:top w:val="single" w:sz="8" w:space="0" w:color="AEAEAE"/>
              <w:left w:val="single" w:sz="8" w:space="0" w:color="E0E0E0"/>
              <w:bottom w:val="single" w:sz="8" w:space="0" w:color="AEAEAE"/>
              <w:right w:val="nil"/>
            </w:tcBorders>
            <w:shd w:val="clear" w:color="auto" w:fill="F9F9FB"/>
          </w:tcPr>
          <w:p w14:paraId="4C1C2E4C"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&lt;.001</w:t>
            </w:r>
          </w:p>
        </w:tc>
      </w:tr>
      <w:tr w:rsidR="009C3C86" w:rsidRPr="008A3421" w14:paraId="6E919E23" w14:textId="77777777" w:rsidTr="009C3C86">
        <w:trPr>
          <w:cantSplit/>
        </w:trPr>
        <w:tc>
          <w:tcPr>
            <w:tcW w:w="2521" w:type="dxa"/>
            <w:tcBorders>
              <w:top w:val="single" w:sz="8" w:space="0" w:color="AEAEAE"/>
              <w:left w:val="nil"/>
              <w:bottom w:val="single" w:sz="8" w:space="0" w:color="AEAEAE"/>
              <w:right w:val="nil"/>
            </w:tcBorders>
            <w:shd w:val="clear" w:color="auto" w:fill="E0E0E0"/>
          </w:tcPr>
          <w:p w14:paraId="709FB6F6" w14:textId="77777777" w:rsidR="009C3C86" w:rsidRPr="008A3421" w:rsidRDefault="009C3C86" w:rsidP="009C3C86">
            <w:pPr>
              <w:autoSpaceDE w:val="0"/>
              <w:autoSpaceDN w:val="0"/>
              <w:adjustRightInd w:val="0"/>
              <w:spacing w:after="0" w:line="320" w:lineRule="atLeast"/>
              <w:ind w:left="60" w:right="60"/>
              <w:rPr>
                <w:rFonts w:ascii="Arial" w:hAnsi="Arial" w:cs="Arial"/>
                <w:color w:val="264A60"/>
                <w:sz w:val="24"/>
                <w:szCs w:val="24"/>
              </w:rPr>
            </w:pPr>
            <w:r w:rsidRPr="008A3421">
              <w:rPr>
                <w:rFonts w:ascii="Arial" w:hAnsi="Arial" w:cs="Arial"/>
                <w:color w:val="264A60"/>
                <w:sz w:val="24"/>
                <w:szCs w:val="24"/>
              </w:rPr>
              <w:t>Depression</w:t>
            </w:r>
          </w:p>
        </w:tc>
        <w:tc>
          <w:tcPr>
            <w:tcW w:w="1045" w:type="dxa"/>
            <w:tcBorders>
              <w:top w:val="single" w:sz="8" w:space="0" w:color="AEAEAE"/>
              <w:left w:val="nil"/>
              <w:bottom w:val="single" w:sz="8" w:space="0" w:color="AEAEAE"/>
              <w:right w:val="single" w:sz="8" w:space="0" w:color="E0E0E0"/>
            </w:tcBorders>
            <w:shd w:val="clear" w:color="auto" w:fill="F9F9FB"/>
          </w:tcPr>
          <w:p w14:paraId="3A3AE863"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.106</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00F202E6"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90</w:t>
            </w:r>
          </w:p>
        </w:tc>
        <w:tc>
          <w:tcPr>
            <w:tcW w:w="1045" w:type="dxa"/>
            <w:tcBorders>
              <w:top w:val="single" w:sz="8" w:space="0" w:color="AEAEAE"/>
              <w:left w:val="single" w:sz="8" w:space="0" w:color="E0E0E0"/>
              <w:bottom w:val="single" w:sz="8" w:space="0" w:color="AEAEAE"/>
              <w:right w:val="nil"/>
            </w:tcBorders>
            <w:shd w:val="clear" w:color="auto" w:fill="F9F9FB"/>
          </w:tcPr>
          <w:p w14:paraId="5F65D85E"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.014</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612A6B6F"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.963</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33686C19"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90</w:t>
            </w:r>
          </w:p>
        </w:tc>
        <w:tc>
          <w:tcPr>
            <w:tcW w:w="1045" w:type="dxa"/>
            <w:tcBorders>
              <w:top w:val="single" w:sz="8" w:space="0" w:color="AEAEAE"/>
              <w:left w:val="single" w:sz="8" w:space="0" w:color="E0E0E0"/>
              <w:bottom w:val="single" w:sz="8" w:space="0" w:color="AEAEAE"/>
              <w:right w:val="nil"/>
            </w:tcBorders>
            <w:shd w:val="clear" w:color="auto" w:fill="F9F9FB"/>
          </w:tcPr>
          <w:p w14:paraId="4807CEB4"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.012</w:t>
            </w:r>
          </w:p>
        </w:tc>
      </w:tr>
      <w:tr w:rsidR="009C3C86" w:rsidRPr="008A3421" w14:paraId="3967A0C3" w14:textId="77777777" w:rsidTr="009C3C86">
        <w:trPr>
          <w:cantSplit/>
        </w:trPr>
        <w:tc>
          <w:tcPr>
            <w:tcW w:w="2521" w:type="dxa"/>
            <w:tcBorders>
              <w:top w:val="single" w:sz="8" w:space="0" w:color="AEAEAE"/>
              <w:left w:val="nil"/>
              <w:bottom w:val="single" w:sz="8" w:space="0" w:color="AEAEAE"/>
              <w:right w:val="nil"/>
            </w:tcBorders>
            <w:shd w:val="clear" w:color="auto" w:fill="E0E0E0"/>
          </w:tcPr>
          <w:p w14:paraId="636CA13E" w14:textId="77777777" w:rsidR="009C3C86" w:rsidRPr="008A3421" w:rsidRDefault="009C3C86" w:rsidP="009C3C86">
            <w:pPr>
              <w:autoSpaceDE w:val="0"/>
              <w:autoSpaceDN w:val="0"/>
              <w:adjustRightInd w:val="0"/>
              <w:spacing w:after="0" w:line="320" w:lineRule="atLeast"/>
              <w:ind w:left="60" w:right="60"/>
              <w:rPr>
                <w:rFonts w:ascii="Arial" w:hAnsi="Arial" w:cs="Arial"/>
                <w:color w:val="264A60"/>
                <w:sz w:val="24"/>
                <w:szCs w:val="24"/>
              </w:rPr>
            </w:pPr>
            <w:r w:rsidRPr="008A3421">
              <w:rPr>
                <w:rFonts w:ascii="Arial" w:hAnsi="Arial" w:cs="Arial"/>
                <w:color w:val="264A60"/>
                <w:sz w:val="24"/>
                <w:szCs w:val="24"/>
              </w:rPr>
              <w:t>Anxiety</w:t>
            </w:r>
          </w:p>
        </w:tc>
        <w:tc>
          <w:tcPr>
            <w:tcW w:w="1045" w:type="dxa"/>
            <w:tcBorders>
              <w:top w:val="single" w:sz="8" w:space="0" w:color="AEAEAE"/>
              <w:left w:val="nil"/>
              <w:bottom w:val="single" w:sz="8" w:space="0" w:color="AEAEAE"/>
              <w:right w:val="single" w:sz="8" w:space="0" w:color="E0E0E0"/>
            </w:tcBorders>
            <w:shd w:val="clear" w:color="auto" w:fill="F9F9FB"/>
          </w:tcPr>
          <w:p w14:paraId="5972C387"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.094</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22C4037D"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90</w:t>
            </w:r>
          </w:p>
        </w:tc>
        <w:tc>
          <w:tcPr>
            <w:tcW w:w="1045" w:type="dxa"/>
            <w:tcBorders>
              <w:top w:val="single" w:sz="8" w:space="0" w:color="AEAEAE"/>
              <w:left w:val="single" w:sz="8" w:space="0" w:color="E0E0E0"/>
              <w:bottom w:val="single" w:sz="8" w:space="0" w:color="AEAEAE"/>
              <w:right w:val="nil"/>
            </w:tcBorders>
            <w:shd w:val="clear" w:color="auto" w:fill="F9F9FB"/>
          </w:tcPr>
          <w:p w14:paraId="54C68609"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.049</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5F10E6E0"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.937</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267616E3"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90</w:t>
            </w:r>
          </w:p>
        </w:tc>
        <w:tc>
          <w:tcPr>
            <w:tcW w:w="1045" w:type="dxa"/>
            <w:tcBorders>
              <w:top w:val="single" w:sz="8" w:space="0" w:color="AEAEAE"/>
              <w:left w:val="single" w:sz="8" w:space="0" w:color="E0E0E0"/>
              <w:bottom w:val="single" w:sz="8" w:space="0" w:color="AEAEAE"/>
              <w:right w:val="nil"/>
            </w:tcBorders>
            <w:shd w:val="clear" w:color="auto" w:fill="F9F9FB"/>
          </w:tcPr>
          <w:p w14:paraId="1B58D171"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&lt;.001</w:t>
            </w:r>
          </w:p>
        </w:tc>
      </w:tr>
      <w:tr w:rsidR="009C3C86" w:rsidRPr="008A3421" w14:paraId="7D40FFCA" w14:textId="77777777" w:rsidTr="009C3C86">
        <w:trPr>
          <w:cantSplit/>
        </w:trPr>
        <w:tc>
          <w:tcPr>
            <w:tcW w:w="2521" w:type="dxa"/>
            <w:tcBorders>
              <w:top w:val="single" w:sz="8" w:space="0" w:color="AEAEAE"/>
              <w:left w:val="nil"/>
              <w:bottom w:val="single" w:sz="8" w:space="0" w:color="152935"/>
              <w:right w:val="nil"/>
            </w:tcBorders>
            <w:shd w:val="clear" w:color="auto" w:fill="E0E0E0"/>
          </w:tcPr>
          <w:p w14:paraId="578F21F8" w14:textId="77777777" w:rsidR="009C3C86" w:rsidRPr="008A3421" w:rsidRDefault="009C3C86" w:rsidP="009C3C86">
            <w:pPr>
              <w:autoSpaceDE w:val="0"/>
              <w:autoSpaceDN w:val="0"/>
              <w:adjustRightInd w:val="0"/>
              <w:spacing w:after="0" w:line="320" w:lineRule="atLeast"/>
              <w:ind w:left="60" w:right="60"/>
              <w:rPr>
                <w:rFonts w:ascii="Arial" w:hAnsi="Arial" w:cs="Arial"/>
                <w:color w:val="264A60"/>
                <w:sz w:val="24"/>
                <w:szCs w:val="24"/>
              </w:rPr>
            </w:pPr>
            <w:r>
              <w:rPr>
                <w:rFonts w:ascii="Arial" w:hAnsi="Arial" w:cs="Arial"/>
                <w:color w:val="264A60"/>
                <w:sz w:val="24"/>
                <w:szCs w:val="24"/>
              </w:rPr>
              <w:t>Diagnosis of epilepsy or DS</w:t>
            </w:r>
          </w:p>
        </w:tc>
        <w:tc>
          <w:tcPr>
            <w:tcW w:w="1045" w:type="dxa"/>
            <w:tcBorders>
              <w:top w:val="single" w:sz="8" w:space="0" w:color="AEAEAE"/>
              <w:left w:val="nil"/>
              <w:bottom w:val="single" w:sz="8" w:space="0" w:color="152935"/>
              <w:right w:val="single" w:sz="8" w:space="0" w:color="E0E0E0"/>
            </w:tcBorders>
            <w:shd w:val="clear" w:color="auto" w:fill="F9F9FB"/>
          </w:tcPr>
          <w:p w14:paraId="29170BB9"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.346</w:t>
            </w:r>
          </w:p>
        </w:tc>
        <w:tc>
          <w:tcPr>
            <w:tcW w:w="1045" w:type="dxa"/>
            <w:tcBorders>
              <w:top w:val="single" w:sz="8" w:space="0" w:color="AEAEAE"/>
              <w:left w:val="single" w:sz="8" w:space="0" w:color="E0E0E0"/>
              <w:bottom w:val="single" w:sz="8" w:space="0" w:color="152935"/>
              <w:right w:val="single" w:sz="8" w:space="0" w:color="E0E0E0"/>
            </w:tcBorders>
            <w:shd w:val="clear" w:color="auto" w:fill="F9F9FB"/>
          </w:tcPr>
          <w:p w14:paraId="74298FDF"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90</w:t>
            </w:r>
          </w:p>
        </w:tc>
        <w:tc>
          <w:tcPr>
            <w:tcW w:w="1045" w:type="dxa"/>
            <w:tcBorders>
              <w:top w:val="single" w:sz="8" w:space="0" w:color="AEAEAE"/>
              <w:left w:val="single" w:sz="8" w:space="0" w:color="E0E0E0"/>
              <w:bottom w:val="single" w:sz="8" w:space="0" w:color="152935"/>
              <w:right w:val="nil"/>
            </w:tcBorders>
            <w:shd w:val="clear" w:color="auto" w:fill="F9F9FB"/>
          </w:tcPr>
          <w:p w14:paraId="79814BC7"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&lt;.001</w:t>
            </w:r>
          </w:p>
        </w:tc>
        <w:tc>
          <w:tcPr>
            <w:tcW w:w="1045" w:type="dxa"/>
            <w:tcBorders>
              <w:top w:val="single" w:sz="8" w:space="0" w:color="AEAEAE"/>
              <w:left w:val="single" w:sz="8" w:space="0" w:color="E0E0E0"/>
              <w:bottom w:val="single" w:sz="8" w:space="0" w:color="152935"/>
              <w:right w:val="single" w:sz="8" w:space="0" w:color="E0E0E0"/>
            </w:tcBorders>
            <w:shd w:val="clear" w:color="auto" w:fill="F9F9FB"/>
          </w:tcPr>
          <w:p w14:paraId="7045158A"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.636</w:t>
            </w:r>
          </w:p>
        </w:tc>
        <w:tc>
          <w:tcPr>
            <w:tcW w:w="1045" w:type="dxa"/>
            <w:tcBorders>
              <w:top w:val="single" w:sz="8" w:space="0" w:color="AEAEAE"/>
              <w:left w:val="single" w:sz="8" w:space="0" w:color="E0E0E0"/>
              <w:bottom w:val="single" w:sz="8" w:space="0" w:color="152935"/>
              <w:right w:val="single" w:sz="8" w:space="0" w:color="E0E0E0"/>
            </w:tcBorders>
            <w:shd w:val="clear" w:color="auto" w:fill="F9F9FB"/>
          </w:tcPr>
          <w:p w14:paraId="25583FE7"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90</w:t>
            </w:r>
          </w:p>
        </w:tc>
        <w:tc>
          <w:tcPr>
            <w:tcW w:w="1045" w:type="dxa"/>
            <w:tcBorders>
              <w:top w:val="single" w:sz="8" w:space="0" w:color="AEAEAE"/>
              <w:left w:val="single" w:sz="8" w:space="0" w:color="E0E0E0"/>
              <w:bottom w:val="single" w:sz="8" w:space="0" w:color="152935"/>
              <w:right w:val="nil"/>
            </w:tcBorders>
            <w:shd w:val="clear" w:color="auto" w:fill="F9F9FB"/>
          </w:tcPr>
          <w:p w14:paraId="459842A1" w14:textId="77777777" w:rsidR="009C3C86" w:rsidRPr="008A3421"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8A3421">
              <w:rPr>
                <w:rFonts w:ascii="Arial" w:hAnsi="Arial" w:cs="Arial"/>
                <w:color w:val="010205"/>
                <w:sz w:val="24"/>
                <w:szCs w:val="24"/>
              </w:rPr>
              <w:t>&lt;.001</w:t>
            </w:r>
          </w:p>
        </w:tc>
      </w:tr>
      <w:tr w:rsidR="009C3C86" w:rsidRPr="008A3421" w14:paraId="78F7B02C" w14:textId="77777777" w:rsidTr="009C3C86">
        <w:trPr>
          <w:cantSplit/>
        </w:trPr>
        <w:tc>
          <w:tcPr>
            <w:tcW w:w="8791" w:type="dxa"/>
            <w:gridSpan w:val="7"/>
            <w:tcBorders>
              <w:top w:val="nil"/>
              <w:left w:val="nil"/>
              <w:bottom w:val="nil"/>
              <w:right w:val="nil"/>
            </w:tcBorders>
            <w:shd w:val="clear" w:color="auto" w:fill="FFFFFF"/>
          </w:tcPr>
          <w:p w14:paraId="41A1D867" w14:textId="77777777" w:rsidR="009C3C86" w:rsidRPr="008A3421" w:rsidRDefault="009C3C86" w:rsidP="009C3C86">
            <w:pPr>
              <w:autoSpaceDE w:val="0"/>
              <w:autoSpaceDN w:val="0"/>
              <w:adjustRightInd w:val="0"/>
              <w:spacing w:after="0" w:line="320" w:lineRule="atLeast"/>
              <w:ind w:left="60" w:right="60"/>
              <w:rPr>
                <w:rFonts w:ascii="Arial" w:hAnsi="Arial" w:cs="Arial"/>
                <w:color w:val="010205"/>
                <w:sz w:val="24"/>
                <w:szCs w:val="24"/>
              </w:rPr>
            </w:pPr>
            <w:r w:rsidRPr="008A3421">
              <w:rPr>
                <w:rFonts w:ascii="Arial" w:hAnsi="Arial" w:cs="Arial"/>
                <w:color w:val="010205"/>
                <w:sz w:val="24"/>
                <w:szCs w:val="24"/>
              </w:rPr>
              <w:t>*. This is a lower bound of the true significance.</w:t>
            </w:r>
          </w:p>
        </w:tc>
      </w:tr>
      <w:tr w:rsidR="009C3C86" w:rsidRPr="008A3421" w14:paraId="7D90B4C5" w14:textId="77777777" w:rsidTr="009C3C86">
        <w:trPr>
          <w:cantSplit/>
        </w:trPr>
        <w:tc>
          <w:tcPr>
            <w:tcW w:w="8791" w:type="dxa"/>
            <w:gridSpan w:val="7"/>
            <w:tcBorders>
              <w:top w:val="nil"/>
              <w:left w:val="nil"/>
              <w:bottom w:val="nil"/>
              <w:right w:val="nil"/>
            </w:tcBorders>
            <w:shd w:val="clear" w:color="auto" w:fill="FFFFFF"/>
          </w:tcPr>
          <w:p w14:paraId="512E7022" w14:textId="77777777" w:rsidR="009C3C86" w:rsidRPr="008A3421" w:rsidRDefault="009C3C86" w:rsidP="009C3C86">
            <w:pPr>
              <w:autoSpaceDE w:val="0"/>
              <w:autoSpaceDN w:val="0"/>
              <w:adjustRightInd w:val="0"/>
              <w:spacing w:after="0" w:line="320" w:lineRule="atLeast"/>
              <w:ind w:left="60" w:right="60"/>
              <w:rPr>
                <w:rFonts w:ascii="Arial" w:hAnsi="Arial" w:cs="Arial"/>
                <w:color w:val="010205"/>
                <w:sz w:val="24"/>
                <w:szCs w:val="24"/>
              </w:rPr>
            </w:pPr>
            <w:r w:rsidRPr="008A3421">
              <w:rPr>
                <w:rFonts w:ascii="Arial" w:hAnsi="Arial" w:cs="Arial"/>
                <w:color w:val="010205"/>
                <w:sz w:val="24"/>
                <w:szCs w:val="24"/>
              </w:rPr>
              <w:t>a. Lilliefors Significance Correction</w:t>
            </w:r>
          </w:p>
        </w:tc>
      </w:tr>
    </w:tbl>
    <w:p w14:paraId="3373E367" w14:textId="77777777" w:rsidR="009C3C86" w:rsidRPr="008A3421" w:rsidRDefault="009C3C86" w:rsidP="009C3C86">
      <w:pPr>
        <w:autoSpaceDE w:val="0"/>
        <w:autoSpaceDN w:val="0"/>
        <w:adjustRightInd w:val="0"/>
        <w:spacing w:after="0" w:line="400" w:lineRule="atLeast"/>
        <w:rPr>
          <w:rFonts w:ascii="Times New Roman" w:hAnsi="Times New Roman" w:cs="Times New Roman"/>
          <w:sz w:val="24"/>
          <w:szCs w:val="24"/>
        </w:rPr>
      </w:pPr>
    </w:p>
    <w:p w14:paraId="7FE7A761" w14:textId="77777777" w:rsidR="009C3C86" w:rsidRPr="00A4191D" w:rsidRDefault="009C3C86" w:rsidP="009C3C86">
      <w:pPr>
        <w:autoSpaceDE w:val="0"/>
        <w:autoSpaceDN w:val="0"/>
        <w:adjustRightInd w:val="0"/>
        <w:spacing w:after="0" w:line="400" w:lineRule="atLeast"/>
        <w:rPr>
          <w:rFonts w:ascii="Times New Roman" w:hAnsi="Times New Roman" w:cs="Times New Roman"/>
          <w:sz w:val="24"/>
          <w:szCs w:val="24"/>
        </w:rPr>
      </w:pPr>
    </w:p>
    <w:p w14:paraId="750D2095" w14:textId="77777777" w:rsidR="009C3C86" w:rsidRDefault="009C3C86" w:rsidP="009C3C86"/>
    <w:p w14:paraId="13A7E726" w14:textId="77777777" w:rsidR="009C3C86" w:rsidRDefault="009C3C86" w:rsidP="009C3C86"/>
    <w:p w14:paraId="2B5B4963"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anchor distT="0" distB="0" distL="114300" distR="114300" simplePos="0" relativeHeight="251694080" behindDoc="0" locked="0" layoutInCell="1" allowOverlap="1" wp14:anchorId="19DDCFA7" wp14:editId="0E000395">
            <wp:simplePos x="0" y="0"/>
            <wp:positionH relativeFrom="margin">
              <wp:align>left</wp:align>
            </wp:positionH>
            <wp:positionV relativeFrom="paragraph">
              <wp:posOffset>0</wp:posOffset>
            </wp:positionV>
            <wp:extent cx="4374515" cy="2570480"/>
            <wp:effectExtent l="0" t="0" r="6985" b="127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374515" cy="2570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1B37B9"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7735AF76" w14:textId="77777777" w:rsidR="009C3C86" w:rsidRDefault="009C3C86" w:rsidP="009C3C86">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15883D28" wp14:editId="31963682">
            <wp:extent cx="4332849" cy="2546297"/>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358372" cy="2561296"/>
                    </a:xfrm>
                    <a:prstGeom prst="rect">
                      <a:avLst/>
                    </a:prstGeom>
                    <a:noFill/>
                    <a:ln>
                      <a:noFill/>
                    </a:ln>
                  </pic:spPr>
                </pic:pic>
              </a:graphicData>
            </a:graphic>
          </wp:inline>
        </w:drawing>
      </w:r>
    </w:p>
    <w:p w14:paraId="61993A5A"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4E606B88" w14:textId="77777777" w:rsidR="009C3C86" w:rsidRDefault="009C3C86" w:rsidP="009C3C86">
      <w:pPr>
        <w:autoSpaceDE w:val="0"/>
        <w:autoSpaceDN w:val="0"/>
        <w:adjustRightInd w:val="0"/>
        <w:spacing w:after="0" w:line="400" w:lineRule="atLeast"/>
        <w:rPr>
          <w:rFonts w:ascii="Times New Roman" w:hAnsi="Times New Roman" w:cs="Times New Roman"/>
          <w:sz w:val="24"/>
          <w:szCs w:val="24"/>
        </w:rPr>
      </w:pPr>
    </w:p>
    <w:p w14:paraId="640A1C44"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8C01C54" wp14:editId="6AB5E8B9">
            <wp:extent cx="3791243" cy="222801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813101" cy="2240855"/>
                    </a:xfrm>
                    <a:prstGeom prst="rect">
                      <a:avLst/>
                    </a:prstGeom>
                    <a:noFill/>
                    <a:ln>
                      <a:noFill/>
                    </a:ln>
                  </pic:spPr>
                </pic:pic>
              </a:graphicData>
            </a:graphic>
          </wp:inline>
        </w:drawing>
      </w:r>
    </w:p>
    <w:p w14:paraId="72EB5110"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4891D663" w14:textId="77777777" w:rsidR="009C3C86" w:rsidRDefault="009C3C86" w:rsidP="009C3C86">
      <w:pPr>
        <w:autoSpaceDE w:val="0"/>
        <w:autoSpaceDN w:val="0"/>
        <w:adjustRightInd w:val="0"/>
        <w:spacing w:after="0" w:line="400" w:lineRule="atLeast"/>
        <w:rPr>
          <w:rFonts w:ascii="Times New Roman" w:hAnsi="Times New Roman" w:cs="Times New Roman"/>
          <w:sz w:val="24"/>
          <w:szCs w:val="24"/>
        </w:rPr>
      </w:pPr>
    </w:p>
    <w:p w14:paraId="1DDA6C4F"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00606D69" wp14:editId="5FADF6B1">
            <wp:extent cx="4114800" cy="2418156"/>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122648" cy="2422768"/>
                    </a:xfrm>
                    <a:prstGeom prst="rect">
                      <a:avLst/>
                    </a:prstGeom>
                    <a:noFill/>
                    <a:ln>
                      <a:noFill/>
                    </a:ln>
                  </pic:spPr>
                </pic:pic>
              </a:graphicData>
            </a:graphic>
          </wp:inline>
        </w:drawing>
      </w:r>
    </w:p>
    <w:p w14:paraId="5F79CC18"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5E9793CD" w14:textId="77777777" w:rsidR="009C3C86" w:rsidRDefault="009C3C86" w:rsidP="009C3C86">
      <w:pPr>
        <w:autoSpaceDE w:val="0"/>
        <w:autoSpaceDN w:val="0"/>
        <w:adjustRightInd w:val="0"/>
        <w:spacing w:after="0" w:line="400" w:lineRule="atLeast"/>
        <w:rPr>
          <w:rFonts w:ascii="Times New Roman" w:hAnsi="Times New Roman" w:cs="Times New Roman"/>
          <w:sz w:val="24"/>
          <w:szCs w:val="24"/>
        </w:rPr>
      </w:pPr>
    </w:p>
    <w:p w14:paraId="780E0C91"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7958AD81" wp14:editId="2FDDDD50">
            <wp:extent cx="3467686" cy="2037864"/>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488671" cy="2050196"/>
                    </a:xfrm>
                    <a:prstGeom prst="rect">
                      <a:avLst/>
                    </a:prstGeom>
                    <a:noFill/>
                    <a:ln>
                      <a:noFill/>
                    </a:ln>
                  </pic:spPr>
                </pic:pic>
              </a:graphicData>
            </a:graphic>
          </wp:inline>
        </w:drawing>
      </w:r>
    </w:p>
    <w:p w14:paraId="4E05027F"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313DAAAA" w14:textId="77777777" w:rsidR="009C3C86" w:rsidRDefault="009C3C86" w:rsidP="009C3C86">
      <w:pPr>
        <w:autoSpaceDE w:val="0"/>
        <w:autoSpaceDN w:val="0"/>
        <w:adjustRightInd w:val="0"/>
        <w:spacing w:after="0" w:line="400" w:lineRule="atLeast"/>
        <w:rPr>
          <w:rFonts w:ascii="Times New Roman" w:hAnsi="Times New Roman" w:cs="Times New Roman"/>
          <w:sz w:val="24"/>
          <w:szCs w:val="24"/>
        </w:rPr>
      </w:pPr>
    </w:p>
    <w:p w14:paraId="25C8FE25"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13CA1BA5" wp14:editId="6D8006F3">
            <wp:extent cx="4234375" cy="2488427"/>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241396" cy="2492553"/>
                    </a:xfrm>
                    <a:prstGeom prst="rect">
                      <a:avLst/>
                    </a:prstGeom>
                    <a:noFill/>
                    <a:ln>
                      <a:noFill/>
                    </a:ln>
                  </pic:spPr>
                </pic:pic>
              </a:graphicData>
            </a:graphic>
          </wp:inline>
        </w:drawing>
      </w:r>
    </w:p>
    <w:p w14:paraId="2ACAA8BC"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3BB7FF3A" w14:textId="77777777" w:rsidR="009C3C86" w:rsidRDefault="009C3C86" w:rsidP="009C3C86">
      <w:pPr>
        <w:autoSpaceDE w:val="0"/>
        <w:autoSpaceDN w:val="0"/>
        <w:adjustRightInd w:val="0"/>
        <w:spacing w:after="0" w:line="400" w:lineRule="atLeast"/>
        <w:rPr>
          <w:rFonts w:ascii="Times New Roman" w:hAnsi="Times New Roman" w:cs="Times New Roman"/>
          <w:sz w:val="24"/>
          <w:szCs w:val="24"/>
        </w:rPr>
      </w:pPr>
    </w:p>
    <w:p w14:paraId="1CC72020" w14:textId="77777777" w:rsidR="009C3C86" w:rsidRDefault="009C3C86" w:rsidP="009C3C86">
      <w:pPr>
        <w:autoSpaceDE w:val="0"/>
        <w:autoSpaceDN w:val="0"/>
        <w:adjustRightInd w:val="0"/>
        <w:spacing w:after="0" w:line="240" w:lineRule="auto"/>
      </w:pPr>
    </w:p>
    <w:p w14:paraId="1E282D1D" w14:textId="77777777" w:rsidR="009C3C86" w:rsidRDefault="009C3C86" w:rsidP="009C3C86">
      <w:pPr>
        <w:autoSpaceDE w:val="0"/>
        <w:autoSpaceDN w:val="0"/>
        <w:adjustRightInd w:val="0"/>
        <w:spacing w:after="0" w:line="240" w:lineRule="auto"/>
      </w:pPr>
    </w:p>
    <w:p w14:paraId="065781F0" w14:textId="77777777" w:rsidR="009C3C86" w:rsidRPr="008A4834" w:rsidRDefault="009C3C86" w:rsidP="00027769">
      <w:pPr>
        <w:pStyle w:val="Heading1"/>
        <w:rPr>
          <w:noProof/>
          <w:lang w:eastAsia="en-GB"/>
        </w:rPr>
      </w:pPr>
      <w:bookmarkStart w:id="196" w:name="_Toc133487855"/>
      <w:r w:rsidRPr="008A4834">
        <w:rPr>
          <w:noProof/>
          <w:lang w:eastAsia="en-GB"/>
        </w:rPr>
        <w:lastRenderedPageBreak/>
        <w:t>Appendix K</w:t>
      </w:r>
      <w:bookmarkEnd w:id="196"/>
    </w:p>
    <w:p w14:paraId="662083D7" w14:textId="03F1691D" w:rsidR="009C3C86" w:rsidRPr="00A53770" w:rsidRDefault="009C3C86" w:rsidP="00FA1AA6">
      <w:pPr>
        <w:ind w:left="720" w:firstLine="720"/>
        <w:rPr>
          <w:b/>
          <w:noProof/>
          <w:lang w:eastAsia="en-GB"/>
        </w:rPr>
      </w:pPr>
      <w:bookmarkStart w:id="197" w:name="_Toc133144226"/>
      <w:r w:rsidRPr="00A53770">
        <w:rPr>
          <w:b/>
          <w:noProof/>
          <w:lang w:eastAsia="en-GB"/>
        </w:rPr>
        <w:t>SPSS output -Outcomes for between group comparisons</w:t>
      </w:r>
      <w:bookmarkEnd w:id="197"/>
    </w:p>
    <w:p w14:paraId="086EBD07" w14:textId="77777777" w:rsidR="009C3C86" w:rsidRDefault="009C3C86" w:rsidP="009C3C86">
      <w:pPr>
        <w:autoSpaceDE w:val="0"/>
        <w:autoSpaceDN w:val="0"/>
        <w:adjustRightInd w:val="0"/>
        <w:spacing w:after="0" w:line="240" w:lineRule="auto"/>
        <w:rPr>
          <w:rFonts w:ascii="Times New Roman" w:hAnsi="Times New Roman" w:cs="Times New Roman"/>
          <w:noProof/>
          <w:sz w:val="24"/>
          <w:szCs w:val="24"/>
          <w:lang w:eastAsia="en-GB"/>
        </w:rPr>
      </w:pPr>
    </w:p>
    <w:p w14:paraId="1B567AEE" w14:textId="77777777" w:rsidR="009C3C86" w:rsidRDefault="009C3C86" w:rsidP="009C3C86">
      <w:pPr>
        <w:autoSpaceDE w:val="0"/>
        <w:autoSpaceDN w:val="0"/>
        <w:adjustRightInd w:val="0"/>
        <w:spacing w:after="0" w:line="240" w:lineRule="auto"/>
        <w:rPr>
          <w:rFonts w:ascii="Times New Roman" w:hAnsi="Times New Roman" w:cs="Times New Roman"/>
          <w:noProof/>
          <w:sz w:val="24"/>
          <w:szCs w:val="24"/>
          <w:lang w:eastAsia="en-GB"/>
        </w:rPr>
      </w:pPr>
    </w:p>
    <w:p w14:paraId="5FB6B794" w14:textId="77777777" w:rsidR="009C3C86" w:rsidRPr="00E2104A" w:rsidRDefault="009C3C86" w:rsidP="009C3C8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T-test comparison of intolerance of uncertainty between epilepsy and DS groups.</w:t>
      </w:r>
    </w:p>
    <w:p w14:paraId="7FAD8EAA" w14:textId="77777777" w:rsidR="009C3C86" w:rsidRPr="00E2104A" w:rsidRDefault="009C3C86" w:rsidP="009C3C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93056" behindDoc="0" locked="0" layoutInCell="1" allowOverlap="1" wp14:anchorId="699E90C2" wp14:editId="63977DA7">
            <wp:simplePos x="0" y="0"/>
            <wp:positionH relativeFrom="column">
              <wp:posOffset>-806450</wp:posOffset>
            </wp:positionH>
            <wp:positionV relativeFrom="paragraph">
              <wp:posOffset>225424</wp:posOffset>
            </wp:positionV>
            <wp:extent cx="7308850" cy="1230283"/>
            <wp:effectExtent l="0" t="0" r="6350" b="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7366697" cy="1240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471129" w14:textId="77777777" w:rsidR="009C3C86" w:rsidRPr="00E2104A" w:rsidRDefault="009C3C86" w:rsidP="009C3C86">
      <w:pPr>
        <w:autoSpaceDE w:val="0"/>
        <w:autoSpaceDN w:val="0"/>
        <w:adjustRightInd w:val="0"/>
        <w:spacing w:after="0" w:line="400" w:lineRule="atLeast"/>
        <w:rPr>
          <w:rFonts w:ascii="Times New Roman" w:hAnsi="Times New Roman" w:cs="Times New Roman"/>
          <w:sz w:val="24"/>
          <w:szCs w:val="24"/>
        </w:rPr>
      </w:pPr>
    </w:p>
    <w:p w14:paraId="016A200D" w14:textId="77777777" w:rsidR="009C3C86" w:rsidRDefault="009C3C86" w:rsidP="009C3C86">
      <w:pPr>
        <w:autoSpaceDE w:val="0"/>
        <w:autoSpaceDN w:val="0"/>
        <w:adjustRightInd w:val="0"/>
        <w:spacing w:after="0" w:line="400" w:lineRule="atLeast"/>
        <w:rPr>
          <w:rFonts w:ascii="Times New Roman" w:hAnsi="Times New Roman" w:cs="Times New Roman"/>
          <w:sz w:val="24"/>
          <w:szCs w:val="24"/>
        </w:rPr>
      </w:pPr>
    </w:p>
    <w:p w14:paraId="5F5C3124" w14:textId="77777777" w:rsidR="009C3C86" w:rsidRDefault="009C3C86" w:rsidP="009C3C86">
      <w:pPr>
        <w:autoSpaceDE w:val="0"/>
        <w:autoSpaceDN w:val="0"/>
        <w:adjustRightInd w:val="0"/>
        <w:spacing w:after="0" w:line="400" w:lineRule="atLeast"/>
        <w:rPr>
          <w:rFonts w:ascii="Times New Roman" w:hAnsi="Times New Roman" w:cs="Times New Roman"/>
          <w:sz w:val="24"/>
          <w:szCs w:val="24"/>
        </w:rPr>
      </w:pPr>
    </w:p>
    <w:p w14:paraId="6ED6288A" w14:textId="77777777" w:rsidR="009C3C86" w:rsidRDefault="009C3C86" w:rsidP="009C3C86">
      <w:pPr>
        <w:autoSpaceDE w:val="0"/>
        <w:autoSpaceDN w:val="0"/>
        <w:adjustRightInd w:val="0"/>
        <w:spacing w:after="0" w:line="400" w:lineRule="atLeast"/>
        <w:rPr>
          <w:rFonts w:ascii="Times New Roman" w:hAnsi="Times New Roman" w:cs="Times New Roman"/>
          <w:sz w:val="24"/>
          <w:szCs w:val="24"/>
        </w:rPr>
      </w:pPr>
    </w:p>
    <w:p w14:paraId="28DE221B" w14:textId="77777777" w:rsidR="009C3C86" w:rsidRDefault="009C3C86" w:rsidP="009C3C86">
      <w:pPr>
        <w:autoSpaceDE w:val="0"/>
        <w:autoSpaceDN w:val="0"/>
        <w:adjustRightInd w:val="0"/>
        <w:spacing w:after="0" w:line="400" w:lineRule="atLeast"/>
        <w:rPr>
          <w:rFonts w:ascii="Times New Roman" w:hAnsi="Times New Roman" w:cs="Times New Roman"/>
          <w:sz w:val="24"/>
          <w:szCs w:val="24"/>
        </w:rPr>
      </w:pPr>
    </w:p>
    <w:p w14:paraId="6CCF35E8" w14:textId="77777777" w:rsidR="009C3C86" w:rsidRDefault="009C3C86" w:rsidP="009C3C86">
      <w:pPr>
        <w:autoSpaceDE w:val="0"/>
        <w:autoSpaceDN w:val="0"/>
        <w:adjustRightInd w:val="0"/>
        <w:spacing w:after="0" w:line="400" w:lineRule="atLeast"/>
        <w:rPr>
          <w:rFonts w:ascii="Times New Roman" w:hAnsi="Times New Roman" w:cs="Times New Roman"/>
          <w:sz w:val="24"/>
          <w:szCs w:val="24"/>
        </w:rPr>
      </w:pPr>
    </w:p>
    <w:p w14:paraId="6453E5C9" w14:textId="77777777" w:rsidR="009C3C86" w:rsidRPr="00E2104A" w:rsidRDefault="009C3C86" w:rsidP="009C3C86">
      <w:pPr>
        <w:autoSpaceDE w:val="0"/>
        <w:autoSpaceDN w:val="0"/>
        <w:adjustRightInd w:val="0"/>
        <w:spacing w:after="0" w:line="400" w:lineRule="atLeast"/>
        <w:rPr>
          <w:rFonts w:ascii="Times New Roman" w:hAnsi="Times New Roman" w:cs="Times New Roman"/>
          <w:sz w:val="24"/>
          <w:szCs w:val="24"/>
        </w:rPr>
      </w:pPr>
    </w:p>
    <w:p w14:paraId="01A34E6D"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71046F7B" w14:textId="77777777" w:rsidR="009C3C86" w:rsidRDefault="009C3C86" w:rsidP="009C3C86">
      <w:pPr>
        <w:autoSpaceDE w:val="0"/>
        <w:autoSpaceDN w:val="0"/>
        <w:adjustRightInd w:val="0"/>
        <w:spacing w:after="0" w:line="240" w:lineRule="auto"/>
        <w:jc w:val="center"/>
        <w:rPr>
          <w:rFonts w:ascii="Times New Roman" w:hAnsi="Times New Roman" w:cs="Times New Roman"/>
          <w:sz w:val="24"/>
          <w:szCs w:val="24"/>
        </w:rPr>
      </w:pPr>
    </w:p>
    <w:p w14:paraId="5235B141" w14:textId="77777777" w:rsidR="009C3C86" w:rsidRDefault="009C3C86" w:rsidP="009C3C86">
      <w:pPr>
        <w:autoSpaceDE w:val="0"/>
        <w:autoSpaceDN w:val="0"/>
        <w:adjustRightInd w:val="0"/>
        <w:spacing w:after="0" w:line="400" w:lineRule="atLeast"/>
        <w:jc w:val="center"/>
        <w:rPr>
          <w:rFonts w:ascii="Times New Roman" w:hAnsi="Times New Roman" w:cs="Times New Roman"/>
          <w:sz w:val="24"/>
          <w:szCs w:val="24"/>
        </w:rPr>
      </w:pPr>
      <w:r>
        <w:rPr>
          <w:rFonts w:ascii="Times New Roman" w:hAnsi="Times New Roman" w:cs="Times New Roman"/>
          <w:sz w:val="24"/>
          <w:szCs w:val="24"/>
        </w:rPr>
        <w:t>Mann-Whitney U comparison of somatisation, anxiety sensitivity, depression, and anxiety between epilepsy and DS groups.</w:t>
      </w:r>
    </w:p>
    <w:p w14:paraId="70DDDB75" w14:textId="77777777" w:rsidR="009C3C86" w:rsidRPr="002449E7" w:rsidRDefault="009C3C86" w:rsidP="009C3C86">
      <w:pPr>
        <w:autoSpaceDE w:val="0"/>
        <w:autoSpaceDN w:val="0"/>
        <w:adjustRightInd w:val="0"/>
        <w:spacing w:after="0" w:line="240" w:lineRule="auto"/>
        <w:rPr>
          <w:rFonts w:ascii="Times New Roman" w:hAnsi="Times New Roman" w:cs="Times New Roman"/>
          <w:sz w:val="24"/>
          <w:szCs w:val="24"/>
        </w:rPr>
      </w:pPr>
    </w:p>
    <w:tbl>
      <w:tblPr>
        <w:tblW w:w="8924" w:type="dxa"/>
        <w:tblLayout w:type="fixed"/>
        <w:tblCellMar>
          <w:left w:w="0" w:type="dxa"/>
          <w:right w:w="0" w:type="dxa"/>
        </w:tblCellMar>
        <w:tblLook w:val="0000" w:firstRow="0" w:lastRow="0" w:firstColumn="0" w:lastColumn="0" w:noHBand="0" w:noVBand="0"/>
      </w:tblPr>
      <w:tblGrid>
        <w:gridCol w:w="2513"/>
        <w:gridCol w:w="1680"/>
        <w:gridCol w:w="1892"/>
        <w:gridCol w:w="1525"/>
        <w:gridCol w:w="1314"/>
      </w:tblGrid>
      <w:tr w:rsidR="009C3C86" w:rsidRPr="002449E7" w14:paraId="4B40ED39" w14:textId="77777777" w:rsidTr="009C3C86">
        <w:trPr>
          <w:cantSplit/>
          <w:trHeight w:val="326"/>
        </w:trPr>
        <w:tc>
          <w:tcPr>
            <w:tcW w:w="8924" w:type="dxa"/>
            <w:gridSpan w:val="5"/>
            <w:tcBorders>
              <w:top w:val="nil"/>
              <w:left w:val="nil"/>
              <w:bottom w:val="nil"/>
              <w:right w:val="nil"/>
            </w:tcBorders>
            <w:shd w:val="clear" w:color="auto" w:fill="FFFFFF"/>
            <w:vAlign w:val="center"/>
          </w:tcPr>
          <w:p w14:paraId="0A391756" w14:textId="77777777" w:rsidR="009C3C86" w:rsidRPr="002449E7" w:rsidRDefault="009C3C86" w:rsidP="009C3C86">
            <w:pPr>
              <w:autoSpaceDE w:val="0"/>
              <w:autoSpaceDN w:val="0"/>
              <w:adjustRightInd w:val="0"/>
              <w:spacing w:after="0" w:line="320" w:lineRule="atLeast"/>
              <w:ind w:left="60" w:right="60"/>
              <w:jc w:val="center"/>
              <w:rPr>
                <w:rFonts w:ascii="Arial" w:hAnsi="Arial" w:cs="Arial"/>
                <w:color w:val="010205"/>
                <w:sz w:val="28"/>
                <w:szCs w:val="28"/>
              </w:rPr>
            </w:pPr>
            <w:r w:rsidRPr="002449E7">
              <w:rPr>
                <w:rFonts w:ascii="Arial" w:hAnsi="Arial" w:cs="Arial"/>
                <w:b/>
                <w:bCs/>
                <w:color w:val="010205"/>
                <w:sz w:val="28"/>
                <w:szCs w:val="28"/>
              </w:rPr>
              <w:t>Test Statistics</w:t>
            </w:r>
            <w:r w:rsidRPr="002449E7">
              <w:rPr>
                <w:rFonts w:ascii="Arial" w:hAnsi="Arial" w:cs="Arial"/>
                <w:b/>
                <w:bCs/>
                <w:color w:val="010205"/>
                <w:sz w:val="28"/>
                <w:szCs w:val="28"/>
                <w:vertAlign w:val="superscript"/>
              </w:rPr>
              <w:t>a</w:t>
            </w:r>
          </w:p>
        </w:tc>
      </w:tr>
      <w:tr w:rsidR="009C3C86" w:rsidRPr="002449E7" w14:paraId="254B1A19" w14:textId="77777777" w:rsidTr="009C3C86">
        <w:trPr>
          <w:cantSplit/>
          <w:trHeight w:val="653"/>
        </w:trPr>
        <w:tc>
          <w:tcPr>
            <w:tcW w:w="2513" w:type="dxa"/>
            <w:tcBorders>
              <w:top w:val="nil"/>
              <w:left w:val="nil"/>
              <w:bottom w:val="single" w:sz="8" w:space="0" w:color="152935"/>
              <w:right w:val="nil"/>
            </w:tcBorders>
            <w:shd w:val="clear" w:color="auto" w:fill="FFFFFF"/>
            <w:vAlign w:val="bottom"/>
          </w:tcPr>
          <w:p w14:paraId="14D97947" w14:textId="77777777" w:rsidR="009C3C86" w:rsidRPr="002449E7" w:rsidRDefault="009C3C86" w:rsidP="009C3C86">
            <w:pPr>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single" w:sz="8" w:space="0" w:color="152935"/>
              <w:right w:val="single" w:sz="8" w:space="0" w:color="E0E0E0"/>
            </w:tcBorders>
            <w:shd w:val="clear" w:color="auto" w:fill="FFFFFF"/>
            <w:vAlign w:val="bottom"/>
          </w:tcPr>
          <w:p w14:paraId="760E5CE6" w14:textId="77777777" w:rsidR="009C3C86" w:rsidRPr="002449E7"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2449E7">
              <w:rPr>
                <w:rFonts w:ascii="Arial" w:hAnsi="Arial" w:cs="Arial"/>
                <w:color w:val="264A60"/>
                <w:sz w:val="24"/>
                <w:szCs w:val="24"/>
              </w:rPr>
              <w:t>Somatisation</w:t>
            </w:r>
          </w:p>
        </w:tc>
        <w:tc>
          <w:tcPr>
            <w:tcW w:w="1892" w:type="dxa"/>
            <w:tcBorders>
              <w:top w:val="nil"/>
              <w:left w:val="single" w:sz="8" w:space="0" w:color="E0E0E0"/>
              <w:bottom w:val="single" w:sz="8" w:space="0" w:color="152935"/>
              <w:right w:val="single" w:sz="8" w:space="0" w:color="E0E0E0"/>
            </w:tcBorders>
            <w:shd w:val="clear" w:color="auto" w:fill="FFFFFF"/>
            <w:vAlign w:val="bottom"/>
          </w:tcPr>
          <w:p w14:paraId="200EE808" w14:textId="77777777" w:rsidR="009C3C86" w:rsidRPr="002449E7"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2449E7">
              <w:rPr>
                <w:rFonts w:ascii="Arial" w:hAnsi="Arial" w:cs="Arial"/>
                <w:color w:val="264A60"/>
                <w:sz w:val="24"/>
                <w:szCs w:val="24"/>
              </w:rPr>
              <w:t>Anxiety</w:t>
            </w:r>
            <w:r>
              <w:rPr>
                <w:rFonts w:ascii="Arial" w:hAnsi="Arial" w:cs="Arial"/>
                <w:color w:val="264A60"/>
                <w:sz w:val="24"/>
                <w:szCs w:val="24"/>
              </w:rPr>
              <w:t xml:space="preserve"> </w:t>
            </w:r>
            <w:r w:rsidRPr="002449E7">
              <w:rPr>
                <w:rFonts w:ascii="Arial" w:hAnsi="Arial" w:cs="Arial"/>
                <w:color w:val="264A60"/>
                <w:sz w:val="24"/>
                <w:szCs w:val="24"/>
              </w:rPr>
              <w:t>sensitivity</w:t>
            </w:r>
          </w:p>
        </w:tc>
        <w:tc>
          <w:tcPr>
            <w:tcW w:w="1525" w:type="dxa"/>
            <w:tcBorders>
              <w:top w:val="nil"/>
              <w:left w:val="single" w:sz="8" w:space="0" w:color="E0E0E0"/>
              <w:bottom w:val="single" w:sz="8" w:space="0" w:color="152935"/>
              <w:right w:val="single" w:sz="8" w:space="0" w:color="E0E0E0"/>
            </w:tcBorders>
            <w:shd w:val="clear" w:color="auto" w:fill="FFFFFF"/>
            <w:vAlign w:val="bottom"/>
          </w:tcPr>
          <w:p w14:paraId="76E833C6" w14:textId="77777777" w:rsidR="009C3C86" w:rsidRPr="002449E7"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2449E7">
              <w:rPr>
                <w:rFonts w:ascii="Arial" w:hAnsi="Arial" w:cs="Arial"/>
                <w:color w:val="264A60"/>
                <w:sz w:val="24"/>
                <w:szCs w:val="24"/>
              </w:rPr>
              <w:t>Depression</w:t>
            </w:r>
          </w:p>
        </w:tc>
        <w:tc>
          <w:tcPr>
            <w:tcW w:w="1313" w:type="dxa"/>
            <w:tcBorders>
              <w:top w:val="nil"/>
              <w:left w:val="single" w:sz="8" w:space="0" w:color="E0E0E0"/>
              <w:bottom w:val="single" w:sz="8" w:space="0" w:color="152935"/>
              <w:right w:val="nil"/>
            </w:tcBorders>
            <w:shd w:val="clear" w:color="auto" w:fill="FFFFFF"/>
            <w:vAlign w:val="bottom"/>
          </w:tcPr>
          <w:p w14:paraId="45172DF6" w14:textId="77777777" w:rsidR="009C3C86" w:rsidRPr="002449E7"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2449E7">
              <w:rPr>
                <w:rFonts w:ascii="Arial" w:hAnsi="Arial" w:cs="Arial"/>
                <w:color w:val="264A60"/>
                <w:sz w:val="24"/>
                <w:szCs w:val="24"/>
              </w:rPr>
              <w:t>Anxiety</w:t>
            </w:r>
          </w:p>
        </w:tc>
      </w:tr>
      <w:tr w:rsidR="009C3C86" w:rsidRPr="002449E7" w14:paraId="6B8EC1CF" w14:textId="77777777" w:rsidTr="009C3C86">
        <w:trPr>
          <w:cantSplit/>
          <w:trHeight w:val="326"/>
        </w:trPr>
        <w:tc>
          <w:tcPr>
            <w:tcW w:w="2513" w:type="dxa"/>
            <w:tcBorders>
              <w:top w:val="single" w:sz="8" w:space="0" w:color="152935"/>
              <w:left w:val="nil"/>
              <w:bottom w:val="single" w:sz="8" w:space="0" w:color="AEAEAE"/>
              <w:right w:val="nil"/>
            </w:tcBorders>
            <w:shd w:val="clear" w:color="auto" w:fill="E0E0E0"/>
          </w:tcPr>
          <w:p w14:paraId="4D3501DB" w14:textId="77777777" w:rsidR="009C3C86" w:rsidRPr="002449E7" w:rsidRDefault="009C3C86" w:rsidP="009C3C86">
            <w:pPr>
              <w:autoSpaceDE w:val="0"/>
              <w:autoSpaceDN w:val="0"/>
              <w:adjustRightInd w:val="0"/>
              <w:spacing w:after="0" w:line="320" w:lineRule="atLeast"/>
              <w:ind w:left="60" w:right="60"/>
              <w:rPr>
                <w:rFonts w:ascii="Arial" w:hAnsi="Arial" w:cs="Arial"/>
                <w:color w:val="264A60"/>
                <w:sz w:val="24"/>
                <w:szCs w:val="24"/>
              </w:rPr>
            </w:pPr>
            <w:r w:rsidRPr="002449E7">
              <w:rPr>
                <w:rFonts w:ascii="Arial" w:hAnsi="Arial" w:cs="Arial"/>
                <w:color w:val="264A60"/>
                <w:sz w:val="24"/>
                <w:szCs w:val="24"/>
              </w:rPr>
              <w:t>Mann-Whitney U</w:t>
            </w:r>
          </w:p>
        </w:tc>
        <w:tc>
          <w:tcPr>
            <w:tcW w:w="1680" w:type="dxa"/>
            <w:tcBorders>
              <w:top w:val="single" w:sz="8" w:space="0" w:color="152935"/>
              <w:left w:val="nil"/>
              <w:bottom w:val="single" w:sz="8" w:space="0" w:color="AEAEAE"/>
              <w:right w:val="single" w:sz="8" w:space="0" w:color="E0E0E0"/>
            </w:tcBorders>
            <w:shd w:val="clear" w:color="auto" w:fill="F9F9FB"/>
          </w:tcPr>
          <w:p w14:paraId="0595010F" w14:textId="77777777" w:rsidR="009C3C86" w:rsidRPr="002449E7"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2449E7">
              <w:rPr>
                <w:rFonts w:ascii="Arial" w:hAnsi="Arial" w:cs="Arial"/>
                <w:color w:val="010205"/>
                <w:sz w:val="24"/>
                <w:szCs w:val="24"/>
              </w:rPr>
              <w:t>808.000</w:t>
            </w:r>
          </w:p>
        </w:tc>
        <w:tc>
          <w:tcPr>
            <w:tcW w:w="1892" w:type="dxa"/>
            <w:tcBorders>
              <w:top w:val="single" w:sz="8" w:space="0" w:color="152935"/>
              <w:left w:val="single" w:sz="8" w:space="0" w:color="E0E0E0"/>
              <w:bottom w:val="single" w:sz="8" w:space="0" w:color="AEAEAE"/>
              <w:right w:val="single" w:sz="8" w:space="0" w:color="E0E0E0"/>
            </w:tcBorders>
            <w:shd w:val="clear" w:color="auto" w:fill="F9F9FB"/>
          </w:tcPr>
          <w:p w14:paraId="40564F67" w14:textId="77777777" w:rsidR="009C3C86" w:rsidRPr="002449E7"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2449E7">
              <w:rPr>
                <w:rFonts w:ascii="Arial" w:hAnsi="Arial" w:cs="Arial"/>
                <w:color w:val="010205"/>
                <w:sz w:val="24"/>
                <w:szCs w:val="24"/>
              </w:rPr>
              <w:t>817.500</w:t>
            </w:r>
          </w:p>
        </w:tc>
        <w:tc>
          <w:tcPr>
            <w:tcW w:w="1525" w:type="dxa"/>
            <w:tcBorders>
              <w:top w:val="single" w:sz="8" w:space="0" w:color="152935"/>
              <w:left w:val="single" w:sz="8" w:space="0" w:color="E0E0E0"/>
              <w:bottom w:val="single" w:sz="8" w:space="0" w:color="AEAEAE"/>
              <w:right w:val="single" w:sz="8" w:space="0" w:color="E0E0E0"/>
            </w:tcBorders>
            <w:shd w:val="clear" w:color="auto" w:fill="F9F9FB"/>
          </w:tcPr>
          <w:p w14:paraId="4A30E9AD" w14:textId="77777777" w:rsidR="009C3C86" w:rsidRPr="002449E7"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2449E7">
              <w:rPr>
                <w:rFonts w:ascii="Arial" w:hAnsi="Arial" w:cs="Arial"/>
                <w:color w:val="010205"/>
                <w:sz w:val="24"/>
                <w:szCs w:val="24"/>
              </w:rPr>
              <w:t>805.000</w:t>
            </w:r>
          </w:p>
        </w:tc>
        <w:tc>
          <w:tcPr>
            <w:tcW w:w="1313" w:type="dxa"/>
            <w:tcBorders>
              <w:top w:val="single" w:sz="8" w:space="0" w:color="152935"/>
              <w:left w:val="single" w:sz="8" w:space="0" w:color="E0E0E0"/>
              <w:bottom w:val="single" w:sz="8" w:space="0" w:color="AEAEAE"/>
              <w:right w:val="nil"/>
            </w:tcBorders>
            <w:shd w:val="clear" w:color="auto" w:fill="F9F9FB"/>
          </w:tcPr>
          <w:p w14:paraId="518161B8" w14:textId="77777777" w:rsidR="009C3C86" w:rsidRPr="002449E7"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2449E7">
              <w:rPr>
                <w:rFonts w:ascii="Arial" w:hAnsi="Arial" w:cs="Arial"/>
                <w:color w:val="010205"/>
                <w:sz w:val="24"/>
                <w:szCs w:val="24"/>
              </w:rPr>
              <w:t>827.000</w:t>
            </w:r>
          </w:p>
        </w:tc>
      </w:tr>
      <w:tr w:rsidR="009C3C86" w:rsidRPr="002449E7" w14:paraId="02A47C13" w14:textId="77777777" w:rsidTr="009C3C86">
        <w:trPr>
          <w:cantSplit/>
          <w:trHeight w:val="653"/>
        </w:trPr>
        <w:tc>
          <w:tcPr>
            <w:tcW w:w="2513" w:type="dxa"/>
            <w:tcBorders>
              <w:top w:val="single" w:sz="8" w:space="0" w:color="AEAEAE"/>
              <w:left w:val="nil"/>
              <w:bottom w:val="single" w:sz="8" w:space="0" w:color="AEAEAE"/>
              <w:right w:val="nil"/>
            </w:tcBorders>
            <w:shd w:val="clear" w:color="auto" w:fill="E0E0E0"/>
          </w:tcPr>
          <w:p w14:paraId="5EAE069A" w14:textId="77777777" w:rsidR="009C3C86" w:rsidRPr="002449E7" w:rsidRDefault="009C3C86" w:rsidP="009C3C86">
            <w:pPr>
              <w:autoSpaceDE w:val="0"/>
              <w:autoSpaceDN w:val="0"/>
              <w:adjustRightInd w:val="0"/>
              <w:spacing w:after="0" w:line="320" w:lineRule="atLeast"/>
              <w:ind w:left="60" w:right="60"/>
              <w:rPr>
                <w:rFonts w:ascii="Arial" w:hAnsi="Arial" w:cs="Arial"/>
                <w:color w:val="264A60"/>
                <w:sz w:val="24"/>
                <w:szCs w:val="24"/>
              </w:rPr>
            </w:pPr>
            <w:r w:rsidRPr="002449E7">
              <w:rPr>
                <w:rFonts w:ascii="Arial" w:hAnsi="Arial" w:cs="Arial"/>
                <w:color w:val="264A60"/>
                <w:sz w:val="24"/>
                <w:szCs w:val="24"/>
              </w:rPr>
              <w:t>Wilcoxon W</w:t>
            </w:r>
          </w:p>
        </w:tc>
        <w:tc>
          <w:tcPr>
            <w:tcW w:w="1680" w:type="dxa"/>
            <w:tcBorders>
              <w:top w:val="single" w:sz="8" w:space="0" w:color="AEAEAE"/>
              <w:left w:val="nil"/>
              <w:bottom w:val="single" w:sz="8" w:space="0" w:color="AEAEAE"/>
              <w:right w:val="single" w:sz="8" w:space="0" w:color="E0E0E0"/>
            </w:tcBorders>
            <w:shd w:val="clear" w:color="auto" w:fill="F9F9FB"/>
          </w:tcPr>
          <w:p w14:paraId="55402B12" w14:textId="77777777" w:rsidR="009C3C86" w:rsidRPr="002449E7"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2449E7">
              <w:rPr>
                <w:rFonts w:ascii="Arial" w:hAnsi="Arial" w:cs="Arial"/>
                <w:color w:val="010205"/>
                <w:sz w:val="24"/>
                <w:szCs w:val="24"/>
              </w:rPr>
              <w:t>1798.000</w:t>
            </w:r>
          </w:p>
        </w:tc>
        <w:tc>
          <w:tcPr>
            <w:tcW w:w="1892" w:type="dxa"/>
            <w:tcBorders>
              <w:top w:val="single" w:sz="8" w:space="0" w:color="AEAEAE"/>
              <w:left w:val="single" w:sz="8" w:space="0" w:color="E0E0E0"/>
              <w:bottom w:val="single" w:sz="8" w:space="0" w:color="AEAEAE"/>
              <w:right w:val="single" w:sz="8" w:space="0" w:color="E0E0E0"/>
            </w:tcBorders>
            <w:shd w:val="clear" w:color="auto" w:fill="F9F9FB"/>
          </w:tcPr>
          <w:p w14:paraId="19C12550" w14:textId="77777777" w:rsidR="009C3C86" w:rsidRPr="002449E7"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2449E7">
              <w:rPr>
                <w:rFonts w:ascii="Arial" w:hAnsi="Arial" w:cs="Arial"/>
                <w:color w:val="010205"/>
                <w:sz w:val="24"/>
                <w:szCs w:val="24"/>
              </w:rPr>
              <w:t>1807.500</w:t>
            </w:r>
          </w:p>
        </w:tc>
        <w:tc>
          <w:tcPr>
            <w:tcW w:w="1525" w:type="dxa"/>
            <w:tcBorders>
              <w:top w:val="single" w:sz="8" w:space="0" w:color="AEAEAE"/>
              <w:left w:val="single" w:sz="8" w:space="0" w:color="E0E0E0"/>
              <w:bottom w:val="single" w:sz="8" w:space="0" w:color="AEAEAE"/>
              <w:right w:val="single" w:sz="8" w:space="0" w:color="E0E0E0"/>
            </w:tcBorders>
            <w:shd w:val="clear" w:color="auto" w:fill="F9F9FB"/>
          </w:tcPr>
          <w:p w14:paraId="21C12463" w14:textId="77777777" w:rsidR="009C3C86" w:rsidRPr="002449E7"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2449E7">
              <w:rPr>
                <w:rFonts w:ascii="Arial" w:hAnsi="Arial" w:cs="Arial"/>
                <w:color w:val="010205"/>
                <w:sz w:val="24"/>
                <w:szCs w:val="24"/>
              </w:rPr>
              <w:t>1795.000</w:t>
            </w:r>
          </w:p>
        </w:tc>
        <w:tc>
          <w:tcPr>
            <w:tcW w:w="1313" w:type="dxa"/>
            <w:tcBorders>
              <w:top w:val="single" w:sz="8" w:space="0" w:color="AEAEAE"/>
              <w:left w:val="single" w:sz="8" w:space="0" w:color="E0E0E0"/>
              <w:bottom w:val="single" w:sz="8" w:space="0" w:color="AEAEAE"/>
              <w:right w:val="nil"/>
            </w:tcBorders>
            <w:shd w:val="clear" w:color="auto" w:fill="F9F9FB"/>
          </w:tcPr>
          <w:p w14:paraId="099DB7E5" w14:textId="77777777" w:rsidR="009C3C86" w:rsidRPr="002449E7"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2449E7">
              <w:rPr>
                <w:rFonts w:ascii="Arial" w:hAnsi="Arial" w:cs="Arial"/>
                <w:color w:val="010205"/>
                <w:sz w:val="24"/>
                <w:szCs w:val="24"/>
              </w:rPr>
              <w:t>1817.000</w:t>
            </w:r>
          </w:p>
        </w:tc>
      </w:tr>
      <w:tr w:rsidR="009C3C86" w:rsidRPr="002449E7" w14:paraId="0E1596C9" w14:textId="77777777" w:rsidTr="009C3C86">
        <w:trPr>
          <w:cantSplit/>
          <w:trHeight w:val="326"/>
        </w:trPr>
        <w:tc>
          <w:tcPr>
            <w:tcW w:w="2513" w:type="dxa"/>
            <w:tcBorders>
              <w:top w:val="single" w:sz="8" w:space="0" w:color="AEAEAE"/>
              <w:left w:val="nil"/>
              <w:bottom w:val="single" w:sz="8" w:space="0" w:color="AEAEAE"/>
              <w:right w:val="nil"/>
            </w:tcBorders>
            <w:shd w:val="clear" w:color="auto" w:fill="E0E0E0"/>
          </w:tcPr>
          <w:p w14:paraId="7B389AFF" w14:textId="77777777" w:rsidR="009C3C86" w:rsidRPr="002449E7" w:rsidRDefault="009C3C86" w:rsidP="009C3C86">
            <w:pPr>
              <w:autoSpaceDE w:val="0"/>
              <w:autoSpaceDN w:val="0"/>
              <w:adjustRightInd w:val="0"/>
              <w:spacing w:after="0" w:line="320" w:lineRule="atLeast"/>
              <w:ind w:left="60" w:right="60"/>
              <w:rPr>
                <w:rFonts w:ascii="Arial" w:hAnsi="Arial" w:cs="Arial"/>
                <w:color w:val="264A60"/>
                <w:sz w:val="24"/>
                <w:szCs w:val="24"/>
              </w:rPr>
            </w:pPr>
            <w:r w:rsidRPr="002449E7">
              <w:rPr>
                <w:rFonts w:ascii="Arial" w:hAnsi="Arial" w:cs="Arial"/>
                <w:color w:val="264A60"/>
                <w:sz w:val="24"/>
                <w:szCs w:val="24"/>
              </w:rPr>
              <w:t>Z</w:t>
            </w:r>
          </w:p>
        </w:tc>
        <w:tc>
          <w:tcPr>
            <w:tcW w:w="1680" w:type="dxa"/>
            <w:tcBorders>
              <w:top w:val="single" w:sz="8" w:space="0" w:color="AEAEAE"/>
              <w:left w:val="nil"/>
              <w:bottom w:val="single" w:sz="8" w:space="0" w:color="AEAEAE"/>
              <w:right w:val="single" w:sz="8" w:space="0" w:color="E0E0E0"/>
            </w:tcBorders>
            <w:shd w:val="clear" w:color="auto" w:fill="F9F9FB"/>
          </w:tcPr>
          <w:p w14:paraId="459F2E63" w14:textId="77777777" w:rsidR="009C3C86" w:rsidRPr="002449E7"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2449E7">
              <w:rPr>
                <w:rFonts w:ascii="Arial" w:hAnsi="Arial" w:cs="Arial"/>
                <w:color w:val="010205"/>
                <w:sz w:val="24"/>
                <w:szCs w:val="24"/>
              </w:rPr>
              <w:t>-1.649</w:t>
            </w:r>
          </w:p>
        </w:tc>
        <w:tc>
          <w:tcPr>
            <w:tcW w:w="1892" w:type="dxa"/>
            <w:tcBorders>
              <w:top w:val="single" w:sz="8" w:space="0" w:color="AEAEAE"/>
              <w:left w:val="single" w:sz="8" w:space="0" w:color="E0E0E0"/>
              <w:bottom w:val="single" w:sz="8" w:space="0" w:color="AEAEAE"/>
              <w:right w:val="single" w:sz="8" w:space="0" w:color="E0E0E0"/>
            </w:tcBorders>
            <w:shd w:val="clear" w:color="auto" w:fill="F9F9FB"/>
          </w:tcPr>
          <w:p w14:paraId="06C35F37" w14:textId="77777777" w:rsidR="009C3C86" w:rsidRPr="002449E7"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2449E7">
              <w:rPr>
                <w:rFonts w:ascii="Arial" w:hAnsi="Arial" w:cs="Arial"/>
                <w:color w:val="010205"/>
                <w:sz w:val="24"/>
                <w:szCs w:val="24"/>
              </w:rPr>
              <w:t>-1.571</w:t>
            </w:r>
          </w:p>
        </w:tc>
        <w:tc>
          <w:tcPr>
            <w:tcW w:w="1525" w:type="dxa"/>
            <w:tcBorders>
              <w:top w:val="single" w:sz="8" w:space="0" w:color="AEAEAE"/>
              <w:left w:val="single" w:sz="8" w:space="0" w:color="E0E0E0"/>
              <w:bottom w:val="single" w:sz="8" w:space="0" w:color="AEAEAE"/>
              <w:right w:val="single" w:sz="8" w:space="0" w:color="E0E0E0"/>
            </w:tcBorders>
            <w:shd w:val="clear" w:color="auto" w:fill="F9F9FB"/>
          </w:tcPr>
          <w:p w14:paraId="10286CE4" w14:textId="77777777" w:rsidR="009C3C86" w:rsidRPr="002449E7"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2449E7">
              <w:rPr>
                <w:rFonts w:ascii="Arial" w:hAnsi="Arial" w:cs="Arial"/>
                <w:color w:val="010205"/>
                <w:sz w:val="24"/>
                <w:szCs w:val="24"/>
              </w:rPr>
              <w:t>-1.673</w:t>
            </w:r>
          </w:p>
        </w:tc>
        <w:tc>
          <w:tcPr>
            <w:tcW w:w="1313" w:type="dxa"/>
            <w:tcBorders>
              <w:top w:val="single" w:sz="8" w:space="0" w:color="AEAEAE"/>
              <w:left w:val="single" w:sz="8" w:space="0" w:color="E0E0E0"/>
              <w:bottom w:val="single" w:sz="8" w:space="0" w:color="AEAEAE"/>
              <w:right w:val="nil"/>
            </w:tcBorders>
            <w:shd w:val="clear" w:color="auto" w:fill="F9F9FB"/>
          </w:tcPr>
          <w:p w14:paraId="79E62B3C" w14:textId="77777777" w:rsidR="009C3C86" w:rsidRPr="002449E7"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2449E7">
              <w:rPr>
                <w:rFonts w:ascii="Arial" w:hAnsi="Arial" w:cs="Arial"/>
                <w:color w:val="010205"/>
                <w:sz w:val="24"/>
                <w:szCs w:val="24"/>
              </w:rPr>
              <w:t>-1.496</w:t>
            </w:r>
          </w:p>
        </w:tc>
      </w:tr>
      <w:tr w:rsidR="009C3C86" w:rsidRPr="002449E7" w14:paraId="4B5DB0D5" w14:textId="77777777" w:rsidTr="009C3C86">
        <w:trPr>
          <w:cantSplit/>
          <w:trHeight w:val="653"/>
        </w:trPr>
        <w:tc>
          <w:tcPr>
            <w:tcW w:w="2513" w:type="dxa"/>
            <w:tcBorders>
              <w:top w:val="single" w:sz="8" w:space="0" w:color="AEAEAE"/>
              <w:left w:val="nil"/>
              <w:bottom w:val="single" w:sz="8" w:space="0" w:color="152935"/>
              <w:right w:val="nil"/>
            </w:tcBorders>
            <w:shd w:val="clear" w:color="auto" w:fill="E0E0E0"/>
          </w:tcPr>
          <w:p w14:paraId="6D464567" w14:textId="77777777" w:rsidR="009C3C86" w:rsidRPr="002449E7" w:rsidRDefault="009C3C86" w:rsidP="009C3C86">
            <w:pPr>
              <w:autoSpaceDE w:val="0"/>
              <w:autoSpaceDN w:val="0"/>
              <w:adjustRightInd w:val="0"/>
              <w:spacing w:after="0" w:line="320" w:lineRule="atLeast"/>
              <w:ind w:left="60" w:right="60"/>
              <w:rPr>
                <w:rFonts w:ascii="Arial" w:hAnsi="Arial" w:cs="Arial"/>
                <w:color w:val="264A60"/>
                <w:sz w:val="24"/>
                <w:szCs w:val="24"/>
              </w:rPr>
            </w:pPr>
            <w:r w:rsidRPr="002449E7">
              <w:rPr>
                <w:rFonts w:ascii="Arial" w:hAnsi="Arial" w:cs="Arial"/>
                <w:color w:val="264A60"/>
                <w:sz w:val="24"/>
                <w:szCs w:val="24"/>
              </w:rPr>
              <w:t>Asymp. Sig. (2-tailed)</w:t>
            </w:r>
          </w:p>
        </w:tc>
        <w:tc>
          <w:tcPr>
            <w:tcW w:w="1680" w:type="dxa"/>
            <w:tcBorders>
              <w:top w:val="single" w:sz="8" w:space="0" w:color="AEAEAE"/>
              <w:left w:val="nil"/>
              <w:bottom w:val="single" w:sz="8" w:space="0" w:color="152935"/>
              <w:right w:val="single" w:sz="8" w:space="0" w:color="E0E0E0"/>
            </w:tcBorders>
            <w:shd w:val="clear" w:color="auto" w:fill="F9F9FB"/>
          </w:tcPr>
          <w:p w14:paraId="3BE17CF3" w14:textId="77777777" w:rsidR="009C3C86" w:rsidRPr="002449E7"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2449E7">
              <w:rPr>
                <w:rFonts w:ascii="Arial" w:hAnsi="Arial" w:cs="Arial"/>
                <w:color w:val="010205"/>
                <w:sz w:val="24"/>
                <w:szCs w:val="24"/>
              </w:rPr>
              <w:t>.099</w:t>
            </w:r>
          </w:p>
        </w:tc>
        <w:tc>
          <w:tcPr>
            <w:tcW w:w="1892" w:type="dxa"/>
            <w:tcBorders>
              <w:top w:val="single" w:sz="8" w:space="0" w:color="AEAEAE"/>
              <w:left w:val="single" w:sz="8" w:space="0" w:color="E0E0E0"/>
              <w:bottom w:val="single" w:sz="8" w:space="0" w:color="152935"/>
              <w:right w:val="single" w:sz="8" w:space="0" w:color="E0E0E0"/>
            </w:tcBorders>
            <w:shd w:val="clear" w:color="auto" w:fill="F9F9FB"/>
          </w:tcPr>
          <w:p w14:paraId="54834BEB" w14:textId="77777777" w:rsidR="009C3C86" w:rsidRPr="002449E7"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2449E7">
              <w:rPr>
                <w:rFonts w:ascii="Arial" w:hAnsi="Arial" w:cs="Arial"/>
                <w:color w:val="010205"/>
                <w:sz w:val="24"/>
                <w:szCs w:val="24"/>
              </w:rPr>
              <w:t>.116</w:t>
            </w:r>
          </w:p>
        </w:tc>
        <w:tc>
          <w:tcPr>
            <w:tcW w:w="1525" w:type="dxa"/>
            <w:tcBorders>
              <w:top w:val="single" w:sz="8" w:space="0" w:color="AEAEAE"/>
              <w:left w:val="single" w:sz="8" w:space="0" w:color="E0E0E0"/>
              <w:bottom w:val="single" w:sz="8" w:space="0" w:color="152935"/>
              <w:right w:val="single" w:sz="8" w:space="0" w:color="E0E0E0"/>
            </w:tcBorders>
            <w:shd w:val="clear" w:color="auto" w:fill="F9F9FB"/>
          </w:tcPr>
          <w:p w14:paraId="4C0467D0" w14:textId="77777777" w:rsidR="009C3C86" w:rsidRPr="002449E7"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2449E7">
              <w:rPr>
                <w:rFonts w:ascii="Arial" w:hAnsi="Arial" w:cs="Arial"/>
                <w:color w:val="010205"/>
                <w:sz w:val="24"/>
                <w:szCs w:val="24"/>
              </w:rPr>
              <w:t>.094</w:t>
            </w:r>
          </w:p>
        </w:tc>
        <w:tc>
          <w:tcPr>
            <w:tcW w:w="1313" w:type="dxa"/>
            <w:tcBorders>
              <w:top w:val="single" w:sz="8" w:space="0" w:color="AEAEAE"/>
              <w:left w:val="single" w:sz="8" w:space="0" w:color="E0E0E0"/>
              <w:bottom w:val="single" w:sz="8" w:space="0" w:color="152935"/>
              <w:right w:val="nil"/>
            </w:tcBorders>
            <w:shd w:val="clear" w:color="auto" w:fill="F9F9FB"/>
          </w:tcPr>
          <w:p w14:paraId="600F708D" w14:textId="77777777" w:rsidR="009C3C86" w:rsidRPr="002449E7"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2449E7">
              <w:rPr>
                <w:rFonts w:ascii="Arial" w:hAnsi="Arial" w:cs="Arial"/>
                <w:color w:val="010205"/>
                <w:sz w:val="24"/>
                <w:szCs w:val="24"/>
              </w:rPr>
              <w:t>.135</w:t>
            </w:r>
          </w:p>
        </w:tc>
      </w:tr>
      <w:tr w:rsidR="009C3C86" w:rsidRPr="002449E7" w14:paraId="45C88604" w14:textId="77777777" w:rsidTr="009C3C86">
        <w:trPr>
          <w:cantSplit/>
          <w:trHeight w:val="979"/>
        </w:trPr>
        <w:tc>
          <w:tcPr>
            <w:tcW w:w="8924" w:type="dxa"/>
            <w:gridSpan w:val="5"/>
            <w:tcBorders>
              <w:top w:val="nil"/>
              <w:left w:val="nil"/>
              <w:bottom w:val="nil"/>
              <w:right w:val="nil"/>
            </w:tcBorders>
            <w:shd w:val="clear" w:color="auto" w:fill="FFFFFF"/>
          </w:tcPr>
          <w:p w14:paraId="6455AC86" w14:textId="77777777" w:rsidR="009C3C86" w:rsidRPr="002449E7" w:rsidRDefault="009C3C86" w:rsidP="009C3C86">
            <w:pPr>
              <w:autoSpaceDE w:val="0"/>
              <w:autoSpaceDN w:val="0"/>
              <w:adjustRightInd w:val="0"/>
              <w:spacing w:after="0" w:line="320" w:lineRule="atLeast"/>
              <w:ind w:left="60" w:right="60"/>
              <w:rPr>
                <w:rFonts w:ascii="Arial" w:hAnsi="Arial" w:cs="Arial"/>
                <w:color w:val="010205"/>
                <w:sz w:val="24"/>
                <w:szCs w:val="24"/>
              </w:rPr>
            </w:pPr>
          </w:p>
        </w:tc>
      </w:tr>
    </w:tbl>
    <w:p w14:paraId="38CA3287" w14:textId="77777777" w:rsidR="009C3C86" w:rsidRPr="002449E7" w:rsidRDefault="009C3C86" w:rsidP="009C3C86">
      <w:pPr>
        <w:autoSpaceDE w:val="0"/>
        <w:autoSpaceDN w:val="0"/>
        <w:adjustRightInd w:val="0"/>
        <w:spacing w:after="0" w:line="400" w:lineRule="atLeast"/>
        <w:rPr>
          <w:rFonts w:ascii="Times New Roman" w:hAnsi="Times New Roman" w:cs="Times New Roman"/>
          <w:sz w:val="24"/>
          <w:szCs w:val="24"/>
        </w:rPr>
      </w:pPr>
    </w:p>
    <w:p w14:paraId="40012E2C" w14:textId="77777777" w:rsidR="009C3C86" w:rsidRDefault="009C3C86" w:rsidP="009C3C86">
      <w:pPr>
        <w:autoSpaceDE w:val="0"/>
        <w:autoSpaceDN w:val="0"/>
        <w:adjustRightInd w:val="0"/>
        <w:spacing w:after="0" w:line="400" w:lineRule="atLeast"/>
        <w:rPr>
          <w:rFonts w:ascii="Times New Roman" w:hAnsi="Times New Roman" w:cs="Times New Roman"/>
          <w:sz w:val="24"/>
          <w:szCs w:val="24"/>
        </w:rPr>
      </w:pPr>
    </w:p>
    <w:p w14:paraId="0855329E" w14:textId="77777777" w:rsidR="009C3C86" w:rsidRDefault="009C3C86" w:rsidP="009C3C86">
      <w:pPr>
        <w:autoSpaceDE w:val="0"/>
        <w:autoSpaceDN w:val="0"/>
        <w:adjustRightInd w:val="0"/>
        <w:spacing w:after="0" w:line="400" w:lineRule="atLeast"/>
        <w:rPr>
          <w:rFonts w:ascii="Times New Roman" w:hAnsi="Times New Roman" w:cs="Times New Roman"/>
          <w:sz w:val="24"/>
          <w:szCs w:val="24"/>
        </w:rPr>
      </w:pPr>
    </w:p>
    <w:p w14:paraId="478388B3" w14:textId="77777777" w:rsidR="009C3C86" w:rsidRDefault="009C3C86" w:rsidP="009C3C86">
      <w:pPr>
        <w:autoSpaceDE w:val="0"/>
        <w:autoSpaceDN w:val="0"/>
        <w:adjustRightInd w:val="0"/>
        <w:spacing w:after="0" w:line="400" w:lineRule="atLeast"/>
        <w:rPr>
          <w:rFonts w:ascii="Times New Roman" w:hAnsi="Times New Roman" w:cs="Times New Roman"/>
          <w:sz w:val="24"/>
          <w:szCs w:val="24"/>
        </w:rPr>
      </w:pPr>
    </w:p>
    <w:p w14:paraId="1C2028CD" w14:textId="77777777" w:rsidR="009C3C86" w:rsidRDefault="009C3C86" w:rsidP="009C3C86">
      <w:pPr>
        <w:autoSpaceDE w:val="0"/>
        <w:autoSpaceDN w:val="0"/>
        <w:adjustRightInd w:val="0"/>
        <w:spacing w:after="0" w:line="400" w:lineRule="atLeast"/>
        <w:rPr>
          <w:rFonts w:ascii="Times New Roman" w:hAnsi="Times New Roman" w:cs="Times New Roman"/>
          <w:sz w:val="24"/>
          <w:szCs w:val="24"/>
        </w:rPr>
      </w:pPr>
    </w:p>
    <w:p w14:paraId="18C9F7EC" w14:textId="77777777" w:rsidR="009C3C86" w:rsidRDefault="009C3C86" w:rsidP="009C3C86">
      <w:pPr>
        <w:autoSpaceDE w:val="0"/>
        <w:autoSpaceDN w:val="0"/>
        <w:adjustRightInd w:val="0"/>
        <w:spacing w:after="0" w:line="400" w:lineRule="atLeast"/>
        <w:rPr>
          <w:rFonts w:ascii="Times New Roman" w:hAnsi="Times New Roman" w:cs="Times New Roman"/>
          <w:sz w:val="24"/>
          <w:szCs w:val="24"/>
        </w:rPr>
      </w:pPr>
    </w:p>
    <w:p w14:paraId="1738DC19" w14:textId="77777777" w:rsidR="009C3C86" w:rsidRPr="00AD00A9" w:rsidRDefault="009C3C86" w:rsidP="009C3C86">
      <w:pPr>
        <w:autoSpaceDE w:val="0"/>
        <w:autoSpaceDN w:val="0"/>
        <w:adjustRightInd w:val="0"/>
        <w:spacing w:after="0" w:line="400" w:lineRule="atLeast"/>
        <w:rPr>
          <w:rFonts w:ascii="Times New Roman" w:hAnsi="Times New Roman" w:cs="Times New Roman"/>
          <w:sz w:val="24"/>
          <w:szCs w:val="24"/>
        </w:rPr>
      </w:pPr>
    </w:p>
    <w:p w14:paraId="7B6069DE" w14:textId="77777777" w:rsidR="009C3C86" w:rsidRDefault="009C3C86" w:rsidP="009C3C86">
      <w:pPr>
        <w:autoSpaceDE w:val="0"/>
        <w:autoSpaceDN w:val="0"/>
        <w:adjustRightInd w:val="0"/>
        <w:spacing w:after="0" w:line="400" w:lineRule="atLeast"/>
        <w:rPr>
          <w:rFonts w:ascii="Times New Roman" w:hAnsi="Times New Roman" w:cs="Times New Roman"/>
          <w:sz w:val="24"/>
          <w:szCs w:val="24"/>
        </w:rPr>
      </w:pPr>
    </w:p>
    <w:p w14:paraId="3CCA7218" w14:textId="77777777" w:rsidR="009C3C86" w:rsidRPr="00D52694" w:rsidRDefault="009C3C86" w:rsidP="00027769">
      <w:pPr>
        <w:pStyle w:val="Heading1"/>
      </w:pPr>
      <w:bookmarkStart w:id="198" w:name="_Toc133487856"/>
      <w:r>
        <w:lastRenderedPageBreak/>
        <w:t>Appendix L</w:t>
      </w:r>
      <w:bookmarkEnd w:id="198"/>
    </w:p>
    <w:p w14:paraId="3D87D3B7" w14:textId="4702B592" w:rsidR="009C3C86" w:rsidRPr="00027769" w:rsidRDefault="009C3C86" w:rsidP="00027769">
      <w:pPr>
        <w:rPr>
          <w:b/>
        </w:rPr>
      </w:pPr>
      <w:bookmarkStart w:id="199" w:name="_Toc133144228"/>
      <w:r w:rsidRPr="00027769">
        <w:rPr>
          <w:b/>
        </w:rPr>
        <w:t>SPSS Output – First regression model with somatisation as the dependent variable and IU, AS, depression, anxiety, and diagnosis as predictors</w:t>
      </w:r>
      <w:bookmarkEnd w:id="199"/>
    </w:p>
    <w:p w14:paraId="1ED1FAE2" w14:textId="77777777" w:rsidR="009C3C86" w:rsidRDefault="009C3C86" w:rsidP="009C3C86"/>
    <w:p w14:paraId="78927D0D" w14:textId="77777777" w:rsidR="009C3C86" w:rsidRDefault="009C3C86" w:rsidP="009C3C86">
      <w:r>
        <w:rPr>
          <w:rFonts w:cstheme="minorHAnsi"/>
          <w:b/>
          <w:noProof/>
          <w:sz w:val="24"/>
          <w:szCs w:val="24"/>
          <w:lang w:eastAsia="en-GB"/>
        </w:rPr>
        <w:drawing>
          <wp:inline distT="0" distB="0" distL="0" distR="0" wp14:anchorId="22E541AC" wp14:editId="45BC66BB">
            <wp:extent cx="5638800" cy="1028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638800" cy="1028700"/>
                    </a:xfrm>
                    <a:prstGeom prst="rect">
                      <a:avLst/>
                    </a:prstGeom>
                    <a:noFill/>
                    <a:ln>
                      <a:noFill/>
                    </a:ln>
                  </pic:spPr>
                </pic:pic>
              </a:graphicData>
            </a:graphic>
          </wp:inline>
        </w:drawing>
      </w:r>
    </w:p>
    <w:p w14:paraId="26D44A78" w14:textId="77777777" w:rsidR="009C3C86" w:rsidRPr="002D33C4" w:rsidRDefault="009C3C86" w:rsidP="009C3C86">
      <w:r>
        <w:rPr>
          <w:rFonts w:ascii="Times New Roman" w:hAnsi="Times New Roman" w:cs="Times New Roman"/>
          <w:noProof/>
          <w:sz w:val="24"/>
          <w:szCs w:val="24"/>
          <w:lang w:eastAsia="en-GB"/>
        </w:rPr>
        <w:drawing>
          <wp:inline distT="0" distB="0" distL="0" distR="0" wp14:anchorId="5934E975" wp14:editId="67BDDF76">
            <wp:extent cx="5727700" cy="1498600"/>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27700" cy="1498600"/>
                    </a:xfrm>
                    <a:prstGeom prst="rect">
                      <a:avLst/>
                    </a:prstGeom>
                    <a:noFill/>
                    <a:ln>
                      <a:noFill/>
                    </a:ln>
                  </pic:spPr>
                </pic:pic>
              </a:graphicData>
            </a:graphic>
          </wp:inline>
        </w:drawing>
      </w:r>
    </w:p>
    <w:p w14:paraId="3939A30E" w14:textId="77777777" w:rsidR="009C3C86" w:rsidRDefault="009C3C86" w:rsidP="009C3C86">
      <w:pPr>
        <w:autoSpaceDE w:val="0"/>
        <w:autoSpaceDN w:val="0"/>
        <w:adjustRightInd w:val="0"/>
        <w:spacing w:after="0" w:line="400" w:lineRule="atLeast"/>
        <w:jc w:val="center"/>
        <w:rPr>
          <w:rFonts w:cstheme="minorHAnsi"/>
          <w:b/>
          <w:sz w:val="24"/>
          <w:szCs w:val="24"/>
        </w:rPr>
      </w:pPr>
    </w:p>
    <w:tbl>
      <w:tblPr>
        <w:tblpPr w:leftFromText="180" w:rightFromText="180" w:vertAnchor="text" w:horzAnchor="margin" w:tblpY="135"/>
        <w:tblW w:w="6687" w:type="dxa"/>
        <w:tblLayout w:type="fixed"/>
        <w:tblCellMar>
          <w:left w:w="0" w:type="dxa"/>
          <w:right w:w="0" w:type="dxa"/>
        </w:tblCellMar>
        <w:tblLook w:val="0000" w:firstRow="0" w:lastRow="0" w:firstColumn="0" w:lastColumn="0" w:noHBand="0" w:noVBand="0"/>
      </w:tblPr>
      <w:tblGrid>
        <w:gridCol w:w="1415"/>
        <w:gridCol w:w="1353"/>
        <w:gridCol w:w="1337"/>
        <w:gridCol w:w="1506"/>
        <w:gridCol w:w="1076"/>
      </w:tblGrid>
      <w:tr w:rsidR="009C3C86" w:rsidRPr="00A40CA4" w14:paraId="3C9303C4" w14:textId="77777777" w:rsidTr="009C3C86">
        <w:trPr>
          <w:cantSplit/>
        </w:trPr>
        <w:tc>
          <w:tcPr>
            <w:tcW w:w="6687" w:type="dxa"/>
            <w:gridSpan w:val="5"/>
            <w:tcBorders>
              <w:top w:val="nil"/>
              <w:left w:val="nil"/>
              <w:bottom w:val="nil"/>
              <w:right w:val="nil"/>
            </w:tcBorders>
            <w:shd w:val="clear" w:color="auto" w:fill="FFFFFF"/>
            <w:vAlign w:val="center"/>
          </w:tcPr>
          <w:p w14:paraId="7331122B" w14:textId="77777777" w:rsidR="009C3C86" w:rsidRPr="00A40CA4" w:rsidRDefault="009C3C86" w:rsidP="009C3C86">
            <w:pPr>
              <w:autoSpaceDE w:val="0"/>
              <w:autoSpaceDN w:val="0"/>
              <w:adjustRightInd w:val="0"/>
              <w:spacing w:after="0" w:line="320" w:lineRule="atLeast"/>
              <w:ind w:left="60" w:right="60"/>
              <w:jc w:val="center"/>
              <w:rPr>
                <w:rFonts w:ascii="Arial" w:hAnsi="Arial" w:cs="Arial"/>
                <w:color w:val="010205"/>
                <w:sz w:val="28"/>
                <w:szCs w:val="28"/>
              </w:rPr>
            </w:pPr>
            <w:r w:rsidRPr="00A40CA4">
              <w:rPr>
                <w:rFonts w:ascii="Arial" w:hAnsi="Arial" w:cs="Arial"/>
                <w:b/>
                <w:bCs/>
                <w:color w:val="010205"/>
                <w:sz w:val="28"/>
                <w:szCs w:val="28"/>
              </w:rPr>
              <w:t>Casewise Diagnostics</w:t>
            </w:r>
            <w:r w:rsidRPr="00A40CA4">
              <w:rPr>
                <w:rFonts w:ascii="Arial" w:hAnsi="Arial" w:cs="Arial"/>
                <w:b/>
                <w:bCs/>
                <w:color w:val="010205"/>
                <w:sz w:val="28"/>
                <w:szCs w:val="28"/>
                <w:vertAlign w:val="superscript"/>
              </w:rPr>
              <w:t>a</w:t>
            </w:r>
          </w:p>
        </w:tc>
      </w:tr>
      <w:tr w:rsidR="009C3C86" w:rsidRPr="00A40CA4" w14:paraId="3A65E321" w14:textId="77777777" w:rsidTr="009C3C86">
        <w:trPr>
          <w:cantSplit/>
        </w:trPr>
        <w:tc>
          <w:tcPr>
            <w:tcW w:w="1415" w:type="dxa"/>
            <w:tcBorders>
              <w:top w:val="nil"/>
              <w:left w:val="nil"/>
              <w:bottom w:val="single" w:sz="8" w:space="0" w:color="152935"/>
              <w:right w:val="nil"/>
            </w:tcBorders>
            <w:shd w:val="clear" w:color="auto" w:fill="FFFFFF"/>
            <w:vAlign w:val="bottom"/>
          </w:tcPr>
          <w:p w14:paraId="6F0451B0" w14:textId="77777777" w:rsidR="009C3C86" w:rsidRPr="00A40CA4" w:rsidRDefault="009C3C86" w:rsidP="009C3C86">
            <w:pPr>
              <w:autoSpaceDE w:val="0"/>
              <w:autoSpaceDN w:val="0"/>
              <w:adjustRightInd w:val="0"/>
              <w:spacing w:after="0" w:line="320" w:lineRule="atLeast"/>
              <w:ind w:left="60" w:right="60"/>
              <w:rPr>
                <w:rFonts w:ascii="Arial" w:hAnsi="Arial" w:cs="Arial"/>
                <w:color w:val="264A60"/>
                <w:sz w:val="24"/>
                <w:szCs w:val="24"/>
              </w:rPr>
            </w:pPr>
            <w:r w:rsidRPr="00A40CA4">
              <w:rPr>
                <w:rFonts w:ascii="Arial" w:hAnsi="Arial" w:cs="Arial"/>
                <w:color w:val="264A60"/>
                <w:sz w:val="24"/>
                <w:szCs w:val="24"/>
              </w:rPr>
              <w:t>Case Number</w:t>
            </w:r>
          </w:p>
        </w:tc>
        <w:tc>
          <w:tcPr>
            <w:tcW w:w="1353" w:type="dxa"/>
            <w:tcBorders>
              <w:top w:val="nil"/>
              <w:left w:val="nil"/>
              <w:bottom w:val="single" w:sz="8" w:space="0" w:color="152935"/>
              <w:right w:val="single" w:sz="8" w:space="0" w:color="E0E0E0"/>
            </w:tcBorders>
            <w:shd w:val="clear" w:color="auto" w:fill="FFFFFF"/>
            <w:vAlign w:val="bottom"/>
          </w:tcPr>
          <w:p w14:paraId="13BEC4D3" w14:textId="77777777" w:rsidR="009C3C86" w:rsidRPr="00A40CA4"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A40CA4">
              <w:rPr>
                <w:rFonts w:ascii="Arial" w:hAnsi="Arial" w:cs="Arial"/>
                <w:color w:val="264A60"/>
                <w:sz w:val="24"/>
                <w:szCs w:val="24"/>
              </w:rPr>
              <w:t>Std. Residual</w:t>
            </w:r>
          </w:p>
        </w:tc>
        <w:tc>
          <w:tcPr>
            <w:tcW w:w="1337" w:type="dxa"/>
            <w:tcBorders>
              <w:top w:val="nil"/>
              <w:left w:val="single" w:sz="8" w:space="0" w:color="E0E0E0"/>
              <w:bottom w:val="single" w:sz="8" w:space="0" w:color="152935"/>
              <w:right w:val="single" w:sz="8" w:space="0" w:color="E0E0E0"/>
            </w:tcBorders>
            <w:shd w:val="clear" w:color="auto" w:fill="FFFFFF"/>
            <w:vAlign w:val="bottom"/>
          </w:tcPr>
          <w:p w14:paraId="18919E1C" w14:textId="77777777" w:rsidR="009C3C86" w:rsidRPr="00A40CA4"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A40CA4">
              <w:rPr>
                <w:rFonts w:ascii="Arial" w:hAnsi="Arial" w:cs="Arial"/>
                <w:color w:val="264A60"/>
                <w:sz w:val="24"/>
                <w:szCs w:val="24"/>
              </w:rPr>
              <w:t>Somatisation</w:t>
            </w:r>
          </w:p>
        </w:tc>
        <w:tc>
          <w:tcPr>
            <w:tcW w:w="1506" w:type="dxa"/>
            <w:tcBorders>
              <w:top w:val="nil"/>
              <w:left w:val="single" w:sz="8" w:space="0" w:color="E0E0E0"/>
              <w:bottom w:val="single" w:sz="8" w:space="0" w:color="152935"/>
              <w:right w:val="single" w:sz="8" w:space="0" w:color="E0E0E0"/>
            </w:tcBorders>
            <w:shd w:val="clear" w:color="auto" w:fill="FFFFFF"/>
            <w:vAlign w:val="bottom"/>
          </w:tcPr>
          <w:p w14:paraId="256B4847" w14:textId="77777777" w:rsidR="009C3C86" w:rsidRPr="00A40CA4"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A40CA4">
              <w:rPr>
                <w:rFonts w:ascii="Arial" w:hAnsi="Arial" w:cs="Arial"/>
                <w:color w:val="264A60"/>
                <w:sz w:val="24"/>
                <w:szCs w:val="24"/>
              </w:rPr>
              <w:t>Predicted Value</w:t>
            </w:r>
          </w:p>
        </w:tc>
        <w:tc>
          <w:tcPr>
            <w:tcW w:w="1076" w:type="dxa"/>
            <w:tcBorders>
              <w:top w:val="nil"/>
              <w:left w:val="single" w:sz="8" w:space="0" w:color="E0E0E0"/>
              <w:bottom w:val="single" w:sz="8" w:space="0" w:color="152935"/>
              <w:right w:val="nil"/>
            </w:tcBorders>
            <w:shd w:val="clear" w:color="auto" w:fill="FFFFFF"/>
            <w:vAlign w:val="bottom"/>
          </w:tcPr>
          <w:p w14:paraId="1FC096CC" w14:textId="77777777" w:rsidR="009C3C86" w:rsidRPr="00A40CA4"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A40CA4">
              <w:rPr>
                <w:rFonts w:ascii="Arial" w:hAnsi="Arial" w:cs="Arial"/>
                <w:color w:val="264A60"/>
                <w:sz w:val="24"/>
                <w:szCs w:val="24"/>
              </w:rPr>
              <w:t>Residual</w:t>
            </w:r>
          </w:p>
        </w:tc>
      </w:tr>
      <w:tr w:rsidR="009C3C86" w:rsidRPr="00A40CA4" w14:paraId="2353A367" w14:textId="77777777" w:rsidTr="009C3C86">
        <w:trPr>
          <w:cantSplit/>
        </w:trPr>
        <w:tc>
          <w:tcPr>
            <w:tcW w:w="1415" w:type="dxa"/>
            <w:tcBorders>
              <w:top w:val="single" w:sz="8" w:space="0" w:color="152935"/>
              <w:left w:val="nil"/>
              <w:bottom w:val="single" w:sz="8" w:space="0" w:color="152935"/>
              <w:right w:val="nil"/>
            </w:tcBorders>
            <w:shd w:val="clear" w:color="auto" w:fill="E0E0E0"/>
          </w:tcPr>
          <w:p w14:paraId="71C74CB7" w14:textId="77777777" w:rsidR="009C3C86" w:rsidRPr="00A40CA4" w:rsidRDefault="009C3C86" w:rsidP="009C3C86">
            <w:pPr>
              <w:autoSpaceDE w:val="0"/>
              <w:autoSpaceDN w:val="0"/>
              <w:adjustRightInd w:val="0"/>
              <w:spacing w:after="0" w:line="320" w:lineRule="atLeast"/>
              <w:ind w:left="60" w:right="60"/>
              <w:rPr>
                <w:rFonts w:ascii="Arial" w:hAnsi="Arial" w:cs="Arial"/>
                <w:color w:val="264A60"/>
                <w:sz w:val="24"/>
                <w:szCs w:val="24"/>
              </w:rPr>
            </w:pPr>
            <w:r w:rsidRPr="00A40CA4">
              <w:rPr>
                <w:rFonts w:ascii="Arial" w:hAnsi="Arial" w:cs="Arial"/>
                <w:color w:val="264A60"/>
                <w:sz w:val="24"/>
                <w:szCs w:val="24"/>
              </w:rPr>
              <w:t>11</w:t>
            </w:r>
          </w:p>
        </w:tc>
        <w:tc>
          <w:tcPr>
            <w:tcW w:w="1353" w:type="dxa"/>
            <w:tcBorders>
              <w:top w:val="single" w:sz="8" w:space="0" w:color="152935"/>
              <w:left w:val="nil"/>
              <w:bottom w:val="single" w:sz="8" w:space="0" w:color="152935"/>
              <w:right w:val="single" w:sz="8" w:space="0" w:color="E0E0E0"/>
            </w:tcBorders>
            <w:shd w:val="clear" w:color="auto" w:fill="F9F9FB"/>
          </w:tcPr>
          <w:p w14:paraId="05D6FF9F" w14:textId="77777777" w:rsidR="009C3C86" w:rsidRPr="00A40CA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0CA4">
              <w:rPr>
                <w:rFonts w:ascii="Arial" w:hAnsi="Arial" w:cs="Arial"/>
                <w:color w:val="010205"/>
                <w:sz w:val="24"/>
                <w:szCs w:val="24"/>
              </w:rPr>
              <w:t>-3.228</w:t>
            </w:r>
          </w:p>
        </w:tc>
        <w:tc>
          <w:tcPr>
            <w:tcW w:w="1337" w:type="dxa"/>
            <w:tcBorders>
              <w:top w:val="single" w:sz="8" w:space="0" w:color="152935"/>
              <w:left w:val="single" w:sz="8" w:space="0" w:color="E0E0E0"/>
              <w:bottom w:val="single" w:sz="8" w:space="0" w:color="152935"/>
              <w:right w:val="single" w:sz="8" w:space="0" w:color="E0E0E0"/>
            </w:tcBorders>
            <w:shd w:val="clear" w:color="auto" w:fill="F9F9FB"/>
          </w:tcPr>
          <w:p w14:paraId="2419230C" w14:textId="77777777" w:rsidR="009C3C86" w:rsidRPr="00A40CA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0CA4">
              <w:rPr>
                <w:rFonts w:ascii="Arial" w:hAnsi="Arial" w:cs="Arial"/>
                <w:color w:val="010205"/>
                <w:sz w:val="24"/>
                <w:szCs w:val="24"/>
              </w:rPr>
              <w:t>2.00</w:t>
            </w:r>
          </w:p>
        </w:tc>
        <w:tc>
          <w:tcPr>
            <w:tcW w:w="1506" w:type="dxa"/>
            <w:tcBorders>
              <w:top w:val="single" w:sz="8" w:space="0" w:color="152935"/>
              <w:left w:val="single" w:sz="8" w:space="0" w:color="E0E0E0"/>
              <w:bottom w:val="single" w:sz="8" w:space="0" w:color="152935"/>
              <w:right w:val="single" w:sz="8" w:space="0" w:color="E0E0E0"/>
            </w:tcBorders>
            <w:shd w:val="clear" w:color="auto" w:fill="F9F9FB"/>
          </w:tcPr>
          <w:p w14:paraId="7362443F" w14:textId="77777777" w:rsidR="009C3C86" w:rsidRPr="00A40CA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0CA4">
              <w:rPr>
                <w:rFonts w:ascii="Arial" w:hAnsi="Arial" w:cs="Arial"/>
                <w:color w:val="010205"/>
                <w:sz w:val="24"/>
                <w:szCs w:val="24"/>
              </w:rPr>
              <w:t>18.4676</w:t>
            </w:r>
          </w:p>
        </w:tc>
        <w:tc>
          <w:tcPr>
            <w:tcW w:w="1076" w:type="dxa"/>
            <w:tcBorders>
              <w:top w:val="single" w:sz="8" w:space="0" w:color="152935"/>
              <w:left w:val="single" w:sz="8" w:space="0" w:color="E0E0E0"/>
              <w:bottom w:val="single" w:sz="8" w:space="0" w:color="152935"/>
              <w:right w:val="nil"/>
            </w:tcBorders>
            <w:shd w:val="clear" w:color="auto" w:fill="F9F9FB"/>
          </w:tcPr>
          <w:p w14:paraId="1BE10A44" w14:textId="77777777" w:rsidR="009C3C86" w:rsidRPr="00A40CA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0CA4">
              <w:rPr>
                <w:rFonts w:ascii="Arial" w:hAnsi="Arial" w:cs="Arial"/>
                <w:color w:val="010205"/>
                <w:sz w:val="24"/>
                <w:szCs w:val="24"/>
              </w:rPr>
              <w:t>-16.46764</w:t>
            </w:r>
          </w:p>
        </w:tc>
      </w:tr>
      <w:tr w:rsidR="009C3C86" w:rsidRPr="00A40CA4" w14:paraId="3E102E5A" w14:textId="77777777" w:rsidTr="009C3C86">
        <w:trPr>
          <w:cantSplit/>
        </w:trPr>
        <w:tc>
          <w:tcPr>
            <w:tcW w:w="6687" w:type="dxa"/>
            <w:gridSpan w:val="5"/>
            <w:tcBorders>
              <w:top w:val="nil"/>
              <w:left w:val="nil"/>
              <w:bottom w:val="nil"/>
              <w:right w:val="nil"/>
            </w:tcBorders>
            <w:shd w:val="clear" w:color="auto" w:fill="FFFFFF"/>
          </w:tcPr>
          <w:p w14:paraId="5AB071F2" w14:textId="77777777" w:rsidR="009C3C86" w:rsidRPr="00A40CA4" w:rsidRDefault="009C3C86" w:rsidP="009C3C86">
            <w:pPr>
              <w:autoSpaceDE w:val="0"/>
              <w:autoSpaceDN w:val="0"/>
              <w:adjustRightInd w:val="0"/>
              <w:spacing w:after="0" w:line="320" w:lineRule="atLeast"/>
              <w:ind w:left="60" w:right="60"/>
              <w:rPr>
                <w:rFonts w:ascii="Arial" w:hAnsi="Arial" w:cs="Arial"/>
                <w:color w:val="010205"/>
                <w:sz w:val="24"/>
                <w:szCs w:val="24"/>
              </w:rPr>
            </w:pPr>
            <w:r w:rsidRPr="00A40CA4">
              <w:rPr>
                <w:rFonts w:ascii="Arial" w:hAnsi="Arial" w:cs="Arial"/>
                <w:color w:val="010205"/>
                <w:sz w:val="24"/>
                <w:szCs w:val="24"/>
              </w:rPr>
              <w:t>a. Dependent Variable: Somatisation</w:t>
            </w:r>
          </w:p>
        </w:tc>
      </w:tr>
    </w:tbl>
    <w:p w14:paraId="0DCEF995" w14:textId="77777777" w:rsidR="009C3C86" w:rsidRDefault="009C3C86" w:rsidP="009C3C86">
      <w:pPr>
        <w:autoSpaceDE w:val="0"/>
        <w:autoSpaceDN w:val="0"/>
        <w:adjustRightInd w:val="0"/>
        <w:spacing w:after="0" w:line="400" w:lineRule="atLeast"/>
        <w:rPr>
          <w:rFonts w:ascii="Times New Roman" w:hAnsi="Times New Roman" w:cs="Times New Roman"/>
          <w:sz w:val="24"/>
          <w:szCs w:val="24"/>
        </w:rPr>
      </w:pPr>
    </w:p>
    <w:p w14:paraId="58497629" w14:textId="77777777" w:rsidR="009C3C86" w:rsidRDefault="009C3C86" w:rsidP="009C3C86">
      <w:pPr>
        <w:autoSpaceDE w:val="0"/>
        <w:autoSpaceDN w:val="0"/>
        <w:adjustRightInd w:val="0"/>
        <w:spacing w:after="0" w:line="400" w:lineRule="atLeast"/>
        <w:rPr>
          <w:rFonts w:ascii="Times New Roman" w:hAnsi="Times New Roman" w:cs="Times New Roman"/>
          <w:sz w:val="24"/>
          <w:szCs w:val="24"/>
        </w:rPr>
      </w:pPr>
    </w:p>
    <w:p w14:paraId="1546E31B" w14:textId="77777777" w:rsidR="009C3C86" w:rsidRPr="00A40CA4" w:rsidRDefault="009C3C86" w:rsidP="009C3C86">
      <w:pPr>
        <w:autoSpaceDE w:val="0"/>
        <w:autoSpaceDN w:val="0"/>
        <w:adjustRightInd w:val="0"/>
        <w:spacing w:after="0" w:line="240" w:lineRule="auto"/>
        <w:rPr>
          <w:rFonts w:ascii="Times New Roman" w:hAnsi="Times New Roman" w:cs="Times New Roman"/>
          <w:sz w:val="24"/>
          <w:szCs w:val="24"/>
        </w:rPr>
      </w:pPr>
    </w:p>
    <w:p w14:paraId="5B833EFA" w14:textId="77777777" w:rsidR="009C3C86" w:rsidRPr="00A40CA4" w:rsidRDefault="009C3C86" w:rsidP="009C3C86">
      <w:pPr>
        <w:autoSpaceDE w:val="0"/>
        <w:autoSpaceDN w:val="0"/>
        <w:adjustRightInd w:val="0"/>
        <w:spacing w:after="0" w:line="400" w:lineRule="atLeast"/>
        <w:rPr>
          <w:rFonts w:ascii="Times New Roman" w:hAnsi="Times New Roman" w:cs="Times New Roman"/>
          <w:sz w:val="24"/>
          <w:szCs w:val="24"/>
        </w:rPr>
      </w:pPr>
    </w:p>
    <w:p w14:paraId="5513D130" w14:textId="77777777" w:rsidR="009C3C86" w:rsidRDefault="009C3C86" w:rsidP="009C3C86">
      <w:pPr>
        <w:autoSpaceDE w:val="0"/>
        <w:autoSpaceDN w:val="0"/>
        <w:adjustRightInd w:val="0"/>
        <w:spacing w:after="0" w:line="400" w:lineRule="atLeast"/>
        <w:rPr>
          <w:rFonts w:ascii="Times New Roman" w:hAnsi="Times New Roman" w:cs="Times New Roman"/>
          <w:sz w:val="24"/>
          <w:szCs w:val="24"/>
        </w:rPr>
      </w:pPr>
    </w:p>
    <w:p w14:paraId="744D0C81" w14:textId="77777777" w:rsidR="009C3C86" w:rsidRDefault="009C3C86" w:rsidP="009C3C86">
      <w:pPr>
        <w:autoSpaceDE w:val="0"/>
        <w:autoSpaceDN w:val="0"/>
        <w:adjustRightInd w:val="0"/>
        <w:spacing w:after="0" w:line="400" w:lineRule="atLeast"/>
        <w:rPr>
          <w:rFonts w:ascii="Times New Roman" w:hAnsi="Times New Roman" w:cs="Times New Roman"/>
          <w:sz w:val="24"/>
          <w:szCs w:val="24"/>
        </w:rPr>
      </w:pPr>
    </w:p>
    <w:p w14:paraId="4AE5AA8C" w14:textId="77777777" w:rsidR="009C3C86" w:rsidRPr="00A40CA4" w:rsidRDefault="009C3C86" w:rsidP="009C3C86">
      <w:pPr>
        <w:autoSpaceDE w:val="0"/>
        <w:autoSpaceDN w:val="0"/>
        <w:adjustRightInd w:val="0"/>
        <w:spacing w:after="0" w:line="240" w:lineRule="auto"/>
        <w:rPr>
          <w:rFonts w:ascii="Times New Roman" w:hAnsi="Times New Roman" w:cs="Times New Roman"/>
          <w:sz w:val="24"/>
          <w:szCs w:val="24"/>
        </w:rPr>
      </w:pPr>
    </w:p>
    <w:tbl>
      <w:tblPr>
        <w:tblW w:w="7597" w:type="dxa"/>
        <w:tblLayout w:type="fixed"/>
        <w:tblCellMar>
          <w:left w:w="0" w:type="dxa"/>
          <w:right w:w="0" w:type="dxa"/>
        </w:tblCellMar>
        <w:tblLook w:val="0000" w:firstRow="0" w:lastRow="0" w:firstColumn="0" w:lastColumn="0" w:noHBand="0" w:noVBand="0"/>
      </w:tblPr>
      <w:tblGrid>
        <w:gridCol w:w="1935"/>
        <w:gridCol w:w="1091"/>
        <w:gridCol w:w="1060"/>
        <w:gridCol w:w="1060"/>
        <w:gridCol w:w="1388"/>
        <w:gridCol w:w="1063"/>
      </w:tblGrid>
      <w:tr w:rsidR="009C3C86" w:rsidRPr="00A40CA4" w14:paraId="2EA723BC" w14:textId="77777777" w:rsidTr="009C3C86">
        <w:trPr>
          <w:cantSplit/>
          <w:trHeight w:val="266"/>
        </w:trPr>
        <w:tc>
          <w:tcPr>
            <w:tcW w:w="7597" w:type="dxa"/>
            <w:gridSpan w:val="6"/>
            <w:tcBorders>
              <w:top w:val="nil"/>
              <w:left w:val="nil"/>
              <w:bottom w:val="nil"/>
              <w:right w:val="nil"/>
            </w:tcBorders>
            <w:shd w:val="clear" w:color="auto" w:fill="FFFFFF"/>
            <w:vAlign w:val="center"/>
          </w:tcPr>
          <w:p w14:paraId="67CC9619" w14:textId="77777777" w:rsidR="009C3C86" w:rsidRPr="00A40CA4" w:rsidRDefault="009C3C86" w:rsidP="009C3C86">
            <w:pPr>
              <w:autoSpaceDE w:val="0"/>
              <w:autoSpaceDN w:val="0"/>
              <w:adjustRightInd w:val="0"/>
              <w:spacing w:after="0" w:line="320" w:lineRule="atLeast"/>
              <w:ind w:left="60" w:right="60"/>
              <w:jc w:val="center"/>
              <w:rPr>
                <w:rFonts w:ascii="Arial" w:hAnsi="Arial" w:cs="Arial"/>
                <w:color w:val="010205"/>
                <w:sz w:val="28"/>
                <w:szCs w:val="28"/>
              </w:rPr>
            </w:pPr>
            <w:r w:rsidRPr="00A40CA4">
              <w:rPr>
                <w:rFonts w:ascii="Arial" w:hAnsi="Arial" w:cs="Arial"/>
                <w:b/>
                <w:bCs/>
                <w:color w:val="010205"/>
                <w:sz w:val="28"/>
                <w:szCs w:val="28"/>
              </w:rPr>
              <w:t>Residuals Statistics</w:t>
            </w:r>
            <w:r w:rsidRPr="00A40CA4">
              <w:rPr>
                <w:rFonts w:ascii="Arial" w:hAnsi="Arial" w:cs="Arial"/>
                <w:b/>
                <w:bCs/>
                <w:color w:val="010205"/>
                <w:sz w:val="28"/>
                <w:szCs w:val="28"/>
                <w:vertAlign w:val="superscript"/>
              </w:rPr>
              <w:t>a</w:t>
            </w:r>
          </w:p>
        </w:tc>
      </w:tr>
      <w:tr w:rsidR="009C3C86" w:rsidRPr="00A40CA4" w14:paraId="7FBD3865" w14:textId="77777777" w:rsidTr="009C3C86">
        <w:trPr>
          <w:cantSplit/>
          <w:trHeight w:val="533"/>
        </w:trPr>
        <w:tc>
          <w:tcPr>
            <w:tcW w:w="1935" w:type="dxa"/>
            <w:tcBorders>
              <w:top w:val="nil"/>
              <w:left w:val="nil"/>
              <w:bottom w:val="single" w:sz="8" w:space="0" w:color="152935"/>
              <w:right w:val="nil"/>
            </w:tcBorders>
            <w:shd w:val="clear" w:color="auto" w:fill="FFFFFF"/>
            <w:vAlign w:val="bottom"/>
          </w:tcPr>
          <w:p w14:paraId="5D12B74A" w14:textId="77777777" w:rsidR="009C3C86" w:rsidRPr="00A40CA4" w:rsidRDefault="009C3C86" w:rsidP="009C3C86">
            <w:pPr>
              <w:autoSpaceDE w:val="0"/>
              <w:autoSpaceDN w:val="0"/>
              <w:adjustRightInd w:val="0"/>
              <w:spacing w:after="0" w:line="240" w:lineRule="auto"/>
              <w:rPr>
                <w:rFonts w:ascii="Times New Roman" w:hAnsi="Times New Roman" w:cs="Times New Roman"/>
                <w:sz w:val="24"/>
                <w:szCs w:val="24"/>
              </w:rPr>
            </w:pPr>
          </w:p>
        </w:tc>
        <w:tc>
          <w:tcPr>
            <w:tcW w:w="1091" w:type="dxa"/>
            <w:tcBorders>
              <w:top w:val="nil"/>
              <w:left w:val="nil"/>
              <w:bottom w:val="single" w:sz="8" w:space="0" w:color="152935"/>
              <w:right w:val="single" w:sz="8" w:space="0" w:color="E0E0E0"/>
            </w:tcBorders>
            <w:shd w:val="clear" w:color="auto" w:fill="FFFFFF"/>
            <w:vAlign w:val="bottom"/>
          </w:tcPr>
          <w:p w14:paraId="320E837A" w14:textId="77777777" w:rsidR="009C3C86" w:rsidRPr="00A40CA4"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A40CA4">
              <w:rPr>
                <w:rFonts w:ascii="Arial" w:hAnsi="Arial" w:cs="Arial"/>
                <w:color w:val="264A60"/>
                <w:sz w:val="24"/>
                <w:szCs w:val="24"/>
              </w:rPr>
              <w:t>Minimum</w:t>
            </w:r>
          </w:p>
        </w:tc>
        <w:tc>
          <w:tcPr>
            <w:tcW w:w="1060" w:type="dxa"/>
            <w:tcBorders>
              <w:top w:val="nil"/>
              <w:left w:val="single" w:sz="8" w:space="0" w:color="E0E0E0"/>
              <w:bottom w:val="single" w:sz="8" w:space="0" w:color="152935"/>
              <w:right w:val="single" w:sz="8" w:space="0" w:color="E0E0E0"/>
            </w:tcBorders>
            <w:shd w:val="clear" w:color="auto" w:fill="FFFFFF"/>
            <w:vAlign w:val="bottom"/>
          </w:tcPr>
          <w:p w14:paraId="71D6A0E1" w14:textId="77777777" w:rsidR="009C3C86" w:rsidRPr="00A40CA4"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A40CA4">
              <w:rPr>
                <w:rFonts w:ascii="Arial" w:hAnsi="Arial" w:cs="Arial"/>
                <w:color w:val="264A60"/>
                <w:sz w:val="24"/>
                <w:szCs w:val="24"/>
              </w:rPr>
              <w:t>Maximum</w:t>
            </w:r>
          </w:p>
        </w:tc>
        <w:tc>
          <w:tcPr>
            <w:tcW w:w="1060" w:type="dxa"/>
            <w:tcBorders>
              <w:top w:val="nil"/>
              <w:left w:val="single" w:sz="8" w:space="0" w:color="E0E0E0"/>
              <w:bottom w:val="single" w:sz="8" w:space="0" w:color="152935"/>
              <w:right w:val="single" w:sz="8" w:space="0" w:color="E0E0E0"/>
            </w:tcBorders>
            <w:shd w:val="clear" w:color="auto" w:fill="FFFFFF"/>
            <w:vAlign w:val="bottom"/>
          </w:tcPr>
          <w:p w14:paraId="51E6D578" w14:textId="77777777" w:rsidR="009C3C86" w:rsidRPr="00A40CA4"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A40CA4">
              <w:rPr>
                <w:rFonts w:ascii="Arial" w:hAnsi="Arial" w:cs="Arial"/>
                <w:color w:val="264A60"/>
                <w:sz w:val="24"/>
                <w:szCs w:val="24"/>
              </w:rPr>
              <w:t>Mean</w:t>
            </w:r>
          </w:p>
        </w:tc>
        <w:tc>
          <w:tcPr>
            <w:tcW w:w="1388" w:type="dxa"/>
            <w:tcBorders>
              <w:top w:val="nil"/>
              <w:left w:val="single" w:sz="8" w:space="0" w:color="E0E0E0"/>
              <w:bottom w:val="single" w:sz="8" w:space="0" w:color="152935"/>
              <w:right w:val="single" w:sz="8" w:space="0" w:color="E0E0E0"/>
            </w:tcBorders>
            <w:shd w:val="clear" w:color="auto" w:fill="FFFFFF"/>
            <w:vAlign w:val="bottom"/>
          </w:tcPr>
          <w:p w14:paraId="1F982EA4" w14:textId="77777777" w:rsidR="009C3C86" w:rsidRPr="00A40CA4"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A40CA4">
              <w:rPr>
                <w:rFonts w:ascii="Arial" w:hAnsi="Arial" w:cs="Arial"/>
                <w:color w:val="264A60"/>
                <w:sz w:val="24"/>
                <w:szCs w:val="24"/>
              </w:rPr>
              <w:t>Std. Deviation</w:t>
            </w:r>
          </w:p>
        </w:tc>
        <w:tc>
          <w:tcPr>
            <w:tcW w:w="1060" w:type="dxa"/>
            <w:tcBorders>
              <w:top w:val="nil"/>
              <w:left w:val="single" w:sz="8" w:space="0" w:color="E0E0E0"/>
              <w:bottom w:val="single" w:sz="8" w:space="0" w:color="152935"/>
              <w:right w:val="nil"/>
            </w:tcBorders>
            <w:shd w:val="clear" w:color="auto" w:fill="FFFFFF"/>
            <w:vAlign w:val="bottom"/>
          </w:tcPr>
          <w:p w14:paraId="2C421F73" w14:textId="77777777" w:rsidR="009C3C86" w:rsidRPr="00A40CA4"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A40CA4">
              <w:rPr>
                <w:rFonts w:ascii="Arial" w:hAnsi="Arial" w:cs="Arial"/>
                <w:color w:val="264A60"/>
                <w:sz w:val="24"/>
                <w:szCs w:val="24"/>
              </w:rPr>
              <w:t>N</w:t>
            </w:r>
          </w:p>
        </w:tc>
      </w:tr>
      <w:tr w:rsidR="009C3C86" w:rsidRPr="00A40CA4" w14:paraId="4B7CBF6F" w14:textId="77777777" w:rsidTr="009C3C86">
        <w:trPr>
          <w:cantSplit/>
          <w:trHeight w:val="266"/>
        </w:trPr>
        <w:tc>
          <w:tcPr>
            <w:tcW w:w="1935" w:type="dxa"/>
            <w:tcBorders>
              <w:top w:val="single" w:sz="8" w:space="0" w:color="152935"/>
              <w:left w:val="nil"/>
              <w:bottom w:val="single" w:sz="8" w:space="0" w:color="AEAEAE"/>
              <w:right w:val="nil"/>
            </w:tcBorders>
            <w:shd w:val="clear" w:color="auto" w:fill="E0E0E0"/>
          </w:tcPr>
          <w:p w14:paraId="19296EAF" w14:textId="77777777" w:rsidR="009C3C86" w:rsidRPr="00A40CA4" w:rsidRDefault="009C3C86" w:rsidP="009C3C86">
            <w:pPr>
              <w:autoSpaceDE w:val="0"/>
              <w:autoSpaceDN w:val="0"/>
              <w:adjustRightInd w:val="0"/>
              <w:spacing w:after="0" w:line="320" w:lineRule="atLeast"/>
              <w:ind w:left="60" w:right="60"/>
              <w:rPr>
                <w:rFonts w:ascii="Arial" w:hAnsi="Arial" w:cs="Arial"/>
                <w:color w:val="264A60"/>
                <w:sz w:val="24"/>
                <w:szCs w:val="24"/>
              </w:rPr>
            </w:pPr>
            <w:r w:rsidRPr="00A40CA4">
              <w:rPr>
                <w:rFonts w:ascii="Arial" w:hAnsi="Arial" w:cs="Arial"/>
                <w:color w:val="264A60"/>
                <w:sz w:val="24"/>
                <w:szCs w:val="24"/>
              </w:rPr>
              <w:t>Predicted Value</w:t>
            </w:r>
          </w:p>
        </w:tc>
        <w:tc>
          <w:tcPr>
            <w:tcW w:w="1091" w:type="dxa"/>
            <w:tcBorders>
              <w:top w:val="single" w:sz="8" w:space="0" w:color="152935"/>
              <w:left w:val="nil"/>
              <w:bottom w:val="single" w:sz="8" w:space="0" w:color="AEAEAE"/>
              <w:right w:val="single" w:sz="8" w:space="0" w:color="E0E0E0"/>
            </w:tcBorders>
            <w:shd w:val="clear" w:color="auto" w:fill="F9F9FB"/>
          </w:tcPr>
          <w:p w14:paraId="6587E9F1" w14:textId="77777777" w:rsidR="009C3C86" w:rsidRPr="00A40CA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0CA4">
              <w:rPr>
                <w:rFonts w:ascii="Arial" w:hAnsi="Arial" w:cs="Arial"/>
                <w:color w:val="010205"/>
                <w:sz w:val="24"/>
                <w:szCs w:val="24"/>
              </w:rPr>
              <w:t>3.2666</w:t>
            </w:r>
          </w:p>
        </w:tc>
        <w:tc>
          <w:tcPr>
            <w:tcW w:w="1060" w:type="dxa"/>
            <w:tcBorders>
              <w:top w:val="single" w:sz="8" w:space="0" w:color="152935"/>
              <w:left w:val="single" w:sz="8" w:space="0" w:color="E0E0E0"/>
              <w:bottom w:val="single" w:sz="8" w:space="0" w:color="AEAEAE"/>
              <w:right w:val="single" w:sz="8" w:space="0" w:color="E0E0E0"/>
            </w:tcBorders>
            <w:shd w:val="clear" w:color="auto" w:fill="F9F9FB"/>
          </w:tcPr>
          <w:p w14:paraId="2A26AF80" w14:textId="77777777" w:rsidR="009C3C86" w:rsidRPr="00A40CA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0CA4">
              <w:rPr>
                <w:rFonts w:ascii="Arial" w:hAnsi="Arial" w:cs="Arial"/>
                <w:color w:val="010205"/>
                <w:sz w:val="24"/>
                <w:szCs w:val="24"/>
              </w:rPr>
              <w:t>19.1730</w:t>
            </w:r>
          </w:p>
        </w:tc>
        <w:tc>
          <w:tcPr>
            <w:tcW w:w="1060" w:type="dxa"/>
            <w:tcBorders>
              <w:top w:val="single" w:sz="8" w:space="0" w:color="152935"/>
              <w:left w:val="single" w:sz="8" w:space="0" w:color="E0E0E0"/>
              <w:bottom w:val="single" w:sz="8" w:space="0" w:color="AEAEAE"/>
              <w:right w:val="single" w:sz="8" w:space="0" w:color="E0E0E0"/>
            </w:tcBorders>
            <w:shd w:val="clear" w:color="auto" w:fill="F9F9FB"/>
          </w:tcPr>
          <w:p w14:paraId="29277906" w14:textId="77777777" w:rsidR="009C3C86" w:rsidRPr="00A40CA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0CA4">
              <w:rPr>
                <w:rFonts w:ascii="Arial" w:hAnsi="Arial" w:cs="Arial"/>
                <w:color w:val="010205"/>
                <w:sz w:val="24"/>
                <w:szCs w:val="24"/>
              </w:rPr>
              <w:t>11.6667</w:t>
            </w:r>
          </w:p>
        </w:tc>
        <w:tc>
          <w:tcPr>
            <w:tcW w:w="1388" w:type="dxa"/>
            <w:tcBorders>
              <w:top w:val="single" w:sz="8" w:space="0" w:color="152935"/>
              <w:left w:val="single" w:sz="8" w:space="0" w:color="E0E0E0"/>
              <w:bottom w:val="single" w:sz="8" w:space="0" w:color="AEAEAE"/>
              <w:right w:val="single" w:sz="8" w:space="0" w:color="E0E0E0"/>
            </w:tcBorders>
            <w:shd w:val="clear" w:color="auto" w:fill="F9F9FB"/>
          </w:tcPr>
          <w:p w14:paraId="6A5AA582" w14:textId="77777777" w:rsidR="009C3C86" w:rsidRPr="00A40CA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0CA4">
              <w:rPr>
                <w:rFonts w:ascii="Arial" w:hAnsi="Arial" w:cs="Arial"/>
                <w:color w:val="010205"/>
                <w:sz w:val="24"/>
                <w:szCs w:val="24"/>
              </w:rPr>
              <w:t>4.21874</w:t>
            </w:r>
          </w:p>
        </w:tc>
        <w:tc>
          <w:tcPr>
            <w:tcW w:w="1060" w:type="dxa"/>
            <w:tcBorders>
              <w:top w:val="single" w:sz="8" w:space="0" w:color="152935"/>
              <w:left w:val="single" w:sz="8" w:space="0" w:color="E0E0E0"/>
              <w:bottom w:val="single" w:sz="8" w:space="0" w:color="AEAEAE"/>
              <w:right w:val="nil"/>
            </w:tcBorders>
            <w:shd w:val="clear" w:color="auto" w:fill="F9F9FB"/>
          </w:tcPr>
          <w:p w14:paraId="328C4D43" w14:textId="77777777" w:rsidR="009C3C86" w:rsidRPr="00A40CA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0CA4">
              <w:rPr>
                <w:rFonts w:ascii="Arial" w:hAnsi="Arial" w:cs="Arial"/>
                <w:color w:val="010205"/>
                <w:sz w:val="24"/>
                <w:szCs w:val="24"/>
              </w:rPr>
              <w:t>90</w:t>
            </w:r>
          </w:p>
        </w:tc>
      </w:tr>
      <w:tr w:rsidR="009C3C86" w:rsidRPr="00A40CA4" w14:paraId="212059B6" w14:textId="77777777" w:rsidTr="009C3C86">
        <w:trPr>
          <w:cantSplit/>
          <w:trHeight w:val="792"/>
        </w:trPr>
        <w:tc>
          <w:tcPr>
            <w:tcW w:w="1935" w:type="dxa"/>
            <w:tcBorders>
              <w:top w:val="single" w:sz="8" w:space="0" w:color="AEAEAE"/>
              <w:left w:val="nil"/>
              <w:bottom w:val="single" w:sz="8" w:space="0" w:color="AEAEAE"/>
              <w:right w:val="nil"/>
            </w:tcBorders>
            <w:shd w:val="clear" w:color="auto" w:fill="E0E0E0"/>
          </w:tcPr>
          <w:p w14:paraId="0BC8D2BB" w14:textId="77777777" w:rsidR="009C3C86" w:rsidRPr="00A40CA4" w:rsidRDefault="009C3C86" w:rsidP="009C3C86">
            <w:pPr>
              <w:autoSpaceDE w:val="0"/>
              <w:autoSpaceDN w:val="0"/>
              <w:adjustRightInd w:val="0"/>
              <w:spacing w:after="0" w:line="320" w:lineRule="atLeast"/>
              <w:ind w:left="60" w:right="60"/>
              <w:rPr>
                <w:rFonts w:ascii="Arial" w:hAnsi="Arial" w:cs="Arial"/>
                <w:color w:val="264A60"/>
                <w:sz w:val="24"/>
                <w:szCs w:val="24"/>
              </w:rPr>
            </w:pPr>
            <w:r w:rsidRPr="00A40CA4">
              <w:rPr>
                <w:rFonts w:ascii="Arial" w:hAnsi="Arial" w:cs="Arial"/>
                <w:color w:val="264A60"/>
                <w:sz w:val="24"/>
                <w:szCs w:val="24"/>
              </w:rPr>
              <w:t>Residual</w:t>
            </w:r>
          </w:p>
        </w:tc>
        <w:tc>
          <w:tcPr>
            <w:tcW w:w="1091" w:type="dxa"/>
            <w:tcBorders>
              <w:top w:val="single" w:sz="8" w:space="0" w:color="AEAEAE"/>
              <w:left w:val="nil"/>
              <w:bottom w:val="single" w:sz="8" w:space="0" w:color="AEAEAE"/>
              <w:right w:val="single" w:sz="8" w:space="0" w:color="E0E0E0"/>
            </w:tcBorders>
            <w:shd w:val="clear" w:color="auto" w:fill="F9F9FB"/>
          </w:tcPr>
          <w:p w14:paraId="3248F566" w14:textId="77777777" w:rsidR="009C3C86" w:rsidRPr="00A40CA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0CA4">
              <w:rPr>
                <w:rFonts w:ascii="Arial" w:hAnsi="Arial" w:cs="Arial"/>
                <w:color w:val="010205"/>
                <w:sz w:val="24"/>
                <w:szCs w:val="24"/>
              </w:rPr>
              <w:t>-16.46764</w:t>
            </w:r>
          </w:p>
        </w:tc>
        <w:tc>
          <w:tcPr>
            <w:tcW w:w="1060" w:type="dxa"/>
            <w:tcBorders>
              <w:top w:val="single" w:sz="8" w:space="0" w:color="AEAEAE"/>
              <w:left w:val="single" w:sz="8" w:space="0" w:color="E0E0E0"/>
              <w:bottom w:val="single" w:sz="8" w:space="0" w:color="AEAEAE"/>
              <w:right w:val="single" w:sz="8" w:space="0" w:color="E0E0E0"/>
            </w:tcBorders>
            <w:shd w:val="clear" w:color="auto" w:fill="F9F9FB"/>
          </w:tcPr>
          <w:p w14:paraId="33FB1D00" w14:textId="77777777" w:rsidR="009C3C86" w:rsidRPr="00A40CA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0CA4">
              <w:rPr>
                <w:rFonts w:ascii="Arial" w:hAnsi="Arial" w:cs="Arial"/>
                <w:color w:val="010205"/>
                <w:sz w:val="24"/>
                <w:szCs w:val="24"/>
              </w:rPr>
              <w:t>11.14208</w:t>
            </w:r>
          </w:p>
        </w:tc>
        <w:tc>
          <w:tcPr>
            <w:tcW w:w="1060" w:type="dxa"/>
            <w:tcBorders>
              <w:top w:val="single" w:sz="8" w:space="0" w:color="AEAEAE"/>
              <w:left w:val="single" w:sz="8" w:space="0" w:color="E0E0E0"/>
              <w:bottom w:val="single" w:sz="8" w:space="0" w:color="AEAEAE"/>
              <w:right w:val="single" w:sz="8" w:space="0" w:color="E0E0E0"/>
            </w:tcBorders>
            <w:shd w:val="clear" w:color="auto" w:fill="F9F9FB"/>
          </w:tcPr>
          <w:p w14:paraId="439465C3" w14:textId="77777777" w:rsidR="009C3C86" w:rsidRPr="00A40CA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0CA4">
              <w:rPr>
                <w:rFonts w:ascii="Arial" w:hAnsi="Arial" w:cs="Arial"/>
                <w:color w:val="010205"/>
                <w:sz w:val="24"/>
                <w:szCs w:val="24"/>
              </w:rPr>
              <w:t>.00000</w:t>
            </w:r>
          </w:p>
        </w:tc>
        <w:tc>
          <w:tcPr>
            <w:tcW w:w="1388" w:type="dxa"/>
            <w:tcBorders>
              <w:top w:val="single" w:sz="8" w:space="0" w:color="AEAEAE"/>
              <w:left w:val="single" w:sz="8" w:space="0" w:color="E0E0E0"/>
              <w:bottom w:val="single" w:sz="8" w:space="0" w:color="AEAEAE"/>
              <w:right w:val="single" w:sz="8" w:space="0" w:color="E0E0E0"/>
            </w:tcBorders>
            <w:shd w:val="clear" w:color="auto" w:fill="F9F9FB"/>
          </w:tcPr>
          <w:p w14:paraId="2F10BEBC" w14:textId="77777777" w:rsidR="009C3C86" w:rsidRPr="00A40CA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0CA4">
              <w:rPr>
                <w:rFonts w:ascii="Arial" w:hAnsi="Arial" w:cs="Arial"/>
                <w:color w:val="010205"/>
                <w:sz w:val="24"/>
                <w:szCs w:val="24"/>
              </w:rPr>
              <w:t>4.95599</w:t>
            </w:r>
          </w:p>
        </w:tc>
        <w:tc>
          <w:tcPr>
            <w:tcW w:w="1060" w:type="dxa"/>
            <w:tcBorders>
              <w:top w:val="single" w:sz="8" w:space="0" w:color="AEAEAE"/>
              <w:left w:val="single" w:sz="8" w:space="0" w:color="E0E0E0"/>
              <w:bottom w:val="single" w:sz="8" w:space="0" w:color="AEAEAE"/>
              <w:right w:val="nil"/>
            </w:tcBorders>
            <w:shd w:val="clear" w:color="auto" w:fill="F9F9FB"/>
          </w:tcPr>
          <w:p w14:paraId="3072046B" w14:textId="77777777" w:rsidR="009C3C86" w:rsidRPr="00A40CA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0CA4">
              <w:rPr>
                <w:rFonts w:ascii="Arial" w:hAnsi="Arial" w:cs="Arial"/>
                <w:color w:val="010205"/>
                <w:sz w:val="24"/>
                <w:szCs w:val="24"/>
              </w:rPr>
              <w:t>90</w:t>
            </w:r>
          </w:p>
        </w:tc>
      </w:tr>
      <w:tr w:rsidR="009C3C86" w:rsidRPr="00A40CA4" w14:paraId="4E703080" w14:textId="77777777" w:rsidTr="009C3C86">
        <w:trPr>
          <w:cantSplit/>
          <w:trHeight w:val="533"/>
        </w:trPr>
        <w:tc>
          <w:tcPr>
            <w:tcW w:w="1935" w:type="dxa"/>
            <w:tcBorders>
              <w:top w:val="single" w:sz="8" w:space="0" w:color="AEAEAE"/>
              <w:left w:val="nil"/>
              <w:bottom w:val="single" w:sz="8" w:space="0" w:color="AEAEAE"/>
              <w:right w:val="nil"/>
            </w:tcBorders>
            <w:shd w:val="clear" w:color="auto" w:fill="E0E0E0"/>
          </w:tcPr>
          <w:p w14:paraId="711E509D" w14:textId="77777777" w:rsidR="009C3C86" w:rsidRPr="00A40CA4" w:rsidRDefault="009C3C86" w:rsidP="009C3C86">
            <w:pPr>
              <w:autoSpaceDE w:val="0"/>
              <w:autoSpaceDN w:val="0"/>
              <w:adjustRightInd w:val="0"/>
              <w:spacing w:after="0" w:line="320" w:lineRule="atLeast"/>
              <w:ind w:left="60" w:right="60"/>
              <w:rPr>
                <w:rFonts w:ascii="Arial" w:hAnsi="Arial" w:cs="Arial"/>
                <w:color w:val="264A60"/>
                <w:sz w:val="24"/>
                <w:szCs w:val="24"/>
              </w:rPr>
            </w:pPr>
            <w:r w:rsidRPr="00A40CA4">
              <w:rPr>
                <w:rFonts w:ascii="Arial" w:hAnsi="Arial" w:cs="Arial"/>
                <w:color w:val="264A60"/>
                <w:sz w:val="24"/>
                <w:szCs w:val="24"/>
              </w:rPr>
              <w:t>Std. Predicted Value</w:t>
            </w:r>
          </w:p>
        </w:tc>
        <w:tc>
          <w:tcPr>
            <w:tcW w:w="1091" w:type="dxa"/>
            <w:tcBorders>
              <w:top w:val="single" w:sz="8" w:space="0" w:color="AEAEAE"/>
              <w:left w:val="nil"/>
              <w:bottom w:val="single" w:sz="8" w:space="0" w:color="AEAEAE"/>
              <w:right w:val="single" w:sz="8" w:space="0" w:color="E0E0E0"/>
            </w:tcBorders>
            <w:shd w:val="clear" w:color="auto" w:fill="F9F9FB"/>
          </w:tcPr>
          <w:p w14:paraId="33078B66" w14:textId="77777777" w:rsidR="009C3C86" w:rsidRPr="00A40CA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0CA4">
              <w:rPr>
                <w:rFonts w:ascii="Arial" w:hAnsi="Arial" w:cs="Arial"/>
                <w:color w:val="010205"/>
                <w:sz w:val="24"/>
                <w:szCs w:val="24"/>
              </w:rPr>
              <w:t>-1.991</w:t>
            </w:r>
          </w:p>
        </w:tc>
        <w:tc>
          <w:tcPr>
            <w:tcW w:w="1060" w:type="dxa"/>
            <w:tcBorders>
              <w:top w:val="single" w:sz="8" w:space="0" w:color="AEAEAE"/>
              <w:left w:val="single" w:sz="8" w:space="0" w:color="E0E0E0"/>
              <w:bottom w:val="single" w:sz="8" w:space="0" w:color="AEAEAE"/>
              <w:right w:val="single" w:sz="8" w:space="0" w:color="E0E0E0"/>
            </w:tcBorders>
            <w:shd w:val="clear" w:color="auto" w:fill="F9F9FB"/>
          </w:tcPr>
          <w:p w14:paraId="437BA557" w14:textId="77777777" w:rsidR="009C3C86" w:rsidRPr="00A40CA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0CA4">
              <w:rPr>
                <w:rFonts w:ascii="Arial" w:hAnsi="Arial" w:cs="Arial"/>
                <w:color w:val="010205"/>
                <w:sz w:val="24"/>
                <w:szCs w:val="24"/>
              </w:rPr>
              <w:t>1.779</w:t>
            </w:r>
          </w:p>
        </w:tc>
        <w:tc>
          <w:tcPr>
            <w:tcW w:w="1060" w:type="dxa"/>
            <w:tcBorders>
              <w:top w:val="single" w:sz="8" w:space="0" w:color="AEAEAE"/>
              <w:left w:val="single" w:sz="8" w:space="0" w:color="E0E0E0"/>
              <w:bottom w:val="single" w:sz="8" w:space="0" w:color="AEAEAE"/>
              <w:right w:val="single" w:sz="8" w:space="0" w:color="E0E0E0"/>
            </w:tcBorders>
            <w:shd w:val="clear" w:color="auto" w:fill="F9F9FB"/>
          </w:tcPr>
          <w:p w14:paraId="7982D9E9" w14:textId="77777777" w:rsidR="009C3C86" w:rsidRPr="00A40CA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0CA4">
              <w:rPr>
                <w:rFonts w:ascii="Arial" w:hAnsi="Arial" w:cs="Arial"/>
                <w:color w:val="010205"/>
                <w:sz w:val="24"/>
                <w:szCs w:val="24"/>
              </w:rPr>
              <w:t>.000</w:t>
            </w:r>
          </w:p>
        </w:tc>
        <w:tc>
          <w:tcPr>
            <w:tcW w:w="1388" w:type="dxa"/>
            <w:tcBorders>
              <w:top w:val="single" w:sz="8" w:space="0" w:color="AEAEAE"/>
              <w:left w:val="single" w:sz="8" w:space="0" w:color="E0E0E0"/>
              <w:bottom w:val="single" w:sz="8" w:space="0" w:color="AEAEAE"/>
              <w:right w:val="single" w:sz="8" w:space="0" w:color="E0E0E0"/>
            </w:tcBorders>
            <w:shd w:val="clear" w:color="auto" w:fill="F9F9FB"/>
          </w:tcPr>
          <w:p w14:paraId="2BEEC1A6" w14:textId="77777777" w:rsidR="009C3C86" w:rsidRPr="00A40CA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0CA4">
              <w:rPr>
                <w:rFonts w:ascii="Arial" w:hAnsi="Arial" w:cs="Arial"/>
                <w:color w:val="010205"/>
                <w:sz w:val="24"/>
                <w:szCs w:val="24"/>
              </w:rPr>
              <w:t>1.000</w:t>
            </w:r>
          </w:p>
        </w:tc>
        <w:tc>
          <w:tcPr>
            <w:tcW w:w="1060" w:type="dxa"/>
            <w:tcBorders>
              <w:top w:val="single" w:sz="8" w:space="0" w:color="AEAEAE"/>
              <w:left w:val="single" w:sz="8" w:space="0" w:color="E0E0E0"/>
              <w:bottom w:val="single" w:sz="8" w:space="0" w:color="AEAEAE"/>
              <w:right w:val="nil"/>
            </w:tcBorders>
            <w:shd w:val="clear" w:color="auto" w:fill="F9F9FB"/>
          </w:tcPr>
          <w:p w14:paraId="0187B67B" w14:textId="77777777" w:rsidR="009C3C86" w:rsidRPr="00A40CA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0CA4">
              <w:rPr>
                <w:rFonts w:ascii="Arial" w:hAnsi="Arial" w:cs="Arial"/>
                <w:color w:val="010205"/>
                <w:sz w:val="24"/>
                <w:szCs w:val="24"/>
              </w:rPr>
              <w:t>90</w:t>
            </w:r>
          </w:p>
        </w:tc>
      </w:tr>
      <w:tr w:rsidR="009C3C86" w:rsidRPr="00A40CA4" w14:paraId="0FC3E787" w14:textId="77777777" w:rsidTr="009C3C86">
        <w:trPr>
          <w:cantSplit/>
          <w:trHeight w:val="257"/>
        </w:trPr>
        <w:tc>
          <w:tcPr>
            <w:tcW w:w="1935" w:type="dxa"/>
            <w:tcBorders>
              <w:top w:val="single" w:sz="8" w:space="0" w:color="AEAEAE"/>
              <w:left w:val="nil"/>
              <w:bottom w:val="single" w:sz="8" w:space="0" w:color="152935"/>
              <w:right w:val="nil"/>
            </w:tcBorders>
            <w:shd w:val="clear" w:color="auto" w:fill="E0E0E0"/>
          </w:tcPr>
          <w:p w14:paraId="41017199" w14:textId="77777777" w:rsidR="009C3C86" w:rsidRPr="00A40CA4" w:rsidRDefault="009C3C86" w:rsidP="009C3C86">
            <w:pPr>
              <w:autoSpaceDE w:val="0"/>
              <w:autoSpaceDN w:val="0"/>
              <w:adjustRightInd w:val="0"/>
              <w:spacing w:after="0" w:line="320" w:lineRule="atLeast"/>
              <w:ind w:left="60" w:right="60"/>
              <w:rPr>
                <w:rFonts w:ascii="Arial" w:hAnsi="Arial" w:cs="Arial"/>
                <w:color w:val="264A60"/>
                <w:sz w:val="24"/>
                <w:szCs w:val="24"/>
              </w:rPr>
            </w:pPr>
            <w:r w:rsidRPr="00A40CA4">
              <w:rPr>
                <w:rFonts w:ascii="Arial" w:hAnsi="Arial" w:cs="Arial"/>
                <w:color w:val="264A60"/>
                <w:sz w:val="24"/>
                <w:szCs w:val="24"/>
              </w:rPr>
              <w:t>Std. Residual</w:t>
            </w:r>
          </w:p>
        </w:tc>
        <w:tc>
          <w:tcPr>
            <w:tcW w:w="1091" w:type="dxa"/>
            <w:tcBorders>
              <w:top w:val="single" w:sz="8" w:space="0" w:color="AEAEAE"/>
              <w:left w:val="nil"/>
              <w:bottom w:val="single" w:sz="8" w:space="0" w:color="152935"/>
              <w:right w:val="single" w:sz="8" w:space="0" w:color="E0E0E0"/>
            </w:tcBorders>
            <w:shd w:val="clear" w:color="auto" w:fill="F9F9FB"/>
          </w:tcPr>
          <w:p w14:paraId="6F6FCA61" w14:textId="77777777" w:rsidR="009C3C86" w:rsidRPr="00A40CA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0CA4">
              <w:rPr>
                <w:rFonts w:ascii="Arial" w:hAnsi="Arial" w:cs="Arial"/>
                <w:color w:val="010205"/>
                <w:sz w:val="24"/>
                <w:szCs w:val="24"/>
              </w:rPr>
              <w:t>-3.228</w:t>
            </w:r>
          </w:p>
        </w:tc>
        <w:tc>
          <w:tcPr>
            <w:tcW w:w="1060" w:type="dxa"/>
            <w:tcBorders>
              <w:top w:val="single" w:sz="8" w:space="0" w:color="AEAEAE"/>
              <w:left w:val="single" w:sz="8" w:space="0" w:color="E0E0E0"/>
              <w:bottom w:val="single" w:sz="8" w:space="0" w:color="152935"/>
              <w:right w:val="single" w:sz="8" w:space="0" w:color="E0E0E0"/>
            </w:tcBorders>
            <w:shd w:val="clear" w:color="auto" w:fill="F9F9FB"/>
          </w:tcPr>
          <w:p w14:paraId="2EB3D63D" w14:textId="77777777" w:rsidR="009C3C86" w:rsidRPr="00A40CA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0CA4">
              <w:rPr>
                <w:rFonts w:ascii="Arial" w:hAnsi="Arial" w:cs="Arial"/>
                <w:color w:val="010205"/>
                <w:sz w:val="24"/>
                <w:szCs w:val="24"/>
              </w:rPr>
              <w:t>2.184</w:t>
            </w:r>
          </w:p>
        </w:tc>
        <w:tc>
          <w:tcPr>
            <w:tcW w:w="1060" w:type="dxa"/>
            <w:tcBorders>
              <w:top w:val="single" w:sz="8" w:space="0" w:color="AEAEAE"/>
              <w:left w:val="single" w:sz="8" w:space="0" w:color="E0E0E0"/>
              <w:bottom w:val="single" w:sz="8" w:space="0" w:color="152935"/>
              <w:right w:val="single" w:sz="8" w:space="0" w:color="E0E0E0"/>
            </w:tcBorders>
            <w:shd w:val="clear" w:color="auto" w:fill="F9F9FB"/>
          </w:tcPr>
          <w:p w14:paraId="442EA452" w14:textId="77777777" w:rsidR="009C3C86" w:rsidRPr="00A40CA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0CA4">
              <w:rPr>
                <w:rFonts w:ascii="Arial" w:hAnsi="Arial" w:cs="Arial"/>
                <w:color w:val="010205"/>
                <w:sz w:val="24"/>
                <w:szCs w:val="24"/>
              </w:rPr>
              <w:t>.000</w:t>
            </w:r>
          </w:p>
        </w:tc>
        <w:tc>
          <w:tcPr>
            <w:tcW w:w="1388" w:type="dxa"/>
            <w:tcBorders>
              <w:top w:val="single" w:sz="8" w:space="0" w:color="AEAEAE"/>
              <w:left w:val="single" w:sz="8" w:space="0" w:color="E0E0E0"/>
              <w:bottom w:val="single" w:sz="8" w:space="0" w:color="152935"/>
              <w:right w:val="single" w:sz="8" w:space="0" w:color="E0E0E0"/>
            </w:tcBorders>
            <w:shd w:val="clear" w:color="auto" w:fill="F9F9FB"/>
          </w:tcPr>
          <w:p w14:paraId="4C62C68A" w14:textId="77777777" w:rsidR="009C3C86" w:rsidRPr="00A40CA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0CA4">
              <w:rPr>
                <w:rFonts w:ascii="Arial" w:hAnsi="Arial" w:cs="Arial"/>
                <w:color w:val="010205"/>
                <w:sz w:val="24"/>
                <w:szCs w:val="24"/>
              </w:rPr>
              <w:t>.972</w:t>
            </w:r>
          </w:p>
        </w:tc>
        <w:tc>
          <w:tcPr>
            <w:tcW w:w="1060" w:type="dxa"/>
            <w:tcBorders>
              <w:top w:val="single" w:sz="8" w:space="0" w:color="AEAEAE"/>
              <w:left w:val="single" w:sz="8" w:space="0" w:color="E0E0E0"/>
              <w:bottom w:val="single" w:sz="8" w:space="0" w:color="152935"/>
              <w:right w:val="nil"/>
            </w:tcBorders>
            <w:shd w:val="clear" w:color="auto" w:fill="F9F9FB"/>
          </w:tcPr>
          <w:p w14:paraId="0467736E" w14:textId="77777777" w:rsidR="009C3C86" w:rsidRPr="00A40CA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A40CA4">
              <w:rPr>
                <w:rFonts w:ascii="Arial" w:hAnsi="Arial" w:cs="Arial"/>
                <w:color w:val="010205"/>
                <w:sz w:val="24"/>
                <w:szCs w:val="24"/>
              </w:rPr>
              <w:t>90</w:t>
            </w:r>
          </w:p>
        </w:tc>
      </w:tr>
      <w:tr w:rsidR="009C3C86" w:rsidRPr="00A40CA4" w14:paraId="38756A92" w14:textId="77777777" w:rsidTr="009C3C86">
        <w:trPr>
          <w:cantSplit/>
          <w:trHeight w:val="266"/>
        </w:trPr>
        <w:tc>
          <w:tcPr>
            <w:tcW w:w="7597" w:type="dxa"/>
            <w:gridSpan w:val="6"/>
            <w:tcBorders>
              <w:top w:val="nil"/>
              <w:left w:val="nil"/>
              <w:bottom w:val="nil"/>
              <w:right w:val="nil"/>
            </w:tcBorders>
            <w:shd w:val="clear" w:color="auto" w:fill="FFFFFF"/>
          </w:tcPr>
          <w:p w14:paraId="6995F218" w14:textId="77777777" w:rsidR="009C3C86" w:rsidRPr="00A40CA4" w:rsidRDefault="009C3C86" w:rsidP="009C3C86">
            <w:pPr>
              <w:autoSpaceDE w:val="0"/>
              <w:autoSpaceDN w:val="0"/>
              <w:adjustRightInd w:val="0"/>
              <w:spacing w:after="0" w:line="320" w:lineRule="atLeast"/>
              <w:ind w:left="60" w:right="60"/>
              <w:rPr>
                <w:rFonts w:ascii="Arial" w:hAnsi="Arial" w:cs="Arial"/>
                <w:color w:val="010205"/>
                <w:sz w:val="24"/>
                <w:szCs w:val="24"/>
              </w:rPr>
            </w:pPr>
            <w:r w:rsidRPr="00A40CA4">
              <w:rPr>
                <w:rFonts w:ascii="Arial" w:hAnsi="Arial" w:cs="Arial"/>
                <w:color w:val="010205"/>
                <w:sz w:val="24"/>
                <w:szCs w:val="24"/>
              </w:rPr>
              <w:t>a. Dependent Variable: Somatisation</w:t>
            </w:r>
          </w:p>
        </w:tc>
      </w:tr>
    </w:tbl>
    <w:p w14:paraId="0B863371"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69C3C6B0" wp14:editId="7A328F4D">
            <wp:extent cx="5127674" cy="301339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138366" cy="3019678"/>
                    </a:xfrm>
                    <a:prstGeom prst="rect">
                      <a:avLst/>
                    </a:prstGeom>
                    <a:noFill/>
                    <a:ln>
                      <a:noFill/>
                    </a:ln>
                  </pic:spPr>
                </pic:pic>
              </a:graphicData>
            </a:graphic>
          </wp:inline>
        </w:drawing>
      </w:r>
    </w:p>
    <w:p w14:paraId="367025B5"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07635850" w14:textId="77777777" w:rsidR="009C3C86" w:rsidRDefault="009C3C86" w:rsidP="009C3C86">
      <w:pPr>
        <w:autoSpaceDE w:val="0"/>
        <w:autoSpaceDN w:val="0"/>
        <w:adjustRightInd w:val="0"/>
        <w:spacing w:after="0" w:line="400" w:lineRule="atLeast"/>
        <w:rPr>
          <w:rFonts w:ascii="Times New Roman" w:hAnsi="Times New Roman" w:cs="Times New Roman"/>
          <w:sz w:val="24"/>
          <w:szCs w:val="24"/>
        </w:rPr>
      </w:pPr>
    </w:p>
    <w:p w14:paraId="093FBA73"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1EC989A6" wp14:editId="00B06A39">
            <wp:extent cx="5975350" cy="351155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75350" cy="3511550"/>
                    </a:xfrm>
                    <a:prstGeom prst="rect">
                      <a:avLst/>
                    </a:prstGeom>
                    <a:noFill/>
                    <a:ln>
                      <a:noFill/>
                    </a:ln>
                  </pic:spPr>
                </pic:pic>
              </a:graphicData>
            </a:graphic>
          </wp:inline>
        </w:drawing>
      </w:r>
    </w:p>
    <w:p w14:paraId="6CE088E5"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7CF09F17" w14:textId="77777777" w:rsidR="009C3C86" w:rsidRDefault="009C3C86" w:rsidP="009C3C86">
      <w:pPr>
        <w:autoSpaceDE w:val="0"/>
        <w:autoSpaceDN w:val="0"/>
        <w:adjustRightInd w:val="0"/>
        <w:spacing w:after="0" w:line="400" w:lineRule="atLeast"/>
        <w:rPr>
          <w:rFonts w:ascii="Times New Roman" w:hAnsi="Times New Roman" w:cs="Times New Roman"/>
          <w:sz w:val="24"/>
          <w:szCs w:val="24"/>
        </w:rPr>
      </w:pPr>
    </w:p>
    <w:p w14:paraId="361436C2"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3B60672C" wp14:editId="0AE7B9E4">
            <wp:extent cx="5409982" cy="3179298"/>
            <wp:effectExtent l="0" t="0" r="635"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416607" cy="3183192"/>
                    </a:xfrm>
                    <a:prstGeom prst="rect">
                      <a:avLst/>
                    </a:prstGeom>
                    <a:noFill/>
                    <a:ln>
                      <a:noFill/>
                    </a:ln>
                  </pic:spPr>
                </pic:pic>
              </a:graphicData>
            </a:graphic>
          </wp:inline>
        </w:drawing>
      </w:r>
    </w:p>
    <w:p w14:paraId="40857EA1"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5C57AB45" w14:textId="77777777" w:rsidR="009C3C86" w:rsidRDefault="009C3C86" w:rsidP="009C3C86">
      <w:pPr>
        <w:autoSpaceDE w:val="0"/>
        <w:autoSpaceDN w:val="0"/>
        <w:adjustRightInd w:val="0"/>
        <w:spacing w:after="0" w:line="400" w:lineRule="atLeast"/>
        <w:rPr>
          <w:rFonts w:ascii="Times New Roman" w:hAnsi="Times New Roman" w:cs="Times New Roman"/>
          <w:sz w:val="24"/>
          <w:szCs w:val="24"/>
        </w:rPr>
      </w:pPr>
    </w:p>
    <w:p w14:paraId="2A526C88"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371A578D"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089D9444"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204DB897"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60AF420F"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3E86250C"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3B4810E8"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56BD5C10"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3981AC1A"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3EB43690"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229E1957"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263EEF15"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5766AF40"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195E140D"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4933FC7B"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6A69D8A4"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79A9033C"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63EE1812"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401E4D5F"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658AFF64"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20747CEA"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2FE8F1D4"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16921D2C" w14:textId="77777777" w:rsidR="009C3C86" w:rsidRPr="00D21EF1" w:rsidRDefault="009C3C86" w:rsidP="009C3C86">
      <w:pPr>
        <w:autoSpaceDE w:val="0"/>
        <w:autoSpaceDN w:val="0"/>
        <w:adjustRightInd w:val="0"/>
        <w:spacing w:after="0" w:line="240" w:lineRule="auto"/>
        <w:rPr>
          <w:rFonts w:ascii="Times New Roman" w:hAnsi="Times New Roman" w:cs="Times New Roman"/>
          <w:sz w:val="24"/>
          <w:szCs w:val="24"/>
        </w:rPr>
      </w:pPr>
    </w:p>
    <w:p w14:paraId="0EE349F4" w14:textId="77777777" w:rsidR="00A53770" w:rsidRDefault="00A53770">
      <w:pPr>
        <w:rPr>
          <w:rFonts w:eastAsiaTheme="majorEastAsia" w:cstheme="minorHAnsi"/>
          <w:b/>
        </w:rPr>
      </w:pPr>
      <w:r>
        <w:br w:type="page"/>
      </w:r>
    </w:p>
    <w:p w14:paraId="7E75DB93" w14:textId="396C681F" w:rsidR="009C3C86" w:rsidRPr="00FC6123" w:rsidRDefault="009C3C86" w:rsidP="00027769">
      <w:pPr>
        <w:pStyle w:val="Heading1"/>
      </w:pPr>
      <w:bookmarkStart w:id="200" w:name="_Toc133487857"/>
      <w:r>
        <w:lastRenderedPageBreak/>
        <w:t>Appendix M</w:t>
      </w:r>
      <w:bookmarkEnd w:id="200"/>
    </w:p>
    <w:p w14:paraId="0A759842" w14:textId="10F1A13E" w:rsidR="009C3C86" w:rsidRPr="00A53770" w:rsidRDefault="009C3C86" w:rsidP="00A53770">
      <w:pPr>
        <w:rPr>
          <w:b/>
        </w:rPr>
      </w:pPr>
      <w:bookmarkStart w:id="201" w:name="_Toc133144230"/>
      <w:r w:rsidRPr="00A53770">
        <w:rPr>
          <w:b/>
        </w:rPr>
        <w:t>SPSS assumption checks and output for log transformed data for second regression model, predicting seizure frequency.</w:t>
      </w:r>
      <w:bookmarkEnd w:id="201"/>
    </w:p>
    <w:p w14:paraId="5C5EC735" w14:textId="77777777" w:rsidR="009C3C86" w:rsidRDefault="009C3C86" w:rsidP="009C3C86">
      <w:pPr>
        <w:autoSpaceDE w:val="0"/>
        <w:autoSpaceDN w:val="0"/>
        <w:adjustRightInd w:val="0"/>
        <w:spacing w:after="0" w:line="400" w:lineRule="atLeast"/>
        <w:rPr>
          <w:rFonts w:ascii="Times New Roman" w:hAnsi="Times New Roman" w:cs="Times New Roman"/>
          <w:sz w:val="24"/>
          <w:szCs w:val="24"/>
        </w:rPr>
      </w:pPr>
    </w:p>
    <w:p w14:paraId="3B0D350A" w14:textId="77777777" w:rsidR="009C3C86" w:rsidRPr="00FC6123" w:rsidRDefault="009C3C86" w:rsidP="00027769">
      <w:bookmarkStart w:id="202" w:name="_Toc133141573"/>
      <w:bookmarkStart w:id="203" w:name="_Toc133144231"/>
      <w:r w:rsidRPr="00FC6123">
        <w:t>Output for assumption tests for variable “logseizurenum” – seizure number log transformed including two outliers</w:t>
      </w:r>
      <w:bookmarkEnd w:id="202"/>
      <w:bookmarkEnd w:id="203"/>
    </w:p>
    <w:p w14:paraId="04B892FC" w14:textId="77777777" w:rsidR="009C3C86" w:rsidRDefault="009C3C86" w:rsidP="00027769">
      <w:pPr>
        <w:rPr>
          <w:rFonts w:ascii="Times New Roman" w:hAnsi="Times New Roman" w:cs="Times New Roman"/>
          <w:sz w:val="24"/>
          <w:szCs w:val="24"/>
        </w:rPr>
      </w:pPr>
    </w:p>
    <w:p w14:paraId="37EB7290" w14:textId="77777777" w:rsidR="009C3C86" w:rsidRDefault="009C3C86" w:rsidP="00027769">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74770216" wp14:editId="76D3279C">
            <wp:extent cx="5218478" cy="3066757"/>
            <wp:effectExtent l="0" t="0" r="127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227270" cy="3071924"/>
                    </a:xfrm>
                    <a:prstGeom prst="rect">
                      <a:avLst/>
                    </a:prstGeom>
                    <a:noFill/>
                    <a:ln>
                      <a:noFill/>
                    </a:ln>
                  </pic:spPr>
                </pic:pic>
              </a:graphicData>
            </a:graphic>
          </wp:inline>
        </w:drawing>
      </w:r>
    </w:p>
    <w:p w14:paraId="5E96CDCF" w14:textId="77777777" w:rsidR="009C3C86" w:rsidRDefault="009C3C86" w:rsidP="00027769">
      <w:pPr>
        <w:rPr>
          <w:rFonts w:ascii="Times New Roman" w:hAnsi="Times New Roman" w:cs="Times New Roman"/>
          <w:sz w:val="24"/>
          <w:szCs w:val="24"/>
        </w:rPr>
      </w:pPr>
    </w:p>
    <w:p w14:paraId="5A6273AF" w14:textId="77777777" w:rsidR="009C3C86" w:rsidRDefault="009C3C86" w:rsidP="00027769">
      <w:pPr>
        <w:rPr>
          <w:rFonts w:ascii="Times New Roman" w:hAnsi="Times New Roman" w:cs="Times New Roman"/>
          <w:sz w:val="24"/>
          <w:szCs w:val="24"/>
        </w:rPr>
      </w:pPr>
    </w:p>
    <w:p w14:paraId="0DFCF996" w14:textId="77777777" w:rsidR="009C3C86" w:rsidRDefault="009C3C86" w:rsidP="00027769">
      <w:pPr>
        <w:rPr>
          <w:rFonts w:ascii="Times New Roman" w:hAnsi="Times New Roman" w:cs="Times New Roman"/>
          <w:sz w:val="24"/>
          <w:szCs w:val="24"/>
        </w:rPr>
      </w:pPr>
    </w:p>
    <w:p w14:paraId="3CFFB061" w14:textId="77777777" w:rsidR="009C3C86" w:rsidRPr="00D21EF1" w:rsidRDefault="009C3C86" w:rsidP="00027769">
      <w:pP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2383A855" wp14:editId="1DA37177">
            <wp:extent cx="5226148" cy="307126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235571" cy="3076802"/>
                    </a:xfrm>
                    <a:prstGeom prst="rect">
                      <a:avLst/>
                    </a:prstGeom>
                    <a:noFill/>
                    <a:ln>
                      <a:noFill/>
                    </a:ln>
                  </pic:spPr>
                </pic:pic>
              </a:graphicData>
            </a:graphic>
          </wp:inline>
        </w:drawing>
      </w:r>
    </w:p>
    <w:p w14:paraId="381E5E9E" w14:textId="77777777" w:rsidR="009C3C86" w:rsidRPr="00D21EF1" w:rsidRDefault="009C3C86" w:rsidP="00027769">
      <w:pPr>
        <w:rPr>
          <w:rFonts w:ascii="Times New Roman" w:hAnsi="Times New Roman" w:cs="Times New Roman"/>
          <w:sz w:val="24"/>
          <w:szCs w:val="24"/>
        </w:rPr>
      </w:pPr>
    </w:p>
    <w:p w14:paraId="0020A407" w14:textId="77777777" w:rsidR="009C3C86" w:rsidRPr="00D21EF1" w:rsidRDefault="009C3C86" w:rsidP="00027769">
      <w:pPr>
        <w:rPr>
          <w:rFonts w:ascii="Times New Roman" w:hAnsi="Times New Roman" w:cs="Times New Roman"/>
          <w:sz w:val="24"/>
          <w:szCs w:val="24"/>
        </w:rPr>
      </w:pPr>
    </w:p>
    <w:p w14:paraId="7F413EBC" w14:textId="77777777" w:rsidR="009C3C86" w:rsidRDefault="009C3C86" w:rsidP="00027769">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29B211F6" wp14:editId="22449FC0">
            <wp:extent cx="5975350" cy="351155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75350" cy="3511550"/>
                    </a:xfrm>
                    <a:prstGeom prst="rect">
                      <a:avLst/>
                    </a:prstGeom>
                    <a:noFill/>
                    <a:ln>
                      <a:noFill/>
                    </a:ln>
                  </pic:spPr>
                </pic:pic>
              </a:graphicData>
            </a:graphic>
          </wp:inline>
        </w:drawing>
      </w:r>
    </w:p>
    <w:p w14:paraId="0510BA39" w14:textId="77777777" w:rsidR="009C3C86" w:rsidRDefault="009C3C86" w:rsidP="00027769">
      <w:pPr>
        <w:rPr>
          <w:rFonts w:ascii="Times New Roman" w:hAnsi="Times New Roman" w:cs="Times New Roman"/>
          <w:sz w:val="24"/>
          <w:szCs w:val="24"/>
        </w:rPr>
      </w:pPr>
    </w:p>
    <w:p w14:paraId="6DC4CB3C" w14:textId="77777777" w:rsidR="009C3C86" w:rsidRDefault="009C3C86" w:rsidP="00027769">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E3D875A" wp14:editId="3DB14119">
            <wp:extent cx="5670550" cy="100965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670550" cy="1009650"/>
                    </a:xfrm>
                    <a:prstGeom prst="rect">
                      <a:avLst/>
                    </a:prstGeom>
                    <a:noFill/>
                    <a:ln>
                      <a:noFill/>
                    </a:ln>
                  </pic:spPr>
                </pic:pic>
              </a:graphicData>
            </a:graphic>
          </wp:inline>
        </w:drawing>
      </w:r>
    </w:p>
    <w:p w14:paraId="31B5B548" w14:textId="77777777" w:rsidR="009C3C86" w:rsidRDefault="009C3C86" w:rsidP="00027769">
      <w:pPr>
        <w:rPr>
          <w:rFonts w:ascii="Times New Roman" w:hAnsi="Times New Roman" w:cs="Times New Roman"/>
          <w:sz w:val="24"/>
          <w:szCs w:val="24"/>
        </w:rPr>
      </w:pPr>
    </w:p>
    <w:p w14:paraId="22F867FF" w14:textId="77777777" w:rsidR="009C3C86" w:rsidRPr="00CB0654" w:rsidRDefault="009C3C86" w:rsidP="00027769">
      <w:pPr>
        <w:rPr>
          <w:rFonts w:ascii="Times New Roman" w:hAnsi="Times New Roman" w:cs="Times New Roman"/>
          <w:sz w:val="24"/>
          <w:szCs w:val="24"/>
        </w:rPr>
      </w:pPr>
    </w:p>
    <w:tbl>
      <w:tblPr>
        <w:tblW w:w="7947" w:type="dxa"/>
        <w:tblLayout w:type="fixed"/>
        <w:tblCellMar>
          <w:left w:w="0" w:type="dxa"/>
          <w:right w:w="0" w:type="dxa"/>
        </w:tblCellMar>
        <w:tblLook w:val="0000" w:firstRow="0" w:lastRow="0" w:firstColumn="0" w:lastColumn="0" w:noHBand="0" w:noVBand="0"/>
      </w:tblPr>
      <w:tblGrid>
        <w:gridCol w:w="754"/>
        <w:gridCol w:w="1215"/>
        <w:gridCol w:w="1506"/>
        <w:gridCol w:w="1045"/>
        <w:gridCol w:w="1337"/>
        <w:gridCol w:w="1045"/>
        <w:gridCol w:w="1045"/>
      </w:tblGrid>
      <w:tr w:rsidR="009C3C86" w:rsidRPr="00CB0654" w14:paraId="3DADA7B7" w14:textId="77777777" w:rsidTr="009C3C86">
        <w:trPr>
          <w:cantSplit/>
        </w:trPr>
        <w:tc>
          <w:tcPr>
            <w:tcW w:w="7945" w:type="dxa"/>
            <w:gridSpan w:val="7"/>
            <w:tcBorders>
              <w:top w:val="nil"/>
              <w:left w:val="nil"/>
              <w:bottom w:val="nil"/>
              <w:right w:val="nil"/>
            </w:tcBorders>
            <w:shd w:val="clear" w:color="auto" w:fill="FFFFFF"/>
            <w:vAlign w:val="center"/>
          </w:tcPr>
          <w:p w14:paraId="2EBA5723" w14:textId="77777777" w:rsidR="009C3C86" w:rsidRPr="00CB0654" w:rsidRDefault="009C3C86" w:rsidP="00027769">
            <w:pPr>
              <w:rPr>
                <w:rFonts w:ascii="Arial" w:hAnsi="Arial" w:cs="Arial"/>
                <w:color w:val="010205"/>
                <w:sz w:val="28"/>
                <w:szCs w:val="28"/>
              </w:rPr>
            </w:pPr>
            <w:r w:rsidRPr="00CB0654">
              <w:rPr>
                <w:rFonts w:ascii="Arial" w:hAnsi="Arial" w:cs="Arial"/>
                <w:b/>
                <w:bCs/>
                <w:color w:val="010205"/>
                <w:sz w:val="28"/>
                <w:szCs w:val="28"/>
              </w:rPr>
              <w:t>ANOVA</w:t>
            </w:r>
            <w:r w:rsidRPr="00CB0654">
              <w:rPr>
                <w:rFonts w:ascii="Arial" w:hAnsi="Arial" w:cs="Arial"/>
                <w:b/>
                <w:bCs/>
                <w:color w:val="010205"/>
                <w:sz w:val="28"/>
                <w:szCs w:val="28"/>
                <w:vertAlign w:val="superscript"/>
              </w:rPr>
              <w:t>a</w:t>
            </w:r>
          </w:p>
        </w:tc>
      </w:tr>
      <w:tr w:rsidR="009C3C86" w:rsidRPr="00CB0654" w14:paraId="34EC0048" w14:textId="77777777" w:rsidTr="009C3C86">
        <w:trPr>
          <w:cantSplit/>
        </w:trPr>
        <w:tc>
          <w:tcPr>
            <w:tcW w:w="1967" w:type="dxa"/>
            <w:gridSpan w:val="2"/>
            <w:tcBorders>
              <w:top w:val="nil"/>
              <w:left w:val="nil"/>
              <w:bottom w:val="single" w:sz="8" w:space="0" w:color="152935"/>
              <w:right w:val="nil"/>
            </w:tcBorders>
            <w:shd w:val="clear" w:color="auto" w:fill="FFFFFF"/>
            <w:vAlign w:val="bottom"/>
          </w:tcPr>
          <w:p w14:paraId="4A07F4B1" w14:textId="77777777" w:rsidR="009C3C86" w:rsidRPr="00CB0654" w:rsidRDefault="009C3C86" w:rsidP="00027769">
            <w:pPr>
              <w:rPr>
                <w:rFonts w:ascii="Arial" w:hAnsi="Arial" w:cs="Arial"/>
                <w:color w:val="264A60"/>
                <w:sz w:val="24"/>
                <w:szCs w:val="24"/>
              </w:rPr>
            </w:pPr>
            <w:r w:rsidRPr="00CB0654">
              <w:rPr>
                <w:rFonts w:ascii="Arial" w:hAnsi="Arial" w:cs="Arial"/>
                <w:color w:val="264A60"/>
                <w:sz w:val="24"/>
                <w:szCs w:val="24"/>
              </w:rPr>
              <w:t>Model</w:t>
            </w:r>
          </w:p>
        </w:tc>
        <w:tc>
          <w:tcPr>
            <w:tcW w:w="1506" w:type="dxa"/>
            <w:tcBorders>
              <w:top w:val="nil"/>
              <w:left w:val="nil"/>
              <w:bottom w:val="single" w:sz="8" w:space="0" w:color="152935"/>
              <w:right w:val="single" w:sz="8" w:space="0" w:color="E0E0E0"/>
            </w:tcBorders>
            <w:shd w:val="clear" w:color="auto" w:fill="FFFFFF"/>
            <w:vAlign w:val="bottom"/>
          </w:tcPr>
          <w:p w14:paraId="2E4302A5" w14:textId="77777777" w:rsidR="009C3C86" w:rsidRPr="00CB0654" w:rsidRDefault="009C3C86" w:rsidP="00027769">
            <w:pPr>
              <w:rPr>
                <w:rFonts w:ascii="Arial" w:hAnsi="Arial" w:cs="Arial"/>
                <w:color w:val="264A60"/>
                <w:sz w:val="24"/>
                <w:szCs w:val="24"/>
              </w:rPr>
            </w:pPr>
            <w:r w:rsidRPr="00CB0654">
              <w:rPr>
                <w:rFonts w:ascii="Arial" w:hAnsi="Arial" w:cs="Arial"/>
                <w:color w:val="264A60"/>
                <w:sz w:val="24"/>
                <w:szCs w:val="24"/>
              </w:rPr>
              <w:t>Sum of Squares</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5BC92D56" w14:textId="77777777" w:rsidR="009C3C86" w:rsidRPr="00CB0654" w:rsidRDefault="009C3C86" w:rsidP="00027769">
            <w:pPr>
              <w:rPr>
                <w:rFonts w:ascii="Arial" w:hAnsi="Arial" w:cs="Arial"/>
                <w:color w:val="264A60"/>
                <w:sz w:val="24"/>
                <w:szCs w:val="24"/>
              </w:rPr>
            </w:pPr>
            <w:r w:rsidRPr="00CB0654">
              <w:rPr>
                <w:rFonts w:ascii="Arial" w:hAnsi="Arial" w:cs="Arial"/>
                <w:color w:val="264A60"/>
                <w:sz w:val="24"/>
                <w:szCs w:val="24"/>
              </w:rPr>
              <w:t>df</w:t>
            </w:r>
          </w:p>
        </w:tc>
        <w:tc>
          <w:tcPr>
            <w:tcW w:w="1337" w:type="dxa"/>
            <w:tcBorders>
              <w:top w:val="nil"/>
              <w:left w:val="single" w:sz="8" w:space="0" w:color="E0E0E0"/>
              <w:bottom w:val="single" w:sz="8" w:space="0" w:color="152935"/>
              <w:right w:val="single" w:sz="8" w:space="0" w:color="E0E0E0"/>
            </w:tcBorders>
            <w:shd w:val="clear" w:color="auto" w:fill="FFFFFF"/>
            <w:vAlign w:val="bottom"/>
          </w:tcPr>
          <w:p w14:paraId="4FDD1B53" w14:textId="77777777" w:rsidR="009C3C86" w:rsidRPr="00CB0654" w:rsidRDefault="009C3C86" w:rsidP="00027769">
            <w:pPr>
              <w:rPr>
                <w:rFonts w:ascii="Arial" w:hAnsi="Arial" w:cs="Arial"/>
                <w:color w:val="264A60"/>
                <w:sz w:val="24"/>
                <w:szCs w:val="24"/>
              </w:rPr>
            </w:pPr>
            <w:r w:rsidRPr="00CB0654">
              <w:rPr>
                <w:rFonts w:ascii="Arial" w:hAnsi="Arial" w:cs="Arial"/>
                <w:color w:val="264A60"/>
                <w:sz w:val="24"/>
                <w:szCs w:val="24"/>
              </w:rPr>
              <w:t>Mean Square</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706E2C3F" w14:textId="77777777" w:rsidR="009C3C86" w:rsidRPr="00CB0654" w:rsidRDefault="009C3C86" w:rsidP="00027769">
            <w:pPr>
              <w:rPr>
                <w:rFonts w:ascii="Arial" w:hAnsi="Arial" w:cs="Arial"/>
                <w:color w:val="264A60"/>
                <w:sz w:val="24"/>
                <w:szCs w:val="24"/>
              </w:rPr>
            </w:pPr>
            <w:r w:rsidRPr="00CB0654">
              <w:rPr>
                <w:rFonts w:ascii="Arial" w:hAnsi="Arial" w:cs="Arial"/>
                <w:color w:val="264A60"/>
                <w:sz w:val="24"/>
                <w:szCs w:val="24"/>
              </w:rPr>
              <w:t>F</w:t>
            </w:r>
          </w:p>
        </w:tc>
        <w:tc>
          <w:tcPr>
            <w:tcW w:w="1045" w:type="dxa"/>
            <w:tcBorders>
              <w:top w:val="nil"/>
              <w:left w:val="single" w:sz="8" w:space="0" w:color="E0E0E0"/>
              <w:bottom w:val="single" w:sz="8" w:space="0" w:color="152935"/>
              <w:right w:val="nil"/>
            </w:tcBorders>
            <w:shd w:val="clear" w:color="auto" w:fill="FFFFFF"/>
            <w:vAlign w:val="bottom"/>
          </w:tcPr>
          <w:p w14:paraId="4DA458B5" w14:textId="77777777" w:rsidR="009C3C86" w:rsidRPr="00CB0654" w:rsidRDefault="009C3C86" w:rsidP="00027769">
            <w:pPr>
              <w:rPr>
                <w:rFonts w:ascii="Arial" w:hAnsi="Arial" w:cs="Arial"/>
                <w:color w:val="264A60"/>
                <w:sz w:val="24"/>
                <w:szCs w:val="24"/>
              </w:rPr>
            </w:pPr>
            <w:r w:rsidRPr="00CB0654">
              <w:rPr>
                <w:rFonts w:ascii="Arial" w:hAnsi="Arial" w:cs="Arial"/>
                <w:color w:val="264A60"/>
                <w:sz w:val="24"/>
                <w:szCs w:val="24"/>
              </w:rPr>
              <w:t>Sig.</w:t>
            </w:r>
          </w:p>
        </w:tc>
      </w:tr>
      <w:tr w:rsidR="009C3C86" w:rsidRPr="00CB0654" w14:paraId="5A8A35AB" w14:textId="77777777" w:rsidTr="009C3C86">
        <w:trPr>
          <w:cantSplit/>
        </w:trPr>
        <w:tc>
          <w:tcPr>
            <w:tcW w:w="753" w:type="dxa"/>
            <w:vMerge w:val="restart"/>
            <w:tcBorders>
              <w:top w:val="single" w:sz="8" w:space="0" w:color="152935"/>
              <w:left w:val="nil"/>
              <w:bottom w:val="single" w:sz="8" w:space="0" w:color="152935"/>
              <w:right w:val="nil"/>
            </w:tcBorders>
            <w:shd w:val="clear" w:color="auto" w:fill="E0E0E0"/>
          </w:tcPr>
          <w:p w14:paraId="5CD38C8B" w14:textId="77777777" w:rsidR="009C3C86" w:rsidRPr="00CB0654" w:rsidRDefault="009C3C86" w:rsidP="00027769">
            <w:pPr>
              <w:rPr>
                <w:rFonts w:ascii="Arial" w:hAnsi="Arial" w:cs="Arial"/>
                <w:color w:val="264A60"/>
                <w:sz w:val="24"/>
                <w:szCs w:val="24"/>
              </w:rPr>
            </w:pPr>
            <w:r w:rsidRPr="00CB0654">
              <w:rPr>
                <w:rFonts w:ascii="Arial" w:hAnsi="Arial" w:cs="Arial"/>
                <w:color w:val="264A60"/>
                <w:sz w:val="24"/>
                <w:szCs w:val="24"/>
              </w:rPr>
              <w:t>1</w:t>
            </w:r>
          </w:p>
        </w:tc>
        <w:tc>
          <w:tcPr>
            <w:tcW w:w="1214" w:type="dxa"/>
            <w:tcBorders>
              <w:top w:val="single" w:sz="8" w:space="0" w:color="152935"/>
              <w:left w:val="nil"/>
              <w:bottom w:val="single" w:sz="8" w:space="0" w:color="AEAEAE"/>
              <w:right w:val="nil"/>
            </w:tcBorders>
            <w:shd w:val="clear" w:color="auto" w:fill="E0E0E0"/>
          </w:tcPr>
          <w:p w14:paraId="3AC387CA" w14:textId="77777777" w:rsidR="009C3C86" w:rsidRPr="00CB0654" w:rsidRDefault="009C3C86" w:rsidP="00027769">
            <w:pPr>
              <w:rPr>
                <w:rFonts w:ascii="Arial" w:hAnsi="Arial" w:cs="Arial"/>
                <w:color w:val="264A60"/>
                <w:sz w:val="24"/>
                <w:szCs w:val="24"/>
              </w:rPr>
            </w:pPr>
            <w:r w:rsidRPr="00CB0654">
              <w:rPr>
                <w:rFonts w:ascii="Arial" w:hAnsi="Arial" w:cs="Arial"/>
                <w:color w:val="264A60"/>
                <w:sz w:val="24"/>
                <w:szCs w:val="24"/>
              </w:rPr>
              <w:t>Regression</w:t>
            </w:r>
          </w:p>
        </w:tc>
        <w:tc>
          <w:tcPr>
            <w:tcW w:w="1506" w:type="dxa"/>
            <w:tcBorders>
              <w:top w:val="single" w:sz="8" w:space="0" w:color="152935"/>
              <w:left w:val="nil"/>
              <w:bottom w:val="single" w:sz="8" w:space="0" w:color="AEAEAE"/>
              <w:right w:val="single" w:sz="8" w:space="0" w:color="E0E0E0"/>
            </w:tcBorders>
            <w:shd w:val="clear" w:color="auto" w:fill="F9F9FB"/>
          </w:tcPr>
          <w:p w14:paraId="7A3D1B4F"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4.255</w:t>
            </w:r>
          </w:p>
        </w:tc>
        <w:tc>
          <w:tcPr>
            <w:tcW w:w="1045" w:type="dxa"/>
            <w:tcBorders>
              <w:top w:val="single" w:sz="8" w:space="0" w:color="152935"/>
              <w:left w:val="single" w:sz="8" w:space="0" w:color="E0E0E0"/>
              <w:bottom w:val="single" w:sz="8" w:space="0" w:color="AEAEAE"/>
              <w:right w:val="single" w:sz="8" w:space="0" w:color="E0E0E0"/>
            </w:tcBorders>
            <w:shd w:val="clear" w:color="auto" w:fill="F9F9FB"/>
          </w:tcPr>
          <w:p w14:paraId="154D981E"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5</w:t>
            </w:r>
          </w:p>
        </w:tc>
        <w:tc>
          <w:tcPr>
            <w:tcW w:w="1337" w:type="dxa"/>
            <w:tcBorders>
              <w:top w:val="single" w:sz="8" w:space="0" w:color="152935"/>
              <w:left w:val="single" w:sz="8" w:space="0" w:color="E0E0E0"/>
              <w:bottom w:val="single" w:sz="8" w:space="0" w:color="AEAEAE"/>
              <w:right w:val="single" w:sz="8" w:space="0" w:color="E0E0E0"/>
            </w:tcBorders>
            <w:shd w:val="clear" w:color="auto" w:fill="F9F9FB"/>
          </w:tcPr>
          <w:p w14:paraId="5CD17876"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.851</w:t>
            </w:r>
          </w:p>
        </w:tc>
        <w:tc>
          <w:tcPr>
            <w:tcW w:w="1045" w:type="dxa"/>
            <w:tcBorders>
              <w:top w:val="single" w:sz="8" w:space="0" w:color="152935"/>
              <w:left w:val="single" w:sz="8" w:space="0" w:color="E0E0E0"/>
              <w:bottom w:val="single" w:sz="8" w:space="0" w:color="AEAEAE"/>
              <w:right w:val="single" w:sz="8" w:space="0" w:color="E0E0E0"/>
            </w:tcBorders>
            <w:shd w:val="clear" w:color="auto" w:fill="F9F9FB"/>
          </w:tcPr>
          <w:p w14:paraId="6B071E3B"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2.126</w:t>
            </w:r>
          </w:p>
        </w:tc>
        <w:tc>
          <w:tcPr>
            <w:tcW w:w="1045" w:type="dxa"/>
            <w:tcBorders>
              <w:top w:val="single" w:sz="8" w:space="0" w:color="152935"/>
              <w:left w:val="single" w:sz="8" w:space="0" w:color="E0E0E0"/>
              <w:bottom w:val="single" w:sz="8" w:space="0" w:color="AEAEAE"/>
              <w:right w:val="nil"/>
            </w:tcBorders>
            <w:shd w:val="clear" w:color="auto" w:fill="F9F9FB"/>
          </w:tcPr>
          <w:p w14:paraId="0B1FB5B2"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.071</w:t>
            </w:r>
            <w:r w:rsidRPr="00CB0654">
              <w:rPr>
                <w:rFonts w:ascii="Arial" w:hAnsi="Arial" w:cs="Arial"/>
                <w:color w:val="010205"/>
                <w:sz w:val="24"/>
                <w:szCs w:val="24"/>
                <w:vertAlign w:val="superscript"/>
              </w:rPr>
              <w:t>b</w:t>
            </w:r>
          </w:p>
        </w:tc>
      </w:tr>
      <w:tr w:rsidR="009C3C86" w:rsidRPr="00CB0654" w14:paraId="52B436F3" w14:textId="77777777" w:rsidTr="009C3C86">
        <w:trPr>
          <w:cantSplit/>
        </w:trPr>
        <w:tc>
          <w:tcPr>
            <w:tcW w:w="753" w:type="dxa"/>
            <w:vMerge/>
            <w:tcBorders>
              <w:top w:val="single" w:sz="8" w:space="0" w:color="152935"/>
              <w:left w:val="nil"/>
              <w:bottom w:val="single" w:sz="8" w:space="0" w:color="152935"/>
              <w:right w:val="nil"/>
            </w:tcBorders>
            <w:shd w:val="clear" w:color="auto" w:fill="E0E0E0"/>
          </w:tcPr>
          <w:p w14:paraId="0339D052" w14:textId="77777777" w:rsidR="009C3C86" w:rsidRPr="00CB0654" w:rsidRDefault="009C3C86" w:rsidP="00027769">
            <w:pPr>
              <w:rPr>
                <w:rFonts w:ascii="Arial" w:hAnsi="Arial" w:cs="Arial"/>
                <w:color w:val="010205"/>
                <w:sz w:val="24"/>
                <w:szCs w:val="24"/>
              </w:rPr>
            </w:pPr>
          </w:p>
        </w:tc>
        <w:tc>
          <w:tcPr>
            <w:tcW w:w="1214" w:type="dxa"/>
            <w:tcBorders>
              <w:top w:val="single" w:sz="8" w:space="0" w:color="AEAEAE"/>
              <w:left w:val="nil"/>
              <w:bottom w:val="single" w:sz="8" w:space="0" w:color="AEAEAE"/>
              <w:right w:val="nil"/>
            </w:tcBorders>
            <w:shd w:val="clear" w:color="auto" w:fill="E0E0E0"/>
          </w:tcPr>
          <w:p w14:paraId="5BF97C2E" w14:textId="77777777" w:rsidR="009C3C86" w:rsidRPr="00CB0654" w:rsidRDefault="009C3C86" w:rsidP="00027769">
            <w:pPr>
              <w:rPr>
                <w:rFonts w:ascii="Arial" w:hAnsi="Arial" w:cs="Arial"/>
                <w:color w:val="264A60"/>
                <w:sz w:val="24"/>
                <w:szCs w:val="24"/>
              </w:rPr>
            </w:pPr>
            <w:r w:rsidRPr="00CB0654">
              <w:rPr>
                <w:rFonts w:ascii="Arial" w:hAnsi="Arial" w:cs="Arial"/>
                <w:color w:val="264A60"/>
                <w:sz w:val="24"/>
                <w:szCs w:val="24"/>
              </w:rPr>
              <w:t>Residual</w:t>
            </w:r>
          </w:p>
        </w:tc>
        <w:tc>
          <w:tcPr>
            <w:tcW w:w="1506" w:type="dxa"/>
            <w:tcBorders>
              <w:top w:val="single" w:sz="8" w:space="0" w:color="AEAEAE"/>
              <w:left w:val="nil"/>
              <w:bottom w:val="single" w:sz="8" w:space="0" w:color="AEAEAE"/>
              <w:right w:val="single" w:sz="8" w:space="0" w:color="E0E0E0"/>
            </w:tcBorders>
            <w:shd w:val="clear" w:color="auto" w:fill="F9F9FB"/>
          </w:tcPr>
          <w:p w14:paraId="0D1DD8DE"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32.020</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4D157332"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80</w:t>
            </w:r>
          </w:p>
        </w:tc>
        <w:tc>
          <w:tcPr>
            <w:tcW w:w="1337" w:type="dxa"/>
            <w:tcBorders>
              <w:top w:val="single" w:sz="8" w:space="0" w:color="AEAEAE"/>
              <w:left w:val="single" w:sz="8" w:space="0" w:color="E0E0E0"/>
              <w:bottom w:val="single" w:sz="8" w:space="0" w:color="AEAEAE"/>
              <w:right w:val="single" w:sz="8" w:space="0" w:color="E0E0E0"/>
            </w:tcBorders>
            <w:shd w:val="clear" w:color="auto" w:fill="F9F9FB"/>
          </w:tcPr>
          <w:p w14:paraId="4AF127FE"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.400</w:t>
            </w:r>
          </w:p>
        </w:tc>
        <w:tc>
          <w:tcPr>
            <w:tcW w:w="104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20982B85" w14:textId="77777777" w:rsidR="009C3C86" w:rsidRPr="00CB0654" w:rsidRDefault="009C3C86" w:rsidP="00027769">
            <w:pPr>
              <w:rPr>
                <w:rFonts w:ascii="Times New Roman" w:hAnsi="Times New Roman" w:cs="Times New Roman"/>
                <w:sz w:val="24"/>
                <w:szCs w:val="24"/>
              </w:rPr>
            </w:pPr>
          </w:p>
        </w:tc>
        <w:tc>
          <w:tcPr>
            <w:tcW w:w="1045" w:type="dxa"/>
            <w:tcBorders>
              <w:top w:val="single" w:sz="8" w:space="0" w:color="AEAEAE"/>
              <w:left w:val="single" w:sz="8" w:space="0" w:color="E0E0E0"/>
              <w:bottom w:val="single" w:sz="8" w:space="0" w:color="AEAEAE"/>
              <w:right w:val="nil"/>
            </w:tcBorders>
            <w:shd w:val="clear" w:color="auto" w:fill="F9F9FB"/>
            <w:vAlign w:val="center"/>
          </w:tcPr>
          <w:p w14:paraId="08CA448B" w14:textId="77777777" w:rsidR="009C3C86" w:rsidRPr="00CB0654" w:rsidRDefault="009C3C86" w:rsidP="00027769">
            <w:pPr>
              <w:rPr>
                <w:rFonts w:ascii="Times New Roman" w:hAnsi="Times New Roman" w:cs="Times New Roman"/>
                <w:sz w:val="24"/>
                <w:szCs w:val="24"/>
              </w:rPr>
            </w:pPr>
          </w:p>
        </w:tc>
      </w:tr>
      <w:tr w:rsidR="009C3C86" w:rsidRPr="00CB0654" w14:paraId="243F6F92" w14:textId="77777777" w:rsidTr="009C3C86">
        <w:trPr>
          <w:cantSplit/>
        </w:trPr>
        <w:tc>
          <w:tcPr>
            <w:tcW w:w="753" w:type="dxa"/>
            <w:vMerge/>
            <w:tcBorders>
              <w:top w:val="single" w:sz="8" w:space="0" w:color="152935"/>
              <w:left w:val="nil"/>
              <w:bottom w:val="single" w:sz="8" w:space="0" w:color="152935"/>
              <w:right w:val="nil"/>
            </w:tcBorders>
            <w:shd w:val="clear" w:color="auto" w:fill="E0E0E0"/>
          </w:tcPr>
          <w:p w14:paraId="66ACF9CB" w14:textId="77777777" w:rsidR="009C3C86" w:rsidRPr="00CB0654" w:rsidRDefault="009C3C86" w:rsidP="00027769">
            <w:pPr>
              <w:rPr>
                <w:rFonts w:ascii="Times New Roman" w:hAnsi="Times New Roman" w:cs="Times New Roman"/>
                <w:sz w:val="24"/>
                <w:szCs w:val="24"/>
              </w:rPr>
            </w:pPr>
          </w:p>
        </w:tc>
        <w:tc>
          <w:tcPr>
            <w:tcW w:w="1214" w:type="dxa"/>
            <w:tcBorders>
              <w:top w:val="single" w:sz="8" w:space="0" w:color="AEAEAE"/>
              <w:left w:val="nil"/>
              <w:bottom w:val="single" w:sz="8" w:space="0" w:color="152935"/>
              <w:right w:val="nil"/>
            </w:tcBorders>
            <w:shd w:val="clear" w:color="auto" w:fill="E0E0E0"/>
          </w:tcPr>
          <w:p w14:paraId="14F7C1B5" w14:textId="77777777" w:rsidR="009C3C86" w:rsidRPr="00CB0654" w:rsidRDefault="009C3C86" w:rsidP="00027769">
            <w:pPr>
              <w:rPr>
                <w:rFonts w:ascii="Arial" w:hAnsi="Arial" w:cs="Arial"/>
                <w:color w:val="264A60"/>
                <w:sz w:val="24"/>
                <w:szCs w:val="24"/>
              </w:rPr>
            </w:pPr>
            <w:r w:rsidRPr="00CB0654">
              <w:rPr>
                <w:rFonts w:ascii="Arial" w:hAnsi="Arial" w:cs="Arial"/>
                <w:color w:val="264A60"/>
                <w:sz w:val="24"/>
                <w:szCs w:val="24"/>
              </w:rPr>
              <w:t>Total</w:t>
            </w:r>
          </w:p>
        </w:tc>
        <w:tc>
          <w:tcPr>
            <w:tcW w:w="1506" w:type="dxa"/>
            <w:tcBorders>
              <w:top w:val="single" w:sz="8" w:space="0" w:color="AEAEAE"/>
              <w:left w:val="nil"/>
              <w:bottom w:val="single" w:sz="8" w:space="0" w:color="152935"/>
              <w:right w:val="single" w:sz="8" w:space="0" w:color="E0E0E0"/>
            </w:tcBorders>
            <w:shd w:val="clear" w:color="auto" w:fill="F9F9FB"/>
          </w:tcPr>
          <w:p w14:paraId="7FCEF1E0"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36.275</w:t>
            </w:r>
          </w:p>
        </w:tc>
        <w:tc>
          <w:tcPr>
            <w:tcW w:w="1045" w:type="dxa"/>
            <w:tcBorders>
              <w:top w:val="single" w:sz="8" w:space="0" w:color="AEAEAE"/>
              <w:left w:val="single" w:sz="8" w:space="0" w:color="E0E0E0"/>
              <w:bottom w:val="single" w:sz="8" w:space="0" w:color="152935"/>
              <w:right w:val="single" w:sz="8" w:space="0" w:color="E0E0E0"/>
            </w:tcBorders>
            <w:shd w:val="clear" w:color="auto" w:fill="F9F9FB"/>
          </w:tcPr>
          <w:p w14:paraId="41221643"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85</w:t>
            </w:r>
          </w:p>
        </w:tc>
        <w:tc>
          <w:tcPr>
            <w:tcW w:w="1337"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53BCD3CB" w14:textId="77777777" w:rsidR="009C3C86" w:rsidRPr="00CB0654" w:rsidRDefault="009C3C86" w:rsidP="00027769">
            <w:pPr>
              <w:rPr>
                <w:rFonts w:ascii="Times New Roman" w:hAnsi="Times New Roman" w:cs="Times New Roman"/>
                <w:sz w:val="24"/>
                <w:szCs w:val="24"/>
              </w:rPr>
            </w:pPr>
          </w:p>
        </w:tc>
        <w:tc>
          <w:tcPr>
            <w:tcW w:w="1045"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0E15E937" w14:textId="77777777" w:rsidR="009C3C86" w:rsidRPr="00CB0654" w:rsidRDefault="009C3C86" w:rsidP="00027769">
            <w:pPr>
              <w:rPr>
                <w:rFonts w:ascii="Times New Roman" w:hAnsi="Times New Roman" w:cs="Times New Roman"/>
                <w:sz w:val="24"/>
                <w:szCs w:val="24"/>
              </w:rPr>
            </w:pPr>
          </w:p>
        </w:tc>
        <w:tc>
          <w:tcPr>
            <w:tcW w:w="1045" w:type="dxa"/>
            <w:tcBorders>
              <w:top w:val="single" w:sz="8" w:space="0" w:color="AEAEAE"/>
              <w:left w:val="single" w:sz="8" w:space="0" w:color="E0E0E0"/>
              <w:bottom w:val="single" w:sz="8" w:space="0" w:color="152935"/>
              <w:right w:val="nil"/>
            </w:tcBorders>
            <w:shd w:val="clear" w:color="auto" w:fill="F9F9FB"/>
            <w:vAlign w:val="center"/>
          </w:tcPr>
          <w:p w14:paraId="79A0ADFB" w14:textId="77777777" w:rsidR="009C3C86" w:rsidRPr="00CB0654" w:rsidRDefault="009C3C86" w:rsidP="00027769">
            <w:pPr>
              <w:rPr>
                <w:rFonts w:ascii="Times New Roman" w:hAnsi="Times New Roman" w:cs="Times New Roman"/>
                <w:sz w:val="24"/>
                <w:szCs w:val="24"/>
              </w:rPr>
            </w:pPr>
          </w:p>
        </w:tc>
      </w:tr>
      <w:tr w:rsidR="009C3C86" w:rsidRPr="00CB0654" w14:paraId="35E4F38E" w14:textId="77777777" w:rsidTr="009C3C86">
        <w:trPr>
          <w:cantSplit/>
        </w:trPr>
        <w:tc>
          <w:tcPr>
            <w:tcW w:w="7945" w:type="dxa"/>
            <w:gridSpan w:val="7"/>
            <w:tcBorders>
              <w:top w:val="nil"/>
              <w:left w:val="nil"/>
              <w:bottom w:val="nil"/>
              <w:right w:val="nil"/>
            </w:tcBorders>
            <w:shd w:val="clear" w:color="auto" w:fill="FFFFFF"/>
          </w:tcPr>
          <w:p w14:paraId="30A7F168"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a. Dependent Variable: logseziurenum</w:t>
            </w:r>
          </w:p>
        </w:tc>
      </w:tr>
      <w:tr w:rsidR="009C3C86" w:rsidRPr="00CB0654" w14:paraId="2B793BF2" w14:textId="77777777" w:rsidTr="009C3C86">
        <w:trPr>
          <w:cantSplit/>
        </w:trPr>
        <w:tc>
          <w:tcPr>
            <w:tcW w:w="7945" w:type="dxa"/>
            <w:gridSpan w:val="7"/>
            <w:tcBorders>
              <w:top w:val="nil"/>
              <w:left w:val="nil"/>
              <w:bottom w:val="nil"/>
              <w:right w:val="nil"/>
            </w:tcBorders>
            <w:shd w:val="clear" w:color="auto" w:fill="FFFFFF"/>
          </w:tcPr>
          <w:p w14:paraId="2B606115"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b. Predictors: (Constant), DiagnosisofepilepsyorDS, Intoleranceofuncertainty, Depression, Anxietysensitivity, Anxiety</w:t>
            </w:r>
          </w:p>
        </w:tc>
      </w:tr>
    </w:tbl>
    <w:p w14:paraId="64FD7A2B" w14:textId="77777777" w:rsidR="009C3C86" w:rsidRPr="00CB0654" w:rsidRDefault="009C3C86" w:rsidP="00027769">
      <w:pPr>
        <w:rPr>
          <w:rFonts w:ascii="Times New Roman" w:hAnsi="Times New Roman" w:cs="Times New Roman"/>
          <w:sz w:val="24"/>
          <w:szCs w:val="24"/>
        </w:rPr>
      </w:pPr>
    </w:p>
    <w:p w14:paraId="6B44B9DB" w14:textId="77777777" w:rsidR="009C3C86" w:rsidRDefault="009C3C86" w:rsidP="00027769">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5E514EE2" wp14:editId="541B2656">
            <wp:extent cx="5727700" cy="1384300"/>
            <wp:effectExtent l="0" t="0" r="635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27700" cy="1384300"/>
                    </a:xfrm>
                    <a:prstGeom prst="rect">
                      <a:avLst/>
                    </a:prstGeom>
                    <a:noFill/>
                    <a:ln>
                      <a:noFill/>
                    </a:ln>
                  </pic:spPr>
                </pic:pic>
              </a:graphicData>
            </a:graphic>
          </wp:inline>
        </w:drawing>
      </w:r>
    </w:p>
    <w:p w14:paraId="469AF886" w14:textId="77777777" w:rsidR="009C3C86" w:rsidRPr="00FC6123" w:rsidRDefault="009C3C86" w:rsidP="00027769">
      <w:pPr>
        <w:rPr>
          <w:rFonts w:cstheme="minorHAnsi"/>
          <w:sz w:val="24"/>
          <w:szCs w:val="24"/>
        </w:rPr>
      </w:pPr>
    </w:p>
    <w:p w14:paraId="423D1129" w14:textId="77777777" w:rsidR="009C3C86" w:rsidRPr="00CB0654" w:rsidRDefault="009C3C86" w:rsidP="00027769">
      <w:pPr>
        <w:rPr>
          <w:rFonts w:ascii="Times New Roman" w:hAnsi="Times New Roman" w:cs="Times New Roman"/>
          <w:sz w:val="24"/>
          <w:szCs w:val="24"/>
        </w:rPr>
      </w:pPr>
    </w:p>
    <w:tbl>
      <w:tblPr>
        <w:tblW w:w="8070" w:type="dxa"/>
        <w:tblLayout w:type="fixed"/>
        <w:tblCellMar>
          <w:left w:w="0" w:type="dxa"/>
          <w:right w:w="0" w:type="dxa"/>
        </w:tblCellMar>
        <w:tblLook w:val="0000" w:firstRow="0" w:lastRow="0" w:firstColumn="0" w:lastColumn="0" w:noHBand="0" w:noVBand="0"/>
      </w:tblPr>
      <w:tblGrid>
        <w:gridCol w:w="2522"/>
        <w:gridCol w:w="1045"/>
        <w:gridCol w:w="1045"/>
        <w:gridCol w:w="1045"/>
        <w:gridCol w:w="1368"/>
        <w:gridCol w:w="1045"/>
      </w:tblGrid>
      <w:tr w:rsidR="009C3C86" w:rsidRPr="00CB0654" w14:paraId="06D898C7" w14:textId="77777777" w:rsidTr="009C3C86">
        <w:trPr>
          <w:cantSplit/>
        </w:trPr>
        <w:tc>
          <w:tcPr>
            <w:tcW w:w="8068" w:type="dxa"/>
            <w:gridSpan w:val="6"/>
            <w:tcBorders>
              <w:top w:val="nil"/>
              <w:left w:val="nil"/>
              <w:bottom w:val="nil"/>
              <w:right w:val="nil"/>
            </w:tcBorders>
            <w:shd w:val="clear" w:color="auto" w:fill="FFFFFF"/>
            <w:vAlign w:val="center"/>
          </w:tcPr>
          <w:p w14:paraId="3BC81BA0" w14:textId="77777777" w:rsidR="009C3C86" w:rsidRPr="00CB0654" w:rsidRDefault="009C3C86" w:rsidP="00027769">
            <w:pPr>
              <w:rPr>
                <w:rFonts w:ascii="Arial" w:hAnsi="Arial" w:cs="Arial"/>
                <w:color w:val="010205"/>
                <w:sz w:val="28"/>
                <w:szCs w:val="28"/>
              </w:rPr>
            </w:pPr>
            <w:r w:rsidRPr="00CB0654">
              <w:rPr>
                <w:rFonts w:ascii="Arial" w:hAnsi="Arial" w:cs="Arial"/>
                <w:b/>
                <w:bCs/>
                <w:color w:val="010205"/>
                <w:sz w:val="28"/>
                <w:szCs w:val="28"/>
              </w:rPr>
              <w:t>Residuals Statistics</w:t>
            </w:r>
            <w:r w:rsidRPr="00CB0654">
              <w:rPr>
                <w:rFonts w:ascii="Arial" w:hAnsi="Arial" w:cs="Arial"/>
                <w:b/>
                <w:bCs/>
                <w:color w:val="010205"/>
                <w:sz w:val="28"/>
                <w:szCs w:val="28"/>
                <w:vertAlign w:val="superscript"/>
              </w:rPr>
              <w:t>a</w:t>
            </w:r>
          </w:p>
        </w:tc>
      </w:tr>
      <w:tr w:rsidR="009C3C86" w:rsidRPr="00CB0654" w14:paraId="6E2BE71F" w14:textId="77777777" w:rsidTr="009C3C86">
        <w:trPr>
          <w:cantSplit/>
        </w:trPr>
        <w:tc>
          <w:tcPr>
            <w:tcW w:w="2520" w:type="dxa"/>
            <w:tcBorders>
              <w:top w:val="nil"/>
              <w:left w:val="nil"/>
              <w:bottom w:val="single" w:sz="8" w:space="0" w:color="152935"/>
              <w:right w:val="nil"/>
            </w:tcBorders>
            <w:shd w:val="clear" w:color="auto" w:fill="FFFFFF"/>
            <w:vAlign w:val="bottom"/>
          </w:tcPr>
          <w:p w14:paraId="3E69C0FE" w14:textId="77777777" w:rsidR="009C3C86" w:rsidRPr="00CB0654" w:rsidRDefault="009C3C86" w:rsidP="00027769">
            <w:pPr>
              <w:rPr>
                <w:rFonts w:ascii="Times New Roman" w:hAnsi="Times New Roman" w:cs="Times New Roman"/>
                <w:sz w:val="24"/>
                <w:szCs w:val="24"/>
              </w:rPr>
            </w:pPr>
          </w:p>
        </w:tc>
        <w:tc>
          <w:tcPr>
            <w:tcW w:w="1045" w:type="dxa"/>
            <w:tcBorders>
              <w:top w:val="nil"/>
              <w:left w:val="nil"/>
              <w:bottom w:val="single" w:sz="8" w:space="0" w:color="152935"/>
              <w:right w:val="single" w:sz="8" w:space="0" w:color="E0E0E0"/>
            </w:tcBorders>
            <w:shd w:val="clear" w:color="auto" w:fill="FFFFFF"/>
            <w:vAlign w:val="bottom"/>
          </w:tcPr>
          <w:p w14:paraId="7A1D9AAD" w14:textId="77777777" w:rsidR="009C3C86" w:rsidRPr="00CB0654" w:rsidRDefault="009C3C86" w:rsidP="00027769">
            <w:pPr>
              <w:rPr>
                <w:rFonts w:ascii="Arial" w:hAnsi="Arial" w:cs="Arial"/>
                <w:color w:val="264A60"/>
                <w:sz w:val="24"/>
                <w:szCs w:val="24"/>
              </w:rPr>
            </w:pPr>
            <w:r w:rsidRPr="00CB0654">
              <w:rPr>
                <w:rFonts w:ascii="Arial" w:hAnsi="Arial" w:cs="Arial"/>
                <w:color w:val="264A60"/>
                <w:sz w:val="24"/>
                <w:szCs w:val="24"/>
              </w:rPr>
              <w:t>Minimum</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5CC3C6D9" w14:textId="77777777" w:rsidR="009C3C86" w:rsidRPr="00CB0654" w:rsidRDefault="009C3C86" w:rsidP="00027769">
            <w:pPr>
              <w:rPr>
                <w:rFonts w:ascii="Arial" w:hAnsi="Arial" w:cs="Arial"/>
                <w:color w:val="264A60"/>
                <w:sz w:val="24"/>
                <w:szCs w:val="24"/>
              </w:rPr>
            </w:pPr>
            <w:r w:rsidRPr="00CB0654">
              <w:rPr>
                <w:rFonts w:ascii="Arial" w:hAnsi="Arial" w:cs="Arial"/>
                <w:color w:val="264A60"/>
                <w:sz w:val="24"/>
                <w:szCs w:val="24"/>
              </w:rPr>
              <w:t>Maximum</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5DB0512A" w14:textId="77777777" w:rsidR="009C3C86" w:rsidRPr="00CB0654" w:rsidRDefault="009C3C86" w:rsidP="00027769">
            <w:pPr>
              <w:rPr>
                <w:rFonts w:ascii="Arial" w:hAnsi="Arial" w:cs="Arial"/>
                <w:color w:val="264A60"/>
                <w:sz w:val="24"/>
                <w:szCs w:val="24"/>
              </w:rPr>
            </w:pPr>
            <w:r w:rsidRPr="00CB0654">
              <w:rPr>
                <w:rFonts w:ascii="Arial" w:hAnsi="Arial" w:cs="Arial"/>
                <w:color w:val="264A60"/>
                <w:sz w:val="24"/>
                <w:szCs w:val="24"/>
              </w:rPr>
              <w:t>Mean</w:t>
            </w:r>
          </w:p>
        </w:tc>
        <w:tc>
          <w:tcPr>
            <w:tcW w:w="1368" w:type="dxa"/>
            <w:tcBorders>
              <w:top w:val="nil"/>
              <w:left w:val="single" w:sz="8" w:space="0" w:color="E0E0E0"/>
              <w:bottom w:val="single" w:sz="8" w:space="0" w:color="152935"/>
              <w:right w:val="single" w:sz="8" w:space="0" w:color="E0E0E0"/>
            </w:tcBorders>
            <w:shd w:val="clear" w:color="auto" w:fill="FFFFFF"/>
            <w:vAlign w:val="bottom"/>
          </w:tcPr>
          <w:p w14:paraId="5026AC65" w14:textId="77777777" w:rsidR="009C3C86" w:rsidRPr="00CB0654" w:rsidRDefault="009C3C86" w:rsidP="00027769">
            <w:pPr>
              <w:rPr>
                <w:rFonts w:ascii="Arial" w:hAnsi="Arial" w:cs="Arial"/>
                <w:color w:val="264A60"/>
                <w:sz w:val="24"/>
                <w:szCs w:val="24"/>
              </w:rPr>
            </w:pPr>
            <w:r w:rsidRPr="00CB0654">
              <w:rPr>
                <w:rFonts w:ascii="Arial" w:hAnsi="Arial" w:cs="Arial"/>
                <w:color w:val="264A60"/>
                <w:sz w:val="24"/>
                <w:szCs w:val="24"/>
              </w:rPr>
              <w:t>Std. Deviation</w:t>
            </w:r>
          </w:p>
        </w:tc>
        <w:tc>
          <w:tcPr>
            <w:tcW w:w="1045" w:type="dxa"/>
            <w:tcBorders>
              <w:top w:val="nil"/>
              <w:left w:val="single" w:sz="8" w:space="0" w:color="E0E0E0"/>
              <w:bottom w:val="single" w:sz="8" w:space="0" w:color="152935"/>
              <w:right w:val="nil"/>
            </w:tcBorders>
            <w:shd w:val="clear" w:color="auto" w:fill="FFFFFF"/>
            <w:vAlign w:val="bottom"/>
          </w:tcPr>
          <w:p w14:paraId="76B08D5C" w14:textId="77777777" w:rsidR="009C3C86" w:rsidRPr="00CB0654" w:rsidRDefault="009C3C86" w:rsidP="00027769">
            <w:pPr>
              <w:rPr>
                <w:rFonts w:ascii="Arial" w:hAnsi="Arial" w:cs="Arial"/>
                <w:color w:val="264A60"/>
                <w:sz w:val="24"/>
                <w:szCs w:val="24"/>
              </w:rPr>
            </w:pPr>
            <w:r w:rsidRPr="00CB0654">
              <w:rPr>
                <w:rFonts w:ascii="Arial" w:hAnsi="Arial" w:cs="Arial"/>
                <w:color w:val="264A60"/>
                <w:sz w:val="24"/>
                <w:szCs w:val="24"/>
              </w:rPr>
              <w:t>N</w:t>
            </w:r>
          </w:p>
        </w:tc>
      </w:tr>
      <w:tr w:rsidR="009C3C86" w:rsidRPr="00CB0654" w14:paraId="154920A9" w14:textId="77777777" w:rsidTr="009C3C86">
        <w:trPr>
          <w:cantSplit/>
        </w:trPr>
        <w:tc>
          <w:tcPr>
            <w:tcW w:w="2520" w:type="dxa"/>
            <w:tcBorders>
              <w:top w:val="single" w:sz="8" w:space="0" w:color="152935"/>
              <w:left w:val="nil"/>
              <w:bottom w:val="single" w:sz="8" w:space="0" w:color="AEAEAE"/>
              <w:right w:val="nil"/>
            </w:tcBorders>
            <w:shd w:val="clear" w:color="auto" w:fill="E0E0E0"/>
          </w:tcPr>
          <w:p w14:paraId="254E9543" w14:textId="77777777" w:rsidR="009C3C86" w:rsidRPr="00CB0654" w:rsidRDefault="009C3C86" w:rsidP="00027769">
            <w:pPr>
              <w:rPr>
                <w:rFonts w:ascii="Arial" w:hAnsi="Arial" w:cs="Arial"/>
                <w:color w:val="264A60"/>
                <w:sz w:val="24"/>
                <w:szCs w:val="24"/>
              </w:rPr>
            </w:pPr>
            <w:r w:rsidRPr="00CB0654">
              <w:rPr>
                <w:rFonts w:ascii="Arial" w:hAnsi="Arial" w:cs="Arial"/>
                <w:color w:val="264A60"/>
                <w:sz w:val="24"/>
                <w:szCs w:val="24"/>
              </w:rPr>
              <w:t>Predicted Value</w:t>
            </w:r>
          </w:p>
        </w:tc>
        <w:tc>
          <w:tcPr>
            <w:tcW w:w="1045" w:type="dxa"/>
            <w:tcBorders>
              <w:top w:val="single" w:sz="8" w:space="0" w:color="152935"/>
              <w:left w:val="nil"/>
              <w:bottom w:val="single" w:sz="8" w:space="0" w:color="AEAEAE"/>
              <w:right w:val="single" w:sz="8" w:space="0" w:color="E0E0E0"/>
            </w:tcBorders>
            <w:shd w:val="clear" w:color="auto" w:fill="F9F9FB"/>
          </w:tcPr>
          <w:p w14:paraId="52C0EEB3"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.3479</w:t>
            </w:r>
          </w:p>
        </w:tc>
        <w:tc>
          <w:tcPr>
            <w:tcW w:w="1045" w:type="dxa"/>
            <w:tcBorders>
              <w:top w:val="single" w:sz="8" w:space="0" w:color="152935"/>
              <w:left w:val="single" w:sz="8" w:space="0" w:color="E0E0E0"/>
              <w:bottom w:val="single" w:sz="8" w:space="0" w:color="AEAEAE"/>
              <w:right w:val="single" w:sz="8" w:space="0" w:color="E0E0E0"/>
            </w:tcBorders>
            <w:shd w:val="clear" w:color="auto" w:fill="F9F9FB"/>
          </w:tcPr>
          <w:p w14:paraId="4E922E2E"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1.2745</w:t>
            </w:r>
          </w:p>
        </w:tc>
        <w:tc>
          <w:tcPr>
            <w:tcW w:w="1045" w:type="dxa"/>
            <w:tcBorders>
              <w:top w:val="single" w:sz="8" w:space="0" w:color="152935"/>
              <w:left w:val="single" w:sz="8" w:space="0" w:color="E0E0E0"/>
              <w:bottom w:val="single" w:sz="8" w:space="0" w:color="AEAEAE"/>
              <w:right w:val="single" w:sz="8" w:space="0" w:color="E0E0E0"/>
            </w:tcBorders>
            <w:shd w:val="clear" w:color="auto" w:fill="F9F9FB"/>
          </w:tcPr>
          <w:p w14:paraId="59027CCA"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.8319</w:t>
            </w:r>
          </w:p>
        </w:tc>
        <w:tc>
          <w:tcPr>
            <w:tcW w:w="1368" w:type="dxa"/>
            <w:tcBorders>
              <w:top w:val="single" w:sz="8" w:space="0" w:color="152935"/>
              <w:left w:val="single" w:sz="8" w:space="0" w:color="E0E0E0"/>
              <w:bottom w:val="single" w:sz="8" w:space="0" w:color="AEAEAE"/>
              <w:right w:val="single" w:sz="8" w:space="0" w:color="E0E0E0"/>
            </w:tcBorders>
            <w:shd w:val="clear" w:color="auto" w:fill="F9F9FB"/>
          </w:tcPr>
          <w:p w14:paraId="4F7A48AB"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.22375</w:t>
            </w:r>
          </w:p>
        </w:tc>
        <w:tc>
          <w:tcPr>
            <w:tcW w:w="1045" w:type="dxa"/>
            <w:tcBorders>
              <w:top w:val="single" w:sz="8" w:space="0" w:color="152935"/>
              <w:left w:val="single" w:sz="8" w:space="0" w:color="E0E0E0"/>
              <w:bottom w:val="single" w:sz="8" w:space="0" w:color="AEAEAE"/>
              <w:right w:val="nil"/>
            </w:tcBorders>
            <w:shd w:val="clear" w:color="auto" w:fill="F9F9FB"/>
          </w:tcPr>
          <w:p w14:paraId="2142A88E"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86</w:t>
            </w:r>
          </w:p>
        </w:tc>
      </w:tr>
      <w:tr w:rsidR="009C3C86" w:rsidRPr="00CB0654" w14:paraId="0A0F2E59" w14:textId="77777777" w:rsidTr="009C3C86">
        <w:trPr>
          <w:cantSplit/>
        </w:trPr>
        <w:tc>
          <w:tcPr>
            <w:tcW w:w="2520" w:type="dxa"/>
            <w:tcBorders>
              <w:top w:val="single" w:sz="8" w:space="0" w:color="AEAEAE"/>
              <w:left w:val="nil"/>
              <w:bottom w:val="single" w:sz="8" w:space="0" w:color="AEAEAE"/>
              <w:right w:val="nil"/>
            </w:tcBorders>
            <w:shd w:val="clear" w:color="auto" w:fill="E0E0E0"/>
          </w:tcPr>
          <w:p w14:paraId="3176BB67" w14:textId="77777777" w:rsidR="009C3C86" w:rsidRPr="00CB0654" w:rsidRDefault="009C3C86" w:rsidP="00027769">
            <w:pPr>
              <w:rPr>
                <w:rFonts w:ascii="Arial" w:hAnsi="Arial" w:cs="Arial"/>
                <w:color w:val="264A60"/>
                <w:sz w:val="24"/>
                <w:szCs w:val="24"/>
              </w:rPr>
            </w:pPr>
            <w:r w:rsidRPr="00CB0654">
              <w:rPr>
                <w:rFonts w:ascii="Arial" w:hAnsi="Arial" w:cs="Arial"/>
                <w:color w:val="264A60"/>
                <w:sz w:val="24"/>
                <w:szCs w:val="24"/>
              </w:rPr>
              <w:t>Std. Predicted Value</w:t>
            </w:r>
          </w:p>
        </w:tc>
        <w:tc>
          <w:tcPr>
            <w:tcW w:w="1045" w:type="dxa"/>
            <w:tcBorders>
              <w:top w:val="single" w:sz="8" w:space="0" w:color="AEAEAE"/>
              <w:left w:val="nil"/>
              <w:bottom w:val="single" w:sz="8" w:space="0" w:color="AEAEAE"/>
              <w:right w:val="single" w:sz="8" w:space="0" w:color="E0E0E0"/>
            </w:tcBorders>
            <w:shd w:val="clear" w:color="auto" w:fill="F9F9FB"/>
          </w:tcPr>
          <w:p w14:paraId="33002740"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-2.163</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27EE8B02"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1.978</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05578D84"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.000</w:t>
            </w:r>
          </w:p>
        </w:tc>
        <w:tc>
          <w:tcPr>
            <w:tcW w:w="1368" w:type="dxa"/>
            <w:tcBorders>
              <w:top w:val="single" w:sz="8" w:space="0" w:color="AEAEAE"/>
              <w:left w:val="single" w:sz="8" w:space="0" w:color="E0E0E0"/>
              <w:bottom w:val="single" w:sz="8" w:space="0" w:color="AEAEAE"/>
              <w:right w:val="single" w:sz="8" w:space="0" w:color="E0E0E0"/>
            </w:tcBorders>
            <w:shd w:val="clear" w:color="auto" w:fill="F9F9FB"/>
          </w:tcPr>
          <w:p w14:paraId="0ADCC6DD"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1.000</w:t>
            </w:r>
          </w:p>
        </w:tc>
        <w:tc>
          <w:tcPr>
            <w:tcW w:w="1045" w:type="dxa"/>
            <w:tcBorders>
              <w:top w:val="single" w:sz="8" w:space="0" w:color="AEAEAE"/>
              <w:left w:val="single" w:sz="8" w:space="0" w:color="E0E0E0"/>
              <w:bottom w:val="single" w:sz="8" w:space="0" w:color="AEAEAE"/>
              <w:right w:val="nil"/>
            </w:tcBorders>
            <w:shd w:val="clear" w:color="auto" w:fill="F9F9FB"/>
          </w:tcPr>
          <w:p w14:paraId="52C5D1D1"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86</w:t>
            </w:r>
          </w:p>
        </w:tc>
      </w:tr>
      <w:tr w:rsidR="009C3C86" w:rsidRPr="00CB0654" w14:paraId="0D743B57" w14:textId="77777777" w:rsidTr="009C3C86">
        <w:trPr>
          <w:cantSplit/>
        </w:trPr>
        <w:tc>
          <w:tcPr>
            <w:tcW w:w="2520" w:type="dxa"/>
            <w:tcBorders>
              <w:top w:val="single" w:sz="8" w:space="0" w:color="AEAEAE"/>
              <w:left w:val="nil"/>
              <w:bottom w:val="single" w:sz="8" w:space="0" w:color="AEAEAE"/>
              <w:right w:val="nil"/>
            </w:tcBorders>
            <w:shd w:val="clear" w:color="auto" w:fill="E0E0E0"/>
          </w:tcPr>
          <w:p w14:paraId="0371C3A2" w14:textId="77777777" w:rsidR="009C3C86" w:rsidRPr="00CB0654" w:rsidRDefault="009C3C86" w:rsidP="00027769">
            <w:pPr>
              <w:rPr>
                <w:rFonts w:ascii="Arial" w:hAnsi="Arial" w:cs="Arial"/>
                <w:color w:val="264A60"/>
                <w:sz w:val="24"/>
                <w:szCs w:val="24"/>
              </w:rPr>
            </w:pPr>
            <w:r w:rsidRPr="00CB0654">
              <w:rPr>
                <w:rFonts w:ascii="Arial" w:hAnsi="Arial" w:cs="Arial"/>
                <w:color w:val="264A60"/>
                <w:sz w:val="24"/>
                <w:szCs w:val="24"/>
              </w:rPr>
              <w:t>Standard Error of Predicted Value</w:t>
            </w:r>
          </w:p>
        </w:tc>
        <w:tc>
          <w:tcPr>
            <w:tcW w:w="1045" w:type="dxa"/>
            <w:tcBorders>
              <w:top w:val="single" w:sz="8" w:space="0" w:color="AEAEAE"/>
              <w:left w:val="nil"/>
              <w:bottom w:val="single" w:sz="8" w:space="0" w:color="AEAEAE"/>
              <w:right w:val="single" w:sz="8" w:space="0" w:color="E0E0E0"/>
            </w:tcBorders>
            <w:shd w:val="clear" w:color="auto" w:fill="F9F9FB"/>
          </w:tcPr>
          <w:p w14:paraId="3E6AD347"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.103</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233811D4"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.286</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3910ACFC"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.163</w:t>
            </w:r>
          </w:p>
        </w:tc>
        <w:tc>
          <w:tcPr>
            <w:tcW w:w="1368" w:type="dxa"/>
            <w:tcBorders>
              <w:top w:val="single" w:sz="8" w:space="0" w:color="AEAEAE"/>
              <w:left w:val="single" w:sz="8" w:space="0" w:color="E0E0E0"/>
              <w:bottom w:val="single" w:sz="8" w:space="0" w:color="AEAEAE"/>
              <w:right w:val="single" w:sz="8" w:space="0" w:color="E0E0E0"/>
            </w:tcBorders>
            <w:shd w:val="clear" w:color="auto" w:fill="F9F9FB"/>
          </w:tcPr>
          <w:p w14:paraId="4FC91783"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.038</w:t>
            </w:r>
          </w:p>
        </w:tc>
        <w:tc>
          <w:tcPr>
            <w:tcW w:w="1045" w:type="dxa"/>
            <w:tcBorders>
              <w:top w:val="single" w:sz="8" w:space="0" w:color="AEAEAE"/>
              <w:left w:val="single" w:sz="8" w:space="0" w:color="E0E0E0"/>
              <w:bottom w:val="single" w:sz="8" w:space="0" w:color="AEAEAE"/>
              <w:right w:val="nil"/>
            </w:tcBorders>
            <w:shd w:val="clear" w:color="auto" w:fill="F9F9FB"/>
          </w:tcPr>
          <w:p w14:paraId="7097DFDE"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86</w:t>
            </w:r>
          </w:p>
        </w:tc>
      </w:tr>
      <w:tr w:rsidR="009C3C86" w:rsidRPr="00CB0654" w14:paraId="366C8A22" w14:textId="77777777" w:rsidTr="009C3C86">
        <w:trPr>
          <w:cantSplit/>
        </w:trPr>
        <w:tc>
          <w:tcPr>
            <w:tcW w:w="2520" w:type="dxa"/>
            <w:tcBorders>
              <w:top w:val="single" w:sz="8" w:space="0" w:color="AEAEAE"/>
              <w:left w:val="nil"/>
              <w:bottom w:val="single" w:sz="8" w:space="0" w:color="AEAEAE"/>
              <w:right w:val="nil"/>
            </w:tcBorders>
            <w:shd w:val="clear" w:color="auto" w:fill="E0E0E0"/>
          </w:tcPr>
          <w:p w14:paraId="3F153D77" w14:textId="77777777" w:rsidR="009C3C86" w:rsidRPr="00CB0654" w:rsidRDefault="009C3C86" w:rsidP="00027769">
            <w:pPr>
              <w:rPr>
                <w:rFonts w:ascii="Arial" w:hAnsi="Arial" w:cs="Arial"/>
                <w:color w:val="264A60"/>
                <w:sz w:val="24"/>
                <w:szCs w:val="24"/>
              </w:rPr>
            </w:pPr>
            <w:r w:rsidRPr="00CB0654">
              <w:rPr>
                <w:rFonts w:ascii="Arial" w:hAnsi="Arial" w:cs="Arial"/>
                <w:color w:val="264A60"/>
                <w:sz w:val="24"/>
                <w:szCs w:val="24"/>
              </w:rPr>
              <w:t>Adjusted Predicted Value</w:t>
            </w:r>
          </w:p>
        </w:tc>
        <w:tc>
          <w:tcPr>
            <w:tcW w:w="1045" w:type="dxa"/>
            <w:tcBorders>
              <w:top w:val="single" w:sz="8" w:space="0" w:color="AEAEAE"/>
              <w:left w:val="nil"/>
              <w:bottom w:val="single" w:sz="8" w:space="0" w:color="AEAEAE"/>
              <w:right w:val="single" w:sz="8" w:space="0" w:color="E0E0E0"/>
            </w:tcBorders>
            <w:shd w:val="clear" w:color="auto" w:fill="F9F9FB"/>
          </w:tcPr>
          <w:p w14:paraId="2CE3D54C"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.2457</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3B7AA0FF"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1.2815</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6A7F2F0D"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.8301</w:t>
            </w:r>
          </w:p>
        </w:tc>
        <w:tc>
          <w:tcPr>
            <w:tcW w:w="1368" w:type="dxa"/>
            <w:tcBorders>
              <w:top w:val="single" w:sz="8" w:space="0" w:color="AEAEAE"/>
              <w:left w:val="single" w:sz="8" w:space="0" w:color="E0E0E0"/>
              <w:bottom w:val="single" w:sz="8" w:space="0" w:color="AEAEAE"/>
              <w:right w:val="single" w:sz="8" w:space="0" w:color="E0E0E0"/>
            </w:tcBorders>
            <w:shd w:val="clear" w:color="auto" w:fill="F9F9FB"/>
          </w:tcPr>
          <w:p w14:paraId="2C3CEC73"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.23059</w:t>
            </w:r>
          </w:p>
        </w:tc>
        <w:tc>
          <w:tcPr>
            <w:tcW w:w="1045" w:type="dxa"/>
            <w:tcBorders>
              <w:top w:val="single" w:sz="8" w:space="0" w:color="AEAEAE"/>
              <w:left w:val="single" w:sz="8" w:space="0" w:color="E0E0E0"/>
              <w:bottom w:val="single" w:sz="8" w:space="0" w:color="AEAEAE"/>
              <w:right w:val="nil"/>
            </w:tcBorders>
            <w:shd w:val="clear" w:color="auto" w:fill="F9F9FB"/>
          </w:tcPr>
          <w:p w14:paraId="3847D2BE"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86</w:t>
            </w:r>
          </w:p>
        </w:tc>
      </w:tr>
      <w:tr w:rsidR="009C3C86" w:rsidRPr="00CB0654" w14:paraId="62133720" w14:textId="77777777" w:rsidTr="009C3C86">
        <w:trPr>
          <w:cantSplit/>
        </w:trPr>
        <w:tc>
          <w:tcPr>
            <w:tcW w:w="2520" w:type="dxa"/>
            <w:tcBorders>
              <w:top w:val="single" w:sz="8" w:space="0" w:color="AEAEAE"/>
              <w:left w:val="nil"/>
              <w:bottom w:val="single" w:sz="8" w:space="0" w:color="AEAEAE"/>
              <w:right w:val="nil"/>
            </w:tcBorders>
            <w:shd w:val="clear" w:color="auto" w:fill="E0E0E0"/>
          </w:tcPr>
          <w:p w14:paraId="7CFBFC49" w14:textId="77777777" w:rsidR="009C3C86" w:rsidRPr="00CB0654" w:rsidRDefault="009C3C86" w:rsidP="00027769">
            <w:pPr>
              <w:rPr>
                <w:rFonts w:ascii="Arial" w:hAnsi="Arial" w:cs="Arial"/>
                <w:color w:val="264A60"/>
                <w:sz w:val="24"/>
                <w:szCs w:val="24"/>
              </w:rPr>
            </w:pPr>
            <w:r w:rsidRPr="00CB0654">
              <w:rPr>
                <w:rFonts w:ascii="Arial" w:hAnsi="Arial" w:cs="Arial"/>
                <w:color w:val="264A60"/>
                <w:sz w:val="24"/>
                <w:szCs w:val="24"/>
              </w:rPr>
              <w:t>Residual</w:t>
            </w:r>
          </w:p>
        </w:tc>
        <w:tc>
          <w:tcPr>
            <w:tcW w:w="1045" w:type="dxa"/>
            <w:tcBorders>
              <w:top w:val="single" w:sz="8" w:space="0" w:color="AEAEAE"/>
              <w:left w:val="nil"/>
              <w:bottom w:val="single" w:sz="8" w:space="0" w:color="AEAEAE"/>
              <w:right w:val="single" w:sz="8" w:space="0" w:color="E0E0E0"/>
            </w:tcBorders>
            <w:shd w:val="clear" w:color="auto" w:fill="F9F9FB"/>
          </w:tcPr>
          <w:p w14:paraId="6A0A76BA"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-.86496</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2E79A14D"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1.81490</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0B2DD7C0"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.00000</w:t>
            </w:r>
          </w:p>
        </w:tc>
        <w:tc>
          <w:tcPr>
            <w:tcW w:w="1368" w:type="dxa"/>
            <w:tcBorders>
              <w:top w:val="single" w:sz="8" w:space="0" w:color="AEAEAE"/>
              <w:left w:val="single" w:sz="8" w:space="0" w:color="E0E0E0"/>
              <w:bottom w:val="single" w:sz="8" w:space="0" w:color="AEAEAE"/>
              <w:right w:val="single" w:sz="8" w:space="0" w:color="E0E0E0"/>
            </w:tcBorders>
            <w:shd w:val="clear" w:color="auto" w:fill="F9F9FB"/>
          </w:tcPr>
          <w:p w14:paraId="78BA8CE1"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.61376</w:t>
            </w:r>
          </w:p>
        </w:tc>
        <w:tc>
          <w:tcPr>
            <w:tcW w:w="1045" w:type="dxa"/>
            <w:tcBorders>
              <w:top w:val="single" w:sz="8" w:space="0" w:color="AEAEAE"/>
              <w:left w:val="single" w:sz="8" w:space="0" w:color="E0E0E0"/>
              <w:bottom w:val="single" w:sz="8" w:space="0" w:color="AEAEAE"/>
              <w:right w:val="nil"/>
            </w:tcBorders>
            <w:shd w:val="clear" w:color="auto" w:fill="F9F9FB"/>
          </w:tcPr>
          <w:p w14:paraId="27BB936B"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86</w:t>
            </w:r>
          </w:p>
        </w:tc>
      </w:tr>
      <w:tr w:rsidR="009C3C86" w:rsidRPr="00CB0654" w14:paraId="2314DE7C" w14:textId="77777777" w:rsidTr="009C3C86">
        <w:trPr>
          <w:cantSplit/>
        </w:trPr>
        <w:tc>
          <w:tcPr>
            <w:tcW w:w="2520" w:type="dxa"/>
            <w:tcBorders>
              <w:top w:val="single" w:sz="8" w:space="0" w:color="AEAEAE"/>
              <w:left w:val="nil"/>
              <w:bottom w:val="single" w:sz="8" w:space="0" w:color="AEAEAE"/>
              <w:right w:val="nil"/>
            </w:tcBorders>
            <w:shd w:val="clear" w:color="auto" w:fill="E0E0E0"/>
          </w:tcPr>
          <w:p w14:paraId="1636BCDD" w14:textId="77777777" w:rsidR="009C3C86" w:rsidRPr="00CB0654" w:rsidRDefault="009C3C86" w:rsidP="00027769">
            <w:pPr>
              <w:rPr>
                <w:rFonts w:ascii="Arial" w:hAnsi="Arial" w:cs="Arial"/>
                <w:color w:val="264A60"/>
                <w:sz w:val="24"/>
                <w:szCs w:val="24"/>
              </w:rPr>
            </w:pPr>
            <w:r w:rsidRPr="00CB0654">
              <w:rPr>
                <w:rFonts w:ascii="Arial" w:hAnsi="Arial" w:cs="Arial"/>
                <w:color w:val="264A60"/>
                <w:sz w:val="24"/>
                <w:szCs w:val="24"/>
              </w:rPr>
              <w:t>Std. Residual</w:t>
            </w:r>
          </w:p>
        </w:tc>
        <w:tc>
          <w:tcPr>
            <w:tcW w:w="1045" w:type="dxa"/>
            <w:tcBorders>
              <w:top w:val="single" w:sz="8" w:space="0" w:color="AEAEAE"/>
              <w:left w:val="nil"/>
              <w:bottom w:val="single" w:sz="8" w:space="0" w:color="AEAEAE"/>
              <w:right w:val="single" w:sz="8" w:space="0" w:color="E0E0E0"/>
            </w:tcBorders>
            <w:shd w:val="clear" w:color="auto" w:fill="F9F9FB"/>
          </w:tcPr>
          <w:p w14:paraId="4CF835E3"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-1.367</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693829DE"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2.869</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2AAB12C6"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.000</w:t>
            </w:r>
          </w:p>
        </w:tc>
        <w:tc>
          <w:tcPr>
            <w:tcW w:w="1368" w:type="dxa"/>
            <w:tcBorders>
              <w:top w:val="single" w:sz="8" w:space="0" w:color="AEAEAE"/>
              <w:left w:val="single" w:sz="8" w:space="0" w:color="E0E0E0"/>
              <w:bottom w:val="single" w:sz="8" w:space="0" w:color="AEAEAE"/>
              <w:right w:val="single" w:sz="8" w:space="0" w:color="E0E0E0"/>
            </w:tcBorders>
            <w:shd w:val="clear" w:color="auto" w:fill="F9F9FB"/>
          </w:tcPr>
          <w:p w14:paraId="7FFC09B2"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.970</w:t>
            </w:r>
          </w:p>
        </w:tc>
        <w:tc>
          <w:tcPr>
            <w:tcW w:w="1045" w:type="dxa"/>
            <w:tcBorders>
              <w:top w:val="single" w:sz="8" w:space="0" w:color="AEAEAE"/>
              <w:left w:val="single" w:sz="8" w:space="0" w:color="E0E0E0"/>
              <w:bottom w:val="single" w:sz="8" w:space="0" w:color="AEAEAE"/>
              <w:right w:val="nil"/>
            </w:tcBorders>
            <w:shd w:val="clear" w:color="auto" w:fill="F9F9FB"/>
          </w:tcPr>
          <w:p w14:paraId="030CF4B8"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86</w:t>
            </w:r>
          </w:p>
        </w:tc>
      </w:tr>
      <w:tr w:rsidR="009C3C86" w:rsidRPr="00CB0654" w14:paraId="0630C53F" w14:textId="77777777" w:rsidTr="009C3C86">
        <w:trPr>
          <w:cantSplit/>
        </w:trPr>
        <w:tc>
          <w:tcPr>
            <w:tcW w:w="2520" w:type="dxa"/>
            <w:tcBorders>
              <w:top w:val="single" w:sz="8" w:space="0" w:color="AEAEAE"/>
              <w:left w:val="nil"/>
              <w:bottom w:val="single" w:sz="8" w:space="0" w:color="AEAEAE"/>
              <w:right w:val="nil"/>
            </w:tcBorders>
            <w:shd w:val="clear" w:color="auto" w:fill="E0E0E0"/>
          </w:tcPr>
          <w:p w14:paraId="72A7F1E5" w14:textId="77777777" w:rsidR="009C3C86" w:rsidRPr="00CB0654" w:rsidRDefault="009C3C86" w:rsidP="00027769">
            <w:pPr>
              <w:rPr>
                <w:rFonts w:ascii="Arial" w:hAnsi="Arial" w:cs="Arial"/>
                <w:color w:val="264A60"/>
                <w:sz w:val="24"/>
                <w:szCs w:val="24"/>
              </w:rPr>
            </w:pPr>
            <w:r w:rsidRPr="00CB0654">
              <w:rPr>
                <w:rFonts w:ascii="Arial" w:hAnsi="Arial" w:cs="Arial"/>
                <w:color w:val="264A60"/>
                <w:sz w:val="24"/>
                <w:szCs w:val="24"/>
              </w:rPr>
              <w:t>Stud. Residual</w:t>
            </w:r>
          </w:p>
        </w:tc>
        <w:tc>
          <w:tcPr>
            <w:tcW w:w="1045" w:type="dxa"/>
            <w:tcBorders>
              <w:top w:val="single" w:sz="8" w:space="0" w:color="AEAEAE"/>
              <w:left w:val="nil"/>
              <w:bottom w:val="single" w:sz="8" w:space="0" w:color="AEAEAE"/>
              <w:right w:val="single" w:sz="8" w:space="0" w:color="E0E0E0"/>
            </w:tcBorders>
            <w:shd w:val="clear" w:color="auto" w:fill="F9F9FB"/>
          </w:tcPr>
          <w:p w14:paraId="2FF7CD89"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-1.417</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5094D79C"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2.994</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79206983"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.001</w:t>
            </w:r>
          </w:p>
        </w:tc>
        <w:tc>
          <w:tcPr>
            <w:tcW w:w="1368" w:type="dxa"/>
            <w:tcBorders>
              <w:top w:val="single" w:sz="8" w:space="0" w:color="AEAEAE"/>
              <w:left w:val="single" w:sz="8" w:space="0" w:color="E0E0E0"/>
              <w:bottom w:val="single" w:sz="8" w:space="0" w:color="AEAEAE"/>
              <w:right w:val="single" w:sz="8" w:space="0" w:color="E0E0E0"/>
            </w:tcBorders>
            <w:shd w:val="clear" w:color="auto" w:fill="F9F9FB"/>
          </w:tcPr>
          <w:p w14:paraId="6B7CD1BB"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1.007</w:t>
            </w:r>
          </w:p>
        </w:tc>
        <w:tc>
          <w:tcPr>
            <w:tcW w:w="1045" w:type="dxa"/>
            <w:tcBorders>
              <w:top w:val="single" w:sz="8" w:space="0" w:color="AEAEAE"/>
              <w:left w:val="single" w:sz="8" w:space="0" w:color="E0E0E0"/>
              <w:bottom w:val="single" w:sz="8" w:space="0" w:color="AEAEAE"/>
              <w:right w:val="nil"/>
            </w:tcBorders>
            <w:shd w:val="clear" w:color="auto" w:fill="F9F9FB"/>
          </w:tcPr>
          <w:p w14:paraId="2E86D89D"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86</w:t>
            </w:r>
          </w:p>
        </w:tc>
      </w:tr>
      <w:tr w:rsidR="009C3C86" w:rsidRPr="00CB0654" w14:paraId="5B1A87D1" w14:textId="77777777" w:rsidTr="009C3C86">
        <w:trPr>
          <w:cantSplit/>
        </w:trPr>
        <w:tc>
          <w:tcPr>
            <w:tcW w:w="2520" w:type="dxa"/>
            <w:tcBorders>
              <w:top w:val="single" w:sz="8" w:space="0" w:color="AEAEAE"/>
              <w:left w:val="nil"/>
              <w:bottom w:val="single" w:sz="8" w:space="0" w:color="AEAEAE"/>
              <w:right w:val="nil"/>
            </w:tcBorders>
            <w:shd w:val="clear" w:color="auto" w:fill="E0E0E0"/>
          </w:tcPr>
          <w:p w14:paraId="180BBCEF" w14:textId="77777777" w:rsidR="009C3C86" w:rsidRPr="00CB0654" w:rsidRDefault="009C3C86" w:rsidP="00027769">
            <w:pPr>
              <w:rPr>
                <w:rFonts w:ascii="Arial" w:hAnsi="Arial" w:cs="Arial"/>
                <w:color w:val="264A60"/>
                <w:sz w:val="24"/>
                <w:szCs w:val="24"/>
              </w:rPr>
            </w:pPr>
            <w:r w:rsidRPr="00CB0654">
              <w:rPr>
                <w:rFonts w:ascii="Arial" w:hAnsi="Arial" w:cs="Arial"/>
                <w:color w:val="264A60"/>
                <w:sz w:val="24"/>
                <w:szCs w:val="24"/>
              </w:rPr>
              <w:lastRenderedPageBreak/>
              <w:t>Deleted Residual</w:t>
            </w:r>
          </w:p>
        </w:tc>
        <w:tc>
          <w:tcPr>
            <w:tcW w:w="1045" w:type="dxa"/>
            <w:tcBorders>
              <w:top w:val="single" w:sz="8" w:space="0" w:color="AEAEAE"/>
              <w:left w:val="nil"/>
              <w:bottom w:val="single" w:sz="8" w:space="0" w:color="AEAEAE"/>
              <w:right w:val="single" w:sz="8" w:space="0" w:color="E0E0E0"/>
            </w:tcBorders>
            <w:shd w:val="clear" w:color="auto" w:fill="F9F9FB"/>
          </w:tcPr>
          <w:p w14:paraId="155BD566"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-.92906</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7F1662D9"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1.97726</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18DB12E6"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.00176</w:t>
            </w:r>
          </w:p>
        </w:tc>
        <w:tc>
          <w:tcPr>
            <w:tcW w:w="1368" w:type="dxa"/>
            <w:tcBorders>
              <w:top w:val="single" w:sz="8" w:space="0" w:color="AEAEAE"/>
              <w:left w:val="single" w:sz="8" w:space="0" w:color="E0E0E0"/>
              <w:bottom w:val="single" w:sz="8" w:space="0" w:color="AEAEAE"/>
              <w:right w:val="single" w:sz="8" w:space="0" w:color="E0E0E0"/>
            </w:tcBorders>
            <w:shd w:val="clear" w:color="auto" w:fill="F9F9FB"/>
          </w:tcPr>
          <w:p w14:paraId="2770C2F8"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.66118</w:t>
            </w:r>
          </w:p>
        </w:tc>
        <w:tc>
          <w:tcPr>
            <w:tcW w:w="1045" w:type="dxa"/>
            <w:tcBorders>
              <w:top w:val="single" w:sz="8" w:space="0" w:color="AEAEAE"/>
              <w:left w:val="single" w:sz="8" w:space="0" w:color="E0E0E0"/>
              <w:bottom w:val="single" w:sz="8" w:space="0" w:color="AEAEAE"/>
              <w:right w:val="nil"/>
            </w:tcBorders>
            <w:shd w:val="clear" w:color="auto" w:fill="F9F9FB"/>
          </w:tcPr>
          <w:p w14:paraId="2BF46D86"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86</w:t>
            </w:r>
          </w:p>
        </w:tc>
      </w:tr>
      <w:tr w:rsidR="009C3C86" w:rsidRPr="00CB0654" w14:paraId="3EB3C9C0" w14:textId="77777777" w:rsidTr="009C3C86">
        <w:trPr>
          <w:cantSplit/>
        </w:trPr>
        <w:tc>
          <w:tcPr>
            <w:tcW w:w="2520" w:type="dxa"/>
            <w:tcBorders>
              <w:top w:val="single" w:sz="8" w:space="0" w:color="AEAEAE"/>
              <w:left w:val="nil"/>
              <w:bottom w:val="single" w:sz="8" w:space="0" w:color="AEAEAE"/>
              <w:right w:val="nil"/>
            </w:tcBorders>
            <w:shd w:val="clear" w:color="auto" w:fill="E0E0E0"/>
          </w:tcPr>
          <w:p w14:paraId="23D94A79" w14:textId="77777777" w:rsidR="009C3C86" w:rsidRPr="00CB0654" w:rsidRDefault="009C3C86" w:rsidP="00027769">
            <w:pPr>
              <w:rPr>
                <w:rFonts w:ascii="Arial" w:hAnsi="Arial" w:cs="Arial"/>
                <w:color w:val="264A60"/>
                <w:sz w:val="24"/>
                <w:szCs w:val="24"/>
              </w:rPr>
            </w:pPr>
            <w:r w:rsidRPr="00CB0654">
              <w:rPr>
                <w:rFonts w:ascii="Arial" w:hAnsi="Arial" w:cs="Arial"/>
                <w:color w:val="264A60"/>
                <w:sz w:val="24"/>
                <w:szCs w:val="24"/>
              </w:rPr>
              <w:t>Stud. Deleted Residual</w:t>
            </w:r>
          </w:p>
        </w:tc>
        <w:tc>
          <w:tcPr>
            <w:tcW w:w="1045" w:type="dxa"/>
            <w:tcBorders>
              <w:top w:val="single" w:sz="8" w:space="0" w:color="AEAEAE"/>
              <w:left w:val="nil"/>
              <w:bottom w:val="single" w:sz="8" w:space="0" w:color="AEAEAE"/>
              <w:right w:val="single" w:sz="8" w:space="0" w:color="E0E0E0"/>
            </w:tcBorders>
            <w:shd w:val="clear" w:color="auto" w:fill="F9F9FB"/>
          </w:tcPr>
          <w:p w14:paraId="620ACCDC"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-1.426</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53620A02"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3.158</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7326D2C1"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.007</w:t>
            </w:r>
          </w:p>
        </w:tc>
        <w:tc>
          <w:tcPr>
            <w:tcW w:w="1368" w:type="dxa"/>
            <w:tcBorders>
              <w:top w:val="single" w:sz="8" w:space="0" w:color="AEAEAE"/>
              <w:left w:val="single" w:sz="8" w:space="0" w:color="E0E0E0"/>
              <w:bottom w:val="single" w:sz="8" w:space="0" w:color="AEAEAE"/>
              <w:right w:val="single" w:sz="8" w:space="0" w:color="E0E0E0"/>
            </w:tcBorders>
            <w:shd w:val="clear" w:color="auto" w:fill="F9F9FB"/>
          </w:tcPr>
          <w:p w14:paraId="337022C3"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1.021</w:t>
            </w:r>
          </w:p>
        </w:tc>
        <w:tc>
          <w:tcPr>
            <w:tcW w:w="1045" w:type="dxa"/>
            <w:tcBorders>
              <w:top w:val="single" w:sz="8" w:space="0" w:color="AEAEAE"/>
              <w:left w:val="single" w:sz="8" w:space="0" w:color="E0E0E0"/>
              <w:bottom w:val="single" w:sz="8" w:space="0" w:color="AEAEAE"/>
              <w:right w:val="nil"/>
            </w:tcBorders>
            <w:shd w:val="clear" w:color="auto" w:fill="F9F9FB"/>
          </w:tcPr>
          <w:p w14:paraId="6FF25500"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86</w:t>
            </w:r>
          </w:p>
        </w:tc>
      </w:tr>
      <w:tr w:rsidR="009C3C86" w:rsidRPr="00CB0654" w14:paraId="1F2FC60D" w14:textId="77777777" w:rsidTr="009C3C86">
        <w:trPr>
          <w:cantSplit/>
        </w:trPr>
        <w:tc>
          <w:tcPr>
            <w:tcW w:w="2520" w:type="dxa"/>
            <w:tcBorders>
              <w:top w:val="single" w:sz="8" w:space="0" w:color="AEAEAE"/>
              <w:left w:val="nil"/>
              <w:bottom w:val="single" w:sz="8" w:space="0" w:color="AEAEAE"/>
              <w:right w:val="nil"/>
            </w:tcBorders>
            <w:shd w:val="clear" w:color="auto" w:fill="E0E0E0"/>
          </w:tcPr>
          <w:p w14:paraId="124FA232" w14:textId="77777777" w:rsidR="009C3C86" w:rsidRPr="00CB0654" w:rsidRDefault="009C3C86" w:rsidP="00027769">
            <w:pPr>
              <w:rPr>
                <w:rFonts w:ascii="Arial" w:hAnsi="Arial" w:cs="Arial"/>
                <w:color w:val="264A60"/>
                <w:sz w:val="24"/>
                <w:szCs w:val="24"/>
              </w:rPr>
            </w:pPr>
            <w:r w:rsidRPr="00CB0654">
              <w:rPr>
                <w:rFonts w:ascii="Arial" w:hAnsi="Arial" w:cs="Arial"/>
                <w:color w:val="264A60"/>
                <w:sz w:val="24"/>
                <w:szCs w:val="24"/>
              </w:rPr>
              <w:t>Mahal. Distance</w:t>
            </w:r>
          </w:p>
        </w:tc>
        <w:tc>
          <w:tcPr>
            <w:tcW w:w="1045" w:type="dxa"/>
            <w:tcBorders>
              <w:top w:val="single" w:sz="8" w:space="0" w:color="AEAEAE"/>
              <w:left w:val="nil"/>
              <w:bottom w:val="single" w:sz="8" w:space="0" w:color="AEAEAE"/>
              <w:right w:val="single" w:sz="8" w:space="0" w:color="E0E0E0"/>
            </w:tcBorders>
            <w:shd w:val="clear" w:color="auto" w:fill="F9F9FB"/>
          </w:tcPr>
          <w:p w14:paraId="140E0AAB"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1.249</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79BC05EE"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16.436</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3D3C6410"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4.942</w:t>
            </w:r>
          </w:p>
        </w:tc>
        <w:tc>
          <w:tcPr>
            <w:tcW w:w="1368" w:type="dxa"/>
            <w:tcBorders>
              <w:top w:val="single" w:sz="8" w:space="0" w:color="AEAEAE"/>
              <w:left w:val="single" w:sz="8" w:space="0" w:color="E0E0E0"/>
              <w:bottom w:val="single" w:sz="8" w:space="0" w:color="AEAEAE"/>
              <w:right w:val="single" w:sz="8" w:space="0" w:color="E0E0E0"/>
            </w:tcBorders>
            <w:shd w:val="clear" w:color="auto" w:fill="F9F9FB"/>
          </w:tcPr>
          <w:p w14:paraId="50D7832B"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2.937</w:t>
            </w:r>
          </w:p>
        </w:tc>
        <w:tc>
          <w:tcPr>
            <w:tcW w:w="1045" w:type="dxa"/>
            <w:tcBorders>
              <w:top w:val="single" w:sz="8" w:space="0" w:color="AEAEAE"/>
              <w:left w:val="single" w:sz="8" w:space="0" w:color="E0E0E0"/>
              <w:bottom w:val="single" w:sz="8" w:space="0" w:color="AEAEAE"/>
              <w:right w:val="nil"/>
            </w:tcBorders>
            <w:shd w:val="clear" w:color="auto" w:fill="F9F9FB"/>
          </w:tcPr>
          <w:p w14:paraId="76CFDBCA"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86</w:t>
            </w:r>
          </w:p>
        </w:tc>
      </w:tr>
      <w:tr w:rsidR="009C3C86" w:rsidRPr="00CB0654" w14:paraId="72377090" w14:textId="77777777" w:rsidTr="009C3C86">
        <w:trPr>
          <w:cantSplit/>
        </w:trPr>
        <w:tc>
          <w:tcPr>
            <w:tcW w:w="2520" w:type="dxa"/>
            <w:tcBorders>
              <w:top w:val="single" w:sz="8" w:space="0" w:color="AEAEAE"/>
              <w:left w:val="nil"/>
              <w:bottom w:val="single" w:sz="8" w:space="0" w:color="AEAEAE"/>
              <w:right w:val="nil"/>
            </w:tcBorders>
            <w:shd w:val="clear" w:color="auto" w:fill="E0E0E0"/>
          </w:tcPr>
          <w:p w14:paraId="06CDA955" w14:textId="77777777" w:rsidR="009C3C86" w:rsidRPr="00CB0654" w:rsidRDefault="009C3C86" w:rsidP="00027769">
            <w:pPr>
              <w:rPr>
                <w:rFonts w:ascii="Arial" w:hAnsi="Arial" w:cs="Arial"/>
                <w:color w:val="264A60"/>
                <w:sz w:val="24"/>
                <w:szCs w:val="24"/>
              </w:rPr>
            </w:pPr>
            <w:r w:rsidRPr="00CB0654">
              <w:rPr>
                <w:rFonts w:ascii="Arial" w:hAnsi="Arial" w:cs="Arial"/>
                <w:color w:val="264A60"/>
                <w:sz w:val="24"/>
                <w:szCs w:val="24"/>
              </w:rPr>
              <w:t>Cook's Distance</w:t>
            </w:r>
          </w:p>
        </w:tc>
        <w:tc>
          <w:tcPr>
            <w:tcW w:w="1045" w:type="dxa"/>
            <w:tcBorders>
              <w:top w:val="single" w:sz="8" w:space="0" w:color="AEAEAE"/>
              <w:left w:val="nil"/>
              <w:bottom w:val="single" w:sz="8" w:space="0" w:color="AEAEAE"/>
              <w:right w:val="single" w:sz="8" w:space="0" w:color="E0E0E0"/>
            </w:tcBorders>
            <w:shd w:val="clear" w:color="auto" w:fill="F9F9FB"/>
          </w:tcPr>
          <w:p w14:paraId="1AE5D5BB"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.000</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7E453515"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.134</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401251C7"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.013</w:t>
            </w:r>
          </w:p>
        </w:tc>
        <w:tc>
          <w:tcPr>
            <w:tcW w:w="1368" w:type="dxa"/>
            <w:tcBorders>
              <w:top w:val="single" w:sz="8" w:space="0" w:color="AEAEAE"/>
              <w:left w:val="single" w:sz="8" w:space="0" w:color="E0E0E0"/>
              <w:bottom w:val="single" w:sz="8" w:space="0" w:color="AEAEAE"/>
              <w:right w:val="single" w:sz="8" w:space="0" w:color="E0E0E0"/>
            </w:tcBorders>
            <w:shd w:val="clear" w:color="auto" w:fill="F9F9FB"/>
          </w:tcPr>
          <w:p w14:paraId="19D80F8B"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.022</w:t>
            </w:r>
          </w:p>
        </w:tc>
        <w:tc>
          <w:tcPr>
            <w:tcW w:w="1045" w:type="dxa"/>
            <w:tcBorders>
              <w:top w:val="single" w:sz="8" w:space="0" w:color="AEAEAE"/>
              <w:left w:val="single" w:sz="8" w:space="0" w:color="E0E0E0"/>
              <w:bottom w:val="single" w:sz="8" w:space="0" w:color="AEAEAE"/>
              <w:right w:val="nil"/>
            </w:tcBorders>
            <w:shd w:val="clear" w:color="auto" w:fill="F9F9FB"/>
          </w:tcPr>
          <w:p w14:paraId="10D90F95"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86</w:t>
            </w:r>
          </w:p>
        </w:tc>
      </w:tr>
      <w:tr w:rsidR="009C3C86" w:rsidRPr="00CB0654" w14:paraId="2F5659A4" w14:textId="77777777" w:rsidTr="009C3C86">
        <w:trPr>
          <w:cantSplit/>
        </w:trPr>
        <w:tc>
          <w:tcPr>
            <w:tcW w:w="2520" w:type="dxa"/>
            <w:tcBorders>
              <w:top w:val="single" w:sz="8" w:space="0" w:color="AEAEAE"/>
              <w:left w:val="nil"/>
              <w:bottom w:val="single" w:sz="8" w:space="0" w:color="152935"/>
              <w:right w:val="nil"/>
            </w:tcBorders>
            <w:shd w:val="clear" w:color="auto" w:fill="E0E0E0"/>
          </w:tcPr>
          <w:p w14:paraId="53E62F4F" w14:textId="77777777" w:rsidR="009C3C86" w:rsidRPr="00CB0654" w:rsidRDefault="009C3C86" w:rsidP="00027769">
            <w:pPr>
              <w:rPr>
                <w:rFonts w:ascii="Arial" w:hAnsi="Arial" w:cs="Arial"/>
                <w:color w:val="264A60"/>
                <w:sz w:val="24"/>
                <w:szCs w:val="24"/>
              </w:rPr>
            </w:pPr>
            <w:r w:rsidRPr="00CB0654">
              <w:rPr>
                <w:rFonts w:ascii="Arial" w:hAnsi="Arial" w:cs="Arial"/>
                <w:color w:val="264A60"/>
                <w:sz w:val="24"/>
                <w:szCs w:val="24"/>
              </w:rPr>
              <w:t>Centered Leverage Value</w:t>
            </w:r>
          </w:p>
        </w:tc>
        <w:tc>
          <w:tcPr>
            <w:tcW w:w="1045" w:type="dxa"/>
            <w:tcBorders>
              <w:top w:val="single" w:sz="8" w:space="0" w:color="AEAEAE"/>
              <w:left w:val="nil"/>
              <w:bottom w:val="single" w:sz="8" w:space="0" w:color="152935"/>
              <w:right w:val="single" w:sz="8" w:space="0" w:color="E0E0E0"/>
            </w:tcBorders>
            <w:shd w:val="clear" w:color="auto" w:fill="F9F9FB"/>
          </w:tcPr>
          <w:p w14:paraId="40B1D239"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.015</w:t>
            </w:r>
          </w:p>
        </w:tc>
        <w:tc>
          <w:tcPr>
            <w:tcW w:w="1045" w:type="dxa"/>
            <w:tcBorders>
              <w:top w:val="single" w:sz="8" w:space="0" w:color="AEAEAE"/>
              <w:left w:val="single" w:sz="8" w:space="0" w:color="E0E0E0"/>
              <w:bottom w:val="single" w:sz="8" w:space="0" w:color="152935"/>
              <w:right w:val="single" w:sz="8" w:space="0" w:color="E0E0E0"/>
            </w:tcBorders>
            <w:shd w:val="clear" w:color="auto" w:fill="F9F9FB"/>
          </w:tcPr>
          <w:p w14:paraId="00DABD76"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.193</w:t>
            </w:r>
          </w:p>
        </w:tc>
        <w:tc>
          <w:tcPr>
            <w:tcW w:w="1045" w:type="dxa"/>
            <w:tcBorders>
              <w:top w:val="single" w:sz="8" w:space="0" w:color="AEAEAE"/>
              <w:left w:val="single" w:sz="8" w:space="0" w:color="E0E0E0"/>
              <w:bottom w:val="single" w:sz="8" w:space="0" w:color="152935"/>
              <w:right w:val="single" w:sz="8" w:space="0" w:color="E0E0E0"/>
            </w:tcBorders>
            <w:shd w:val="clear" w:color="auto" w:fill="F9F9FB"/>
          </w:tcPr>
          <w:p w14:paraId="62A308CB"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.058</w:t>
            </w:r>
          </w:p>
        </w:tc>
        <w:tc>
          <w:tcPr>
            <w:tcW w:w="1368" w:type="dxa"/>
            <w:tcBorders>
              <w:top w:val="single" w:sz="8" w:space="0" w:color="AEAEAE"/>
              <w:left w:val="single" w:sz="8" w:space="0" w:color="E0E0E0"/>
              <w:bottom w:val="single" w:sz="8" w:space="0" w:color="152935"/>
              <w:right w:val="single" w:sz="8" w:space="0" w:color="E0E0E0"/>
            </w:tcBorders>
            <w:shd w:val="clear" w:color="auto" w:fill="F9F9FB"/>
          </w:tcPr>
          <w:p w14:paraId="2395450A"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.035</w:t>
            </w:r>
          </w:p>
        </w:tc>
        <w:tc>
          <w:tcPr>
            <w:tcW w:w="1045" w:type="dxa"/>
            <w:tcBorders>
              <w:top w:val="single" w:sz="8" w:space="0" w:color="AEAEAE"/>
              <w:left w:val="single" w:sz="8" w:space="0" w:color="E0E0E0"/>
              <w:bottom w:val="single" w:sz="8" w:space="0" w:color="152935"/>
              <w:right w:val="nil"/>
            </w:tcBorders>
            <w:shd w:val="clear" w:color="auto" w:fill="F9F9FB"/>
          </w:tcPr>
          <w:p w14:paraId="30866826"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86</w:t>
            </w:r>
          </w:p>
        </w:tc>
      </w:tr>
      <w:tr w:rsidR="009C3C86" w:rsidRPr="00CB0654" w14:paraId="537921AD" w14:textId="77777777" w:rsidTr="009C3C86">
        <w:trPr>
          <w:cantSplit/>
        </w:trPr>
        <w:tc>
          <w:tcPr>
            <w:tcW w:w="8068" w:type="dxa"/>
            <w:gridSpan w:val="6"/>
            <w:tcBorders>
              <w:top w:val="nil"/>
              <w:left w:val="nil"/>
              <w:bottom w:val="nil"/>
              <w:right w:val="nil"/>
            </w:tcBorders>
            <w:shd w:val="clear" w:color="auto" w:fill="FFFFFF"/>
          </w:tcPr>
          <w:p w14:paraId="1EB9A845" w14:textId="77777777" w:rsidR="009C3C86" w:rsidRPr="00CB0654" w:rsidRDefault="009C3C86" w:rsidP="00027769">
            <w:pPr>
              <w:rPr>
                <w:rFonts w:ascii="Arial" w:hAnsi="Arial" w:cs="Arial"/>
                <w:color w:val="010205"/>
                <w:sz w:val="24"/>
                <w:szCs w:val="24"/>
              </w:rPr>
            </w:pPr>
            <w:r w:rsidRPr="00CB0654">
              <w:rPr>
                <w:rFonts w:ascii="Arial" w:hAnsi="Arial" w:cs="Arial"/>
                <w:color w:val="010205"/>
                <w:sz w:val="24"/>
                <w:szCs w:val="24"/>
              </w:rPr>
              <w:t>a. Dependent Variable: logseziurenum</w:t>
            </w:r>
          </w:p>
        </w:tc>
      </w:tr>
    </w:tbl>
    <w:p w14:paraId="6681DCE5" w14:textId="18DD84EC" w:rsidR="009C3C86" w:rsidRDefault="009C3C86" w:rsidP="00027769">
      <w:pPr>
        <w:rPr>
          <w:rFonts w:cstheme="minorHAnsi"/>
          <w:sz w:val="24"/>
          <w:szCs w:val="24"/>
        </w:rPr>
      </w:pPr>
    </w:p>
    <w:p w14:paraId="1F041DED" w14:textId="77777777" w:rsidR="009C3C86" w:rsidRPr="00FC6123" w:rsidRDefault="009C3C86" w:rsidP="00027769">
      <w:bookmarkStart w:id="204" w:name="_Toc133141574"/>
      <w:bookmarkStart w:id="205" w:name="_Toc133144232"/>
      <w:r w:rsidRPr="00FC6123">
        <w:t xml:space="preserve">Output for assumption checks for variable “logxoutseizurenum” – seizure number log transformed after </w:t>
      </w:r>
      <w:r>
        <w:t xml:space="preserve">two </w:t>
      </w:r>
      <w:r w:rsidRPr="00FC6123">
        <w:t>extreme outliers had been removed</w:t>
      </w:r>
      <w:bookmarkEnd w:id="204"/>
      <w:bookmarkEnd w:id="205"/>
    </w:p>
    <w:p w14:paraId="7BFCD3AD" w14:textId="77777777" w:rsidR="009C3C86" w:rsidRDefault="009C3C86" w:rsidP="00027769">
      <w:pPr>
        <w:rPr>
          <w:rFonts w:ascii="Times New Roman" w:hAnsi="Times New Roman" w:cs="Times New Roman"/>
          <w:sz w:val="24"/>
          <w:szCs w:val="24"/>
        </w:rPr>
      </w:pPr>
    </w:p>
    <w:p w14:paraId="2D519819" w14:textId="77777777" w:rsidR="009C3C86" w:rsidRDefault="009C3C86" w:rsidP="00027769">
      <w:pPr>
        <w:rPr>
          <w:rFonts w:ascii="Times New Roman" w:hAnsi="Times New Roman" w:cs="Times New Roman"/>
          <w:sz w:val="24"/>
          <w:szCs w:val="24"/>
        </w:rPr>
      </w:pPr>
    </w:p>
    <w:p w14:paraId="2E44C17D" w14:textId="77777777" w:rsidR="009C3C86" w:rsidRDefault="009C3C86" w:rsidP="00027769">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26BF4F4" wp14:editId="309A8B4F">
            <wp:extent cx="5975350" cy="351155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75350" cy="3511550"/>
                    </a:xfrm>
                    <a:prstGeom prst="rect">
                      <a:avLst/>
                    </a:prstGeom>
                    <a:noFill/>
                    <a:ln>
                      <a:noFill/>
                    </a:ln>
                  </pic:spPr>
                </pic:pic>
              </a:graphicData>
            </a:graphic>
          </wp:inline>
        </w:drawing>
      </w:r>
    </w:p>
    <w:p w14:paraId="1EBF9A0D" w14:textId="77777777" w:rsidR="009C3C86" w:rsidRDefault="009C3C86" w:rsidP="00027769">
      <w:pPr>
        <w:rPr>
          <w:rFonts w:ascii="Times New Roman" w:hAnsi="Times New Roman" w:cs="Times New Roman"/>
          <w:sz w:val="24"/>
          <w:szCs w:val="24"/>
        </w:rPr>
      </w:pPr>
    </w:p>
    <w:p w14:paraId="37859CB2" w14:textId="77777777" w:rsidR="009C3C86" w:rsidRDefault="009C3C86" w:rsidP="00027769">
      <w:pPr>
        <w:rPr>
          <w:rFonts w:ascii="Times New Roman" w:hAnsi="Times New Roman" w:cs="Times New Roman"/>
          <w:sz w:val="24"/>
          <w:szCs w:val="24"/>
        </w:rPr>
      </w:pPr>
    </w:p>
    <w:p w14:paraId="1BD92671" w14:textId="77777777" w:rsidR="009C3C86" w:rsidRDefault="009C3C86" w:rsidP="00027769">
      <w:pP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279E5764" wp14:editId="33DF15EA">
            <wp:extent cx="5975350" cy="3511550"/>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75350" cy="3511550"/>
                    </a:xfrm>
                    <a:prstGeom prst="rect">
                      <a:avLst/>
                    </a:prstGeom>
                    <a:noFill/>
                    <a:ln>
                      <a:noFill/>
                    </a:ln>
                  </pic:spPr>
                </pic:pic>
              </a:graphicData>
            </a:graphic>
          </wp:inline>
        </w:drawing>
      </w:r>
    </w:p>
    <w:p w14:paraId="74A4855B"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669CD8C3" w14:textId="77777777" w:rsidR="009C3C86" w:rsidRDefault="009C3C86" w:rsidP="009C3C86">
      <w:pPr>
        <w:autoSpaceDE w:val="0"/>
        <w:autoSpaceDN w:val="0"/>
        <w:adjustRightInd w:val="0"/>
        <w:spacing w:after="0" w:line="400" w:lineRule="atLeast"/>
        <w:rPr>
          <w:rFonts w:ascii="Times New Roman" w:hAnsi="Times New Roman" w:cs="Times New Roman"/>
          <w:sz w:val="24"/>
          <w:szCs w:val="24"/>
        </w:rPr>
      </w:pPr>
    </w:p>
    <w:p w14:paraId="2A348F7A"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7FA6DA1E" wp14:editId="10587F0A">
            <wp:extent cx="5975350" cy="351155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975350" cy="3511550"/>
                    </a:xfrm>
                    <a:prstGeom prst="rect">
                      <a:avLst/>
                    </a:prstGeom>
                    <a:noFill/>
                    <a:ln>
                      <a:noFill/>
                    </a:ln>
                  </pic:spPr>
                </pic:pic>
              </a:graphicData>
            </a:graphic>
          </wp:inline>
        </w:drawing>
      </w:r>
    </w:p>
    <w:p w14:paraId="3D70FE9B"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32E45E7F" w14:textId="77777777" w:rsidR="009C3C86" w:rsidRDefault="009C3C86" w:rsidP="009C3C86">
      <w:pPr>
        <w:autoSpaceDE w:val="0"/>
        <w:autoSpaceDN w:val="0"/>
        <w:adjustRightInd w:val="0"/>
        <w:spacing w:after="0" w:line="400" w:lineRule="atLeast"/>
        <w:rPr>
          <w:rFonts w:ascii="Times New Roman" w:hAnsi="Times New Roman" w:cs="Times New Roman"/>
          <w:sz w:val="24"/>
          <w:szCs w:val="24"/>
        </w:rPr>
      </w:pPr>
    </w:p>
    <w:p w14:paraId="7E09EDF9"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191945A5" wp14:editId="2E0E4B9F">
            <wp:extent cx="5645150" cy="1009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645150" cy="1009650"/>
                    </a:xfrm>
                    <a:prstGeom prst="rect">
                      <a:avLst/>
                    </a:prstGeom>
                    <a:noFill/>
                    <a:ln>
                      <a:noFill/>
                    </a:ln>
                  </pic:spPr>
                </pic:pic>
              </a:graphicData>
            </a:graphic>
          </wp:inline>
        </w:drawing>
      </w:r>
    </w:p>
    <w:p w14:paraId="5DFB605E"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0FACDA2E" w14:textId="77777777" w:rsidR="009C3C86" w:rsidRDefault="009C3C86" w:rsidP="009C3C86">
      <w:pPr>
        <w:autoSpaceDE w:val="0"/>
        <w:autoSpaceDN w:val="0"/>
        <w:adjustRightInd w:val="0"/>
        <w:spacing w:after="0" w:line="400" w:lineRule="atLeast"/>
        <w:rPr>
          <w:rFonts w:ascii="Times New Roman" w:hAnsi="Times New Roman" w:cs="Times New Roman"/>
          <w:sz w:val="24"/>
          <w:szCs w:val="24"/>
        </w:rPr>
      </w:pPr>
    </w:p>
    <w:p w14:paraId="753ADCFE" w14:textId="77777777" w:rsidR="009C3C86" w:rsidRPr="00CB0654" w:rsidRDefault="009C3C86" w:rsidP="009C3C86">
      <w:pPr>
        <w:autoSpaceDE w:val="0"/>
        <w:autoSpaceDN w:val="0"/>
        <w:adjustRightInd w:val="0"/>
        <w:spacing w:after="0" w:line="240" w:lineRule="auto"/>
        <w:rPr>
          <w:rFonts w:ascii="Times New Roman" w:hAnsi="Times New Roman" w:cs="Times New Roman"/>
          <w:sz w:val="24"/>
          <w:szCs w:val="24"/>
        </w:rPr>
      </w:pPr>
    </w:p>
    <w:tbl>
      <w:tblPr>
        <w:tblW w:w="7947" w:type="dxa"/>
        <w:tblLayout w:type="fixed"/>
        <w:tblCellMar>
          <w:left w:w="0" w:type="dxa"/>
          <w:right w:w="0" w:type="dxa"/>
        </w:tblCellMar>
        <w:tblLook w:val="0000" w:firstRow="0" w:lastRow="0" w:firstColumn="0" w:lastColumn="0" w:noHBand="0" w:noVBand="0"/>
      </w:tblPr>
      <w:tblGrid>
        <w:gridCol w:w="754"/>
        <w:gridCol w:w="1215"/>
        <w:gridCol w:w="1506"/>
        <w:gridCol w:w="1045"/>
        <w:gridCol w:w="1337"/>
        <w:gridCol w:w="1045"/>
        <w:gridCol w:w="1045"/>
      </w:tblGrid>
      <w:tr w:rsidR="009C3C86" w:rsidRPr="00CB0654" w14:paraId="311C8F32" w14:textId="77777777" w:rsidTr="009C3C86">
        <w:trPr>
          <w:cantSplit/>
        </w:trPr>
        <w:tc>
          <w:tcPr>
            <w:tcW w:w="7945" w:type="dxa"/>
            <w:gridSpan w:val="7"/>
            <w:tcBorders>
              <w:top w:val="nil"/>
              <w:left w:val="nil"/>
              <w:bottom w:val="nil"/>
              <w:right w:val="nil"/>
            </w:tcBorders>
            <w:shd w:val="clear" w:color="auto" w:fill="FFFFFF"/>
            <w:vAlign w:val="center"/>
          </w:tcPr>
          <w:p w14:paraId="6E3CE4A5" w14:textId="77777777" w:rsidR="009C3C86" w:rsidRPr="00CB0654" w:rsidRDefault="009C3C86" w:rsidP="009C3C86">
            <w:pPr>
              <w:autoSpaceDE w:val="0"/>
              <w:autoSpaceDN w:val="0"/>
              <w:adjustRightInd w:val="0"/>
              <w:spacing w:after="0" w:line="320" w:lineRule="atLeast"/>
              <w:ind w:left="60" w:right="60"/>
              <w:jc w:val="center"/>
              <w:rPr>
                <w:rFonts w:ascii="Arial" w:hAnsi="Arial" w:cs="Arial"/>
                <w:color w:val="010205"/>
                <w:sz w:val="28"/>
                <w:szCs w:val="28"/>
              </w:rPr>
            </w:pPr>
            <w:r w:rsidRPr="00CB0654">
              <w:rPr>
                <w:rFonts w:ascii="Arial" w:hAnsi="Arial" w:cs="Arial"/>
                <w:b/>
                <w:bCs/>
                <w:color w:val="010205"/>
                <w:sz w:val="28"/>
                <w:szCs w:val="28"/>
              </w:rPr>
              <w:t>ANOVA</w:t>
            </w:r>
            <w:r w:rsidRPr="00CB0654">
              <w:rPr>
                <w:rFonts w:ascii="Arial" w:hAnsi="Arial" w:cs="Arial"/>
                <w:b/>
                <w:bCs/>
                <w:color w:val="010205"/>
                <w:sz w:val="28"/>
                <w:szCs w:val="28"/>
                <w:vertAlign w:val="superscript"/>
              </w:rPr>
              <w:t>a</w:t>
            </w:r>
          </w:p>
        </w:tc>
      </w:tr>
      <w:tr w:rsidR="009C3C86" w:rsidRPr="00CB0654" w14:paraId="46957685" w14:textId="77777777" w:rsidTr="009C3C86">
        <w:trPr>
          <w:cantSplit/>
        </w:trPr>
        <w:tc>
          <w:tcPr>
            <w:tcW w:w="1967" w:type="dxa"/>
            <w:gridSpan w:val="2"/>
            <w:tcBorders>
              <w:top w:val="nil"/>
              <w:left w:val="nil"/>
              <w:bottom w:val="single" w:sz="8" w:space="0" w:color="152935"/>
              <w:right w:val="nil"/>
            </w:tcBorders>
            <w:shd w:val="clear" w:color="auto" w:fill="FFFFFF"/>
            <w:vAlign w:val="bottom"/>
          </w:tcPr>
          <w:p w14:paraId="2FAE3161" w14:textId="77777777" w:rsidR="009C3C86" w:rsidRPr="00CB0654" w:rsidRDefault="009C3C86" w:rsidP="009C3C86">
            <w:pPr>
              <w:autoSpaceDE w:val="0"/>
              <w:autoSpaceDN w:val="0"/>
              <w:adjustRightInd w:val="0"/>
              <w:spacing w:after="0" w:line="320" w:lineRule="atLeast"/>
              <w:ind w:left="60" w:right="60"/>
              <w:rPr>
                <w:rFonts w:ascii="Arial" w:hAnsi="Arial" w:cs="Arial"/>
                <w:color w:val="264A60"/>
                <w:sz w:val="24"/>
                <w:szCs w:val="24"/>
              </w:rPr>
            </w:pPr>
            <w:r w:rsidRPr="00CB0654">
              <w:rPr>
                <w:rFonts w:ascii="Arial" w:hAnsi="Arial" w:cs="Arial"/>
                <w:color w:val="264A60"/>
                <w:sz w:val="24"/>
                <w:szCs w:val="24"/>
              </w:rPr>
              <w:t>Model</w:t>
            </w:r>
          </w:p>
        </w:tc>
        <w:tc>
          <w:tcPr>
            <w:tcW w:w="1506" w:type="dxa"/>
            <w:tcBorders>
              <w:top w:val="nil"/>
              <w:left w:val="nil"/>
              <w:bottom w:val="single" w:sz="8" w:space="0" w:color="152935"/>
              <w:right w:val="single" w:sz="8" w:space="0" w:color="E0E0E0"/>
            </w:tcBorders>
            <w:shd w:val="clear" w:color="auto" w:fill="FFFFFF"/>
            <w:vAlign w:val="bottom"/>
          </w:tcPr>
          <w:p w14:paraId="48A92344" w14:textId="77777777" w:rsidR="009C3C86" w:rsidRPr="00CB0654"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CB0654">
              <w:rPr>
                <w:rFonts w:ascii="Arial" w:hAnsi="Arial" w:cs="Arial"/>
                <w:color w:val="264A60"/>
                <w:sz w:val="24"/>
                <w:szCs w:val="24"/>
              </w:rPr>
              <w:t>Sum of Squares</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1BBAB70E" w14:textId="77777777" w:rsidR="009C3C86" w:rsidRPr="00CB0654"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CB0654">
              <w:rPr>
                <w:rFonts w:ascii="Arial" w:hAnsi="Arial" w:cs="Arial"/>
                <w:color w:val="264A60"/>
                <w:sz w:val="24"/>
                <w:szCs w:val="24"/>
              </w:rPr>
              <w:t>df</w:t>
            </w:r>
          </w:p>
        </w:tc>
        <w:tc>
          <w:tcPr>
            <w:tcW w:w="1337" w:type="dxa"/>
            <w:tcBorders>
              <w:top w:val="nil"/>
              <w:left w:val="single" w:sz="8" w:space="0" w:color="E0E0E0"/>
              <w:bottom w:val="single" w:sz="8" w:space="0" w:color="152935"/>
              <w:right w:val="single" w:sz="8" w:space="0" w:color="E0E0E0"/>
            </w:tcBorders>
            <w:shd w:val="clear" w:color="auto" w:fill="FFFFFF"/>
            <w:vAlign w:val="bottom"/>
          </w:tcPr>
          <w:p w14:paraId="650D5546" w14:textId="77777777" w:rsidR="009C3C86" w:rsidRPr="00CB0654"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CB0654">
              <w:rPr>
                <w:rFonts w:ascii="Arial" w:hAnsi="Arial" w:cs="Arial"/>
                <w:color w:val="264A60"/>
                <w:sz w:val="24"/>
                <w:szCs w:val="24"/>
              </w:rPr>
              <w:t>Mean Square</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4B8D3951" w14:textId="77777777" w:rsidR="009C3C86" w:rsidRPr="00CB0654"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CB0654">
              <w:rPr>
                <w:rFonts w:ascii="Arial" w:hAnsi="Arial" w:cs="Arial"/>
                <w:color w:val="264A60"/>
                <w:sz w:val="24"/>
                <w:szCs w:val="24"/>
              </w:rPr>
              <w:t>F</w:t>
            </w:r>
          </w:p>
        </w:tc>
        <w:tc>
          <w:tcPr>
            <w:tcW w:w="1045" w:type="dxa"/>
            <w:tcBorders>
              <w:top w:val="nil"/>
              <w:left w:val="single" w:sz="8" w:space="0" w:color="E0E0E0"/>
              <w:bottom w:val="single" w:sz="8" w:space="0" w:color="152935"/>
              <w:right w:val="nil"/>
            </w:tcBorders>
            <w:shd w:val="clear" w:color="auto" w:fill="FFFFFF"/>
            <w:vAlign w:val="bottom"/>
          </w:tcPr>
          <w:p w14:paraId="03DCBEEF" w14:textId="77777777" w:rsidR="009C3C86" w:rsidRPr="00CB0654"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CB0654">
              <w:rPr>
                <w:rFonts w:ascii="Arial" w:hAnsi="Arial" w:cs="Arial"/>
                <w:color w:val="264A60"/>
                <w:sz w:val="24"/>
                <w:szCs w:val="24"/>
              </w:rPr>
              <w:t>Sig.</w:t>
            </w:r>
          </w:p>
        </w:tc>
      </w:tr>
      <w:tr w:rsidR="009C3C86" w:rsidRPr="00CB0654" w14:paraId="0F25FF22" w14:textId="77777777" w:rsidTr="009C3C86">
        <w:trPr>
          <w:cantSplit/>
        </w:trPr>
        <w:tc>
          <w:tcPr>
            <w:tcW w:w="753" w:type="dxa"/>
            <w:vMerge w:val="restart"/>
            <w:tcBorders>
              <w:top w:val="single" w:sz="8" w:space="0" w:color="152935"/>
              <w:left w:val="nil"/>
              <w:bottom w:val="single" w:sz="8" w:space="0" w:color="152935"/>
              <w:right w:val="nil"/>
            </w:tcBorders>
            <w:shd w:val="clear" w:color="auto" w:fill="E0E0E0"/>
          </w:tcPr>
          <w:p w14:paraId="6EF09FC9" w14:textId="77777777" w:rsidR="009C3C86" w:rsidRPr="00CB0654" w:rsidRDefault="009C3C86" w:rsidP="009C3C86">
            <w:pPr>
              <w:autoSpaceDE w:val="0"/>
              <w:autoSpaceDN w:val="0"/>
              <w:adjustRightInd w:val="0"/>
              <w:spacing w:after="0" w:line="320" w:lineRule="atLeast"/>
              <w:ind w:left="60" w:right="60"/>
              <w:rPr>
                <w:rFonts w:ascii="Arial" w:hAnsi="Arial" w:cs="Arial"/>
                <w:color w:val="264A60"/>
                <w:sz w:val="24"/>
                <w:szCs w:val="24"/>
              </w:rPr>
            </w:pPr>
            <w:r w:rsidRPr="00CB0654">
              <w:rPr>
                <w:rFonts w:ascii="Arial" w:hAnsi="Arial" w:cs="Arial"/>
                <w:color w:val="264A60"/>
                <w:sz w:val="24"/>
                <w:szCs w:val="24"/>
              </w:rPr>
              <w:t>1</w:t>
            </w:r>
          </w:p>
        </w:tc>
        <w:tc>
          <w:tcPr>
            <w:tcW w:w="1214" w:type="dxa"/>
            <w:tcBorders>
              <w:top w:val="single" w:sz="8" w:space="0" w:color="152935"/>
              <w:left w:val="nil"/>
              <w:bottom w:val="single" w:sz="8" w:space="0" w:color="AEAEAE"/>
              <w:right w:val="nil"/>
            </w:tcBorders>
            <w:shd w:val="clear" w:color="auto" w:fill="E0E0E0"/>
          </w:tcPr>
          <w:p w14:paraId="202EC933" w14:textId="77777777" w:rsidR="009C3C86" w:rsidRPr="00CB0654" w:rsidRDefault="009C3C86" w:rsidP="009C3C86">
            <w:pPr>
              <w:autoSpaceDE w:val="0"/>
              <w:autoSpaceDN w:val="0"/>
              <w:adjustRightInd w:val="0"/>
              <w:spacing w:after="0" w:line="320" w:lineRule="atLeast"/>
              <w:ind w:left="60" w:right="60"/>
              <w:rPr>
                <w:rFonts w:ascii="Arial" w:hAnsi="Arial" w:cs="Arial"/>
                <w:color w:val="264A60"/>
                <w:sz w:val="24"/>
                <w:szCs w:val="24"/>
              </w:rPr>
            </w:pPr>
            <w:r w:rsidRPr="00CB0654">
              <w:rPr>
                <w:rFonts w:ascii="Arial" w:hAnsi="Arial" w:cs="Arial"/>
                <w:color w:val="264A60"/>
                <w:sz w:val="24"/>
                <w:szCs w:val="24"/>
              </w:rPr>
              <w:t>Regression</w:t>
            </w:r>
          </w:p>
        </w:tc>
        <w:tc>
          <w:tcPr>
            <w:tcW w:w="1506" w:type="dxa"/>
            <w:tcBorders>
              <w:top w:val="single" w:sz="8" w:space="0" w:color="152935"/>
              <w:left w:val="nil"/>
              <w:bottom w:val="single" w:sz="8" w:space="0" w:color="AEAEAE"/>
              <w:right w:val="single" w:sz="8" w:space="0" w:color="E0E0E0"/>
            </w:tcBorders>
            <w:shd w:val="clear" w:color="auto" w:fill="F9F9FB"/>
          </w:tcPr>
          <w:p w14:paraId="3DE961A6" w14:textId="77777777" w:rsidR="009C3C86" w:rsidRPr="00CB065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CB0654">
              <w:rPr>
                <w:rFonts w:ascii="Arial" w:hAnsi="Arial" w:cs="Arial"/>
                <w:color w:val="010205"/>
                <w:sz w:val="24"/>
                <w:szCs w:val="24"/>
              </w:rPr>
              <w:t>1.979</w:t>
            </w:r>
          </w:p>
        </w:tc>
        <w:tc>
          <w:tcPr>
            <w:tcW w:w="1045" w:type="dxa"/>
            <w:tcBorders>
              <w:top w:val="single" w:sz="8" w:space="0" w:color="152935"/>
              <w:left w:val="single" w:sz="8" w:space="0" w:color="E0E0E0"/>
              <w:bottom w:val="single" w:sz="8" w:space="0" w:color="AEAEAE"/>
              <w:right w:val="single" w:sz="8" w:space="0" w:color="E0E0E0"/>
            </w:tcBorders>
            <w:shd w:val="clear" w:color="auto" w:fill="F9F9FB"/>
          </w:tcPr>
          <w:p w14:paraId="3D53F904" w14:textId="77777777" w:rsidR="009C3C86" w:rsidRPr="00CB065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CB0654">
              <w:rPr>
                <w:rFonts w:ascii="Arial" w:hAnsi="Arial" w:cs="Arial"/>
                <w:color w:val="010205"/>
                <w:sz w:val="24"/>
                <w:szCs w:val="24"/>
              </w:rPr>
              <w:t>5</w:t>
            </w:r>
          </w:p>
        </w:tc>
        <w:tc>
          <w:tcPr>
            <w:tcW w:w="1337" w:type="dxa"/>
            <w:tcBorders>
              <w:top w:val="single" w:sz="8" w:space="0" w:color="152935"/>
              <w:left w:val="single" w:sz="8" w:space="0" w:color="E0E0E0"/>
              <w:bottom w:val="single" w:sz="8" w:space="0" w:color="AEAEAE"/>
              <w:right w:val="single" w:sz="8" w:space="0" w:color="E0E0E0"/>
            </w:tcBorders>
            <w:shd w:val="clear" w:color="auto" w:fill="F9F9FB"/>
          </w:tcPr>
          <w:p w14:paraId="5984F4E1" w14:textId="77777777" w:rsidR="009C3C86" w:rsidRPr="00CB065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CB0654">
              <w:rPr>
                <w:rFonts w:ascii="Arial" w:hAnsi="Arial" w:cs="Arial"/>
                <w:color w:val="010205"/>
                <w:sz w:val="24"/>
                <w:szCs w:val="24"/>
              </w:rPr>
              <w:t>.396</w:t>
            </w:r>
          </w:p>
        </w:tc>
        <w:tc>
          <w:tcPr>
            <w:tcW w:w="1045" w:type="dxa"/>
            <w:tcBorders>
              <w:top w:val="single" w:sz="8" w:space="0" w:color="152935"/>
              <w:left w:val="single" w:sz="8" w:space="0" w:color="E0E0E0"/>
              <w:bottom w:val="single" w:sz="8" w:space="0" w:color="AEAEAE"/>
              <w:right w:val="single" w:sz="8" w:space="0" w:color="E0E0E0"/>
            </w:tcBorders>
            <w:shd w:val="clear" w:color="auto" w:fill="F9F9FB"/>
          </w:tcPr>
          <w:p w14:paraId="5CB34131" w14:textId="77777777" w:rsidR="009C3C86" w:rsidRPr="00CB065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CB0654">
              <w:rPr>
                <w:rFonts w:ascii="Arial" w:hAnsi="Arial" w:cs="Arial"/>
                <w:color w:val="010205"/>
                <w:sz w:val="24"/>
                <w:szCs w:val="24"/>
              </w:rPr>
              <w:t>1.235</w:t>
            </w:r>
          </w:p>
        </w:tc>
        <w:tc>
          <w:tcPr>
            <w:tcW w:w="1045" w:type="dxa"/>
            <w:tcBorders>
              <w:top w:val="single" w:sz="8" w:space="0" w:color="152935"/>
              <w:left w:val="single" w:sz="8" w:space="0" w:color="E0E0E0"/>
              <w:bottom w:val="single" w:sz="8" w:space="0" w:color="AEAEAE"/>
              <w:right w:val="nil"/>
            </w:tcBorders>
            <w:shd w:val="clear" w:color="auto" w:fill="F9F9FB"/>
          </w:tcPr>
          <w:p w14:paraId="63D8CC64" w14:textId="77777777" w:rsidR="009C3C86" w:rsidRPr="00CB065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CB0654">
              <w:rPr>
                <w:rFonts w:ascii="Arial" w:hAnsi="Arial" w:cs="Arial"/>
                <w:color w:val="010205"/>
                <w:sz w:val="24"/>
                <w:szCs w:val="24"/>
              </w:rPr>
              <w:t>.301</w:t>
            </w:r>
            <w:r w:rsidRPr="00CB0654">
              <w:rPr>
                <w:rFonts w:ascii="Arial" w:hAnsi="Arial" w:cs="Arial"/>
                <w:color w:val="010205"/>
                <w:sz w:val="24"/>
                <w:szCs w:val="24"/>
                <w:vertAlign w:val="superscript"/>
              </w:rPr>
              <w:t>b</w:t>
            </w:r>
          </w:p>
        </w:tc>
      </w:tr>
      <w:tr w:rsidR="009C3C86" w:rsidRPr="00CB0654" w14:paraId="55F6A47E" w14:textId="77777777" w:rsidTr="009C3C86">
        <w:trPr>
          <w:cantSplit/>
        </w:trPr>
        <w:tc>
          <w:tcPr>
            <w:tcW w:w="753" w:type="dxa"/>
            <w:vMerge/>
            <w:tcBorders>
              <w:top w:val="single" w:sz="8" w:space="0" w:color="152935"/>
              <w:left w:val="nil"/>
              <w:bottom w:val="single" w:sz="8" w:space="0" w:color="152935"/>
              <w:right w:val="nil"/>
            </w:tcBorders>
            <w:shd w:val="clear" w:color="auto" w:fill="E0E0E0"/>
          </w:tcPr>
          <w:p w14:paraId="3FB976EB" w14:textId="77777777" w:rsidR="009C3C86" w:rsidRPr="00CB0654" w:rsidRDefault="009C3C86" w:rsidP="009C3C86">
            <w:pPr>
              <w:autoSpaceDE w:val="0"/>
              <w:autoSpaceDN w:val="0"/>
              <w:adjustRightInd w:val="0"/>
              <w:spacing w:after="0" w:line="240" w:lineRule="auto"/>
              <w:rPr>
                <w:rFonts w:ascii="Arial" w:hAnsi="Arial" w:cs="Arial"/>
                <w:color w:val="010205"/>
                <w:sz w:val="24"/>
                <w:szCs w:val="24"/>
              </w:rPr>
            </w:pPr>
          </w:p>
        </w:tc>
        <w:tc>
          <w:tcPr>
            <w:tcW w:w="1214" w:type="dxa"/>
            <w:tcBorders>
              <w:top w:val="single" w:sz="8" w:space="0" w:color="AEAEAE"/>
              <w:left w:val="nil"/>
              <w:bottom w:val="single" w:sz="8" w:space="0" w:color="AEAEAE"/>
              <w:right w:val="nil"/>
            </w:tcBorders>
            <w:shd w:val="clear" w:color="auto" w:fill="E0E0E0"/>
          </w:tcPr>
          <w:p w14:paraId="4913FEB8" w14:textId="77777777" w:rsidR="009C3C86" w:rsidRPr="00CB0654" w:rsidRDefault="009C3C86" w:rsidP="009C3C86">
            <w:pPr>
              <w:autoSpaceDE w:val="0"/>
              <w:autoSpaceDN w:val="0"/>
              <w:adjustRightInd w:val="0"/>
              <w:spacing w:after="0" w:line="320" w:lineRule="atLeast"/>
              <w:ind w:left="60" w:right="60"/>
              <w:rPr>
                <w:rFonts w:ascii="Arial" w:hAnsi="Arial" w:cs="Arial"/>
                <w:color w:val="264A60"/>
                <w:sz w:val="24"/>
                <w:szCs w:val="24"/>
              </w:rPr>
            </w:pPr>
            <w:r w:rsidRPr="00CB0654">
              <w:rPr>
                <w:rFonts w:ascii="Arial" w:hAnsi="Arial" w:cs="Arial"/>
                <w:color w:val="264A60"/>
                <w:sz w:val="24"/>
                <w:szCs w:val="24"/>
              </w:rPr>
              <w:t>Residual</w:t>
            </w:r>
          </w:p>
        </w:tc>
        <w:tc>
          <w:tcPr>
            <w:tcW w:w="1506" w:type="dxa"/>
            <w:tcBorders>
              <w:top w:val="single" w:sz="8" w:space="0" w:color="AEAEAE"/>
              <w:left w:val="nil"/>
              <w:bottom w:val="single" w:sz="8" w:space="0" w:color="AEAEAE"/>
              <w:right w:val="single" w:sz="8" w:space="0" w:color="E0E0E0"/>
            </w:tcBorders>
            <w:shd w:val="clear" w:color="auto" w:fill="F9F9FB"/>
          </w:tcPr>
          <w:p w14:paraId="1F1FC185" w14:textId="77777777" w:rsidR="009C3C86" w:rsidRPr="00CB065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CB0654">
              <w:rPr>
                <w:rFonts w:ascii="Arial" w:hAnsi="Arial" w:cs="Arial"/>
                <w:color w:val="010205"/>
                <w:sz w:val="24"/>
                <w:szCs w:val="24"/>
              </w:rPr>
              <w:t>24.997</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204FDBA4" w14:textId="77777777" w:rsidR="009C3C86" w:rsidRPr="00CB065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CB0654">
              <w:rPr>
                <w:rFonts w:ascii="Arial" w:hAnsi="Arial" w:cs="Arial"/>
                <w:color w:val="010205"/>
                <w:sz w:val="24"/>
                <w:szCs w:val="24"/>
              </w:rPr>
              <w:t>78</w:t>
            </w:r>
          </w:p>
        </w:tc>
        <w:tc>
          <w:tcPr>
            <w:tcW w:w="1337" w:type="dxa"/>
            <w:tcBorders>
              <w:top w:val="single" w:sz="8" w:space="0" w:color="AEAEAE"/>
              <w:left w:val="single" w:sz="8" w:space="0" w:color="E0E0E0"/>
              <w:bottom w:val="single" w:sz="8" w:space="0" w:color="AEAEAE"/>
              <w:right w:val="single" w:sz="8" w:space="0" w:color="E0E0E0"/>
            </w:tcBorders>
            <w:shd w:val="clear" w:color="auto" w:fill="F9F9FB"/>
          </w:tcPr>
          <w:p w14:paraId="32A9F1A1" w14:textId="77777777" w:rsidR="009C3C86" w:rsidRPr="00CB065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CB0654">
              <w:rPr>
                <w:rFonts w:ascii="Arial" w:hAnsi="Arial" w:cs="Arial"/>
                <w:color w:val="010205"/>
                <w:sz w:val="24"/>
                <w:szCs w:val="24"/>
              </w:rPr>
              <w:t>.320</w:t>
            </w:r>
          </w:p>
        </w:tc>
        <w:tc>
          <w:tcPr>
            <w:tcW w:w="104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3CA7792B" w14:textId="77777777" w:rsidR="009C3C86" w:rsidRPr="00CB0654" w:rsidRDefault="009C3C86" w:rsidP="009C3C86">
            <w:pPr>
              <w:autoSpaceDE w:val="0"/>
              <w:autoSpaceDN w:val="0"/>
              <w:adjustRightInd w:val="0"/>
              <w:spacing w:after="0" w:line="240" w:lineRule="auto"/>
              <w:rPr>
                <w:rFonts w:ascii="Times New Roman" w:hAnsi="Times New Roman" w:cs="Times New Roman"/>
                <w:sz w:val="24"/>
                <w:szCs w:val="24"/>
              </w:rPr>
            </w:pPr>
          </w:p>
        </w:tc>
        <w:tc>
          <w:tcPr>
            <w:tcW w:w="1045" w:type="dxa"/>
            <w:tcBorders>
              <w:top w:val="single" w:sz="8" w:space="0" w:color="AEAEAE"/>
              <w:left w:val="single" w:sz="8" w:space="0" w:color="E0E0E0"/>
              <w:bottom w:val="single" w:sz="8" w:space="0" w:color="AEAEAE"/>
              <w:right w:val="nil"/>
            </w:tcBorders>
            <w:shd w:val="clear" w:color="auto" w:fill="F9F9FB"/>
            <w:vAlign w:val="center"/>
          </w:tcPr>
          <w:p w14:paraId="7FE02BA0" w14:textId="77777777" w:rsidR="009C3C86" w:rsidRPr="00CB0654" w:rsidRDefault="009C3C86" w:rsidP="009C3C86">
            <w:pPr>
              <w:autoSpaceDE w:val="0"/>
              <w:autoSpaceDN w:val="0"/>
              <w:adjustRightInd w:val="0"/>
              <w:spacing w:after="0" w:line="240" w:lineRule="auto"/>
              <w:rPr>
                <w:rFonts w:ascii="Times New Roman" w:hAnsi="Times New Roman" w:cs="Times New Roman"/>
                <w:sz w:val="24"/>
                <w:szCs w:val="24"/>
              </w:rPr>
            </w:pPr>
          </w:p>
        </w:tc>
      </w:tr>
      <w:tr w:rsidR="009C3C86" w:rsidRPr="00CB0654" w14:paraId="489257F1" w14:textId="77777777" w:rsidTr="009C3C86">
        <w:trPr>
          <w:cantSplit/>
        </w:trPr>
        <w:tc>
          <w:tcPr>
            <w:tcW w:w="753" w:type="dxa"/>
            <w:vMerge/>
            <w:tcBorders>
              <w:top w:val="single" w:sz="8" w:space="0" w:color="152935"/>
              <w:left w:val="nil"/>
              <w:bottom w:val="single" w:sz="8" w:space="0" w:color="152935"/>
              <w:right w:val="nil"/>
            </w:tcBorders>
            <w:shd w:val="clear" w:color="auto" w:fill="E0E0E0"/>
          </w:tcPr>
          <w:p w14:paraId="721149EA" w14:textId="77777777" w:rsidR="009C3C86" w:rsidRPr="00CB0654" w:rsidRDefault="009C3C86" w:rsidP="009C3C86">
            <w:pPr>
              <w:autoSpaceDE w:val="0"/>
              <w:autoSpaceDN w:val="0"/>
              <w:adjustRightInd w:val="0"/>
              <w:spacing w:after="0" w:line="240" w:lineRule="auto"/>
              <w:rPr>
                <w:rFonts w:ascii="Times New Roman" w:hAnsi="Times New Roman" w:cs="Times New Roman"/>
                <w:sz w:val="24"/>
                <w:szCs w:val="24"/>
              </w:rPr>
            </w:pPr>
          </w:p>
        </w:tc>
        <w:tc>
          <w:tcPr>
            <w:tcW w:w="1214" w:type="dxa"/>
            <w:tcBorders>
              <w:top w:val="single" w:sz="8" w:space="0" w:color="AEAEAE"/>
              <w:left w:val="nil"/>
              <w:bottom w:val="single" w:sz="8" w:space="0" w:color="152935"/>
              <w:right w:val="nil"/>
            </w:tcBorders>
            <w:shd w:val="clear" w:color="auto" w:fill="E0E0E0"/>
          </w:tcPr>
          <w:p w14:paraId="1C4D958A" w14:textId="77777777" w:rsidR="009C3C86" w:rsidRPr="00CB0654" w:rsidRDefault="009C3C86" w:rsidP="009C3C86">
            <w:pPr>
              <w:autoSpaceDE w:val="0"/>
              <w:autoSpaceDN w:val="0"/>
              <w:adjustRightInd w:val="0"/>
              <w:spacing w:after="0" w:line="320" w:lineRule="atLeast"/>
              <w:ind w:left="60" w:right="60"/>
              <w:rPr>
                <w:rFonts w:ascii="Arial" w:hAnsi="Arial" w:cs="Arial"/>
                <w:color w:val="264A60"/>
                <w:sz w:val="24"/>
                <w:szCs w:val="24"/>
              </w:rPr>
            </w:pPr>
            <w:r w:rsidRPr="00CB0654">
              <w:rPr>
                <w:rFonts w:ascii="Arial" w:hAnsi="Arial" w:cs="Arial"/>
                <w:color w:val="264A60"/>
                <w:sz w:val="24"/>
                <w:szCs w:val="24"/>
              </w:rPr>
              <w:t>Total</w:t>
            </w:r>
          </w:p>
        </w:tc>
        <w:tc>
          <w:tcPr>
            <w:tcW w:w="1506" w:type="dxa"/>
            <w:tcBorders>
              <w:top w:val="single" w:sz="8" w:space="0" w:color="AEAEAE"/>
              <w:left w:val="nil"/>
              <w:bottom w:val="single" w:sz="8" w:space="0" w:color="152935"/>
              <w:right w:val="single" w:sz="8" w:space="0" w:color="E0E0E0"/>
            </w:tcBorders>
            <w:shd w:val="clear" w:color="auto" w:fill="F9F9FB"/>
          </w:tcPr>
          <w:p w14:paraId="676E889A" w14:textId="77777777" w:rsidR="009C3C86" w:rsidRPr="00CB065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CB0654">
              <w:rPr>
                <w:rFonts w:ascii="Arial" w:hAnsi="Arial" w:cs="Arial"/>
                <w:color w:val="010205"/>
                <w:sz w:val="24"/>
                <w:szCs w:val="24"/>
              </w:rPr>
              <w:t>26.976</w:t>
            </w:r>
          </w:p>
        </w:tc>
        <w:tc>
          <w:tcPr>
            <w:tcW w:w="1045" w:type="dxa"/>
            <w:tcBorders>
              <w:top w:val="single" w:sz="8" w:space="0" w:color="AEAEAE"/>
              <w:left w:val="single" w:sz="8" w:space="0" w:color="E0E0E0"/>
              <w:bottom w:val="single" w:sz="8" w:space="0" w:color="152935"/>
              <w:right w:val="single" w:sz="8" w:space="0" w:color="E0E0E0"/>
            </w:tcBorders>
            <w:shd w:val="clear" w:color="auto" w:fill="F9F9FB"/>
          </w:tcPr>
          <w:p w14:paraId="167B6200" w14:textId="77777777" w:rsidR="009C3C86" w:rsidRPr="00CB065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CB0654">
              <w:rPr>
                <w:rFonts w:ascii="Arial" w:hAnsi="Arial" w:cs="Arial"/>
                <w:color w:val="010205"/>
                <w:sz w:val="24"/>
                <w:szCs w:val="24"/>
              </w:rPr>
              <w:t>83</w:t>
            </w:r>
          </w:p>
        </w:tc>
        <w:tc>
          <w:tcPr>
            <w:tcW w:w="1337"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166B5C9D" w14:textId="77777777" w:rsidR="009C3C86" w:rsidRPr="00CB0654" w:rsidRDefault="009C3C86" w:rsidP="009C3C86">
            <w:pPr>
              <w:autoSpaceDE w:val="0"/>
              <w:autoSpaceDN w:val="0"/>
              <w:adjustRightInd w:val="0"/>
              <w:spacing w:after="0" w:line="240" w:lineRule="auto"/>
              <w:rPr>
                <w:rFonts w:ascii="Times New Roman" w:hAnsi="Times New Roman" w:cs="Times New Roman"/>
                <w:sz w:val="24"/>
                <w:szCs w:val="24"/>
              </w:rPr>
            </w:pPr>
          </w:p>
        </w:tc>
        <w:tc>
          <w:tcPr>
            <w:tcW w:w="1045"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2FCCB8DF" w14:textId="77777777" w:rsidR="009C3C86" w:rsidRPr="00CB0654" w:rsidRDefault="009C3C86" w:rsidP="009C3C86">
            <w:pPr>
              <w:autoSpaceDE w:val="0"/>
              <w:autoSpaceDN w:val="0"/>
              <w:adjustRightInd w:val="0"/>
              <w:spacing w:after="0" w:line="240" w:lineRule="auto"/>
              <w:rPr>
                <w:rFonts w:ascii="Times New Roman" w:hAnsi="Times New Roman" w:cs="Times New Roman"/>
                <w:sz w:val="24"/>
                <w:szCs w:val="24"/>
              </w:rPr>
            </w:pPr>
          </w:p>
        </w:tc>
        <w:tc>
          <w:tcPr>
            <w:tcW w:w="1045" w:type="dxa"/>
            <w:tcBorders>
              <w:top w:val="single" w:sz="8" w:space="0" w:color="AEAEAE"/>
              <w:left w:val="single" w:sz="8" w:space="0" w:color="E0E0E0"/>
              <w:bottom w:val="single" w:sz="8" w:space="0" w:color="152935"/>
              <w:right w:val="nil"/>
            </w:tcBorders>
            <w:shd w:val="clear" w:color="auto" w:fill="F9F9FB"/>
            <w:vAlign w:val="center"/>
          </w:tcPr>
          <w:p w14:paraId="5BDD0193" w14:textId="77777777" w:rsidR="009C3C86" w:rsidRPr="00CB0654" w:rsidRDefault="009C3C86" w:rsidP="009C3C86">
            <w:pPr>
              <w:autoSpaceDE w:val="0"/>
              <w:autoSpaceDN w:val="0"/>
              <w:adjustRightInd w:val="0"/>
              <w:spacing w:after="0" w:line="240" w:lineRule="auto"/>
              <w:rPr>
                <w:rFonts w:ascii="Times New Roman" w:hAnsi="Times New Roman" w:cs="Times New Roman"/>
                <w:sz w:val="24"/>
                <w:szCs w:val="24"/>
              </w:rPr>
            </w:pPr>
          </w:p>
        </w:tc>
      </w:tr>
      <w:tr w:rsidR="009C3C86" w:rsidRPr="00CB0654" w14:paraId="2F35120D" w14:textId="77777777" w:rsidTr="009C3C86">
        <w:trPr>
          <w:cantSplit/>
        </w:trPr>
        <w:tc>
          <w:tcPr>
            <w:tcW w:w="7945" w:type="dxa"/>
            <w:gridSpan w:val="7"/>
            <w:tcBorders>
              <w:top w:val="nil"/>
              <w:left w:val="nil"/>
              <w:bottom w:val="nil"/>
              <w:right w:val="nil"/>
            </w:tcBorders>
            <w:shd w:val="clear" w:color="auto" w:fill="FFFFFF"/>
          </w:tcPr>
          <w:p w14:paraId="314495D6" w14:textId="77777777" w:rsidR="009C3C86" w:rsidRPr="00CB0654" w:rsidRDefault="009C3C86" w:rsidP="009C3C86">
            <w:pPr>
              <w:autoSpaceDE w:val="0"/>
              <w:autoSpaceDN w:val="0"/>
              <w:adjustRightInd w:val="0"/>
              <w:spacing w:after="0" w:line="320" w:lineRule="atLeast"/>
              <w:ind w:left="60" w:right="60"/>
              <w:rPr>
                <w:rFonts w:ascii="Arial" w:hAnsi="Arial" w:cs="Arial"/>
                <w:color w:val="010205"/>
                <w:sz w:val="24"/>
                <w:szCs w:val="24"/>
              </w:rPr>
            </w:pPr>
            <w:r w:rsidRPr="00CB0654">
              <w:rPr>
                <w:rFonts w:ascii="Arial" w:hAnsi="Arial" w:cs="Arial"/>
                <w:color w:val="010205"/>
                <w:sz w:val="24"/>
                <w:szCs w:val="24"/>
              </w:rPr>
              <w:t>a. Dependent Variable: logxoutseziurenum</w:t>
            </w:r>
          </w:p>
        </w:tc>
      </w:tr>
      <w:tr w:rsidR="009C3C86" w:rsidRPr="00CB0654" w14:paraId="4F04A0E1" w14:textId="77777777" w:rsidTr="009C3C86">
        <w:trPr>
          <w:cantSplit/>
        </w:trPr>
        <w:tc>
          <w:tcPr>
            <w:tcW w:w="7945" w:type="dxa"/>
            <w:gridSpan w:val="7"/>
            <w:tcBorders>
              <w:top w:val="nil"/>
              <w:left w:val="nil"/>
              <w:bottom w:val="nil"/>
              <w:right w:val="nil"/>
            </w:tcBorders>
            <w:shd w:val="clear" w:color="auto" w:fill="FFFFFF"/>
          </w:tcPr>
          <w:p w14:paraId="2202585D" w14:textId="77777777" w:rsidR="009C3C86" w:rsidRPr="00CB0654" w:rsidRDefault="009C3C86" w:rsidP="009C3C86">
            <w:pPr>
              <w:autoSpaceDE w:val="0"/>
              <w:autoSpaceDN w:val="0"/>
              <w:adjustRightInd w:val="0"/>
              <w:spacing w:after="0" w:line="320" w:lineRule="atLeast"/>
              <w:ind w:left="60" w:right="60"/>
              <w:rPr>
                <w:rFonts w:ascii="Arial" w:hAnsi="Arial" w:cs="Arial"/>
                <w:color w:val="010205"/>
                <w:sz w:val="24"/>
                <w:szCs w:val="24"/>
              </w:rPr>
            </w:pPr>
            <w:r w:rsidRPr="00CB0654">
              <w:rPr>
                <w:rFonts w:ascii="Arial" w:hAnsi="Arial" w:cs="Arial"/>
                <w:color w:val="010205"/>
                <w:sz w:val="24"/>
                <w:szCs w:val="24"/>
              </w:rPr>
              <w:t>b. Predictors: (Constant), DiagnosisofepilepsyorDS, Intoleranceofuncertainty, Depression, Anxietysensitivity, Anxiety</w:t>
            </w:r>
          </w:p>
        </w:tc>
      </w:tr>
    </w:tbl>
    <w:p w14:paraId="7F9CC14F" w14:textId="77777777" w:rsidR="009C3C86" w:rsidRPr="00CB0654" w:rsidRDefault="009C3C86" w:rsidP="009C3C86">
      <w:pPr>
        <w:autoSpaceDE w:val="0"/>
        <w:autoSpaceDN w:val="0"/>
        <w:adjustRightInd w:val="0"/>
        <w:spacing w:after="0" w:line="400" w:lineRule="atLeast"/>
        <w:rPr>
          <w:rFonts w:ascii="Times New Roman" w:hAnsi="Times New Roman" w:cs="Times New Roman"/>
          <w:sz w:val="24"/>
          <w:szCs w:val="24"/>
        </w:rPr>
      </w:pPr>
    </w:p>
    <w:p w14:paraId="3BB0F148"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620F8DFA" wp14:editId="7577D3F2">
            <wp:extent cx="5727700" cy="133985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27700" cy="1339850"/>
                    </a:xfrm>
                    <a:prstGeom prst="rect">
                      <a:avLst/>
                    </a:prstGeom>
                    <a:noFill/>
                    <a:ln>
                      <a:noFill/>
                    </a:ln>
                  </pic:spPr>
                </pic:pic>
              </a:graphicData>
            </a:graphic>
          </wp:inline>
        </w:drawing>
      </w:r>
    </w:p>
    <w:p w14:paraId="0E251B1F"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408E1E12" w14:textId="77777777" w:rsidR="009C3C86" w:rsidRDefault="009C3C86" w:rsidP="009C3C86">
      <w:pPr>
        <w:autoSpaceDE w:val="0"/>
        <w:autoSpaceDN w:val="0"/>
        <w:adjustRightInd w:val="0"/>
        <w:spacing w:after="0" w:line="400" w:lineRule="atLeast"/>
        <w:rPr>
          <w:rFonts w:ascii="Times New Roman" w:hAnsi="Times New Roman" w:cs="Times New Roman"/>
          <w:sz w:val="24"/>
          <w:szCs w:val="24"/>
        </w:rPr>
      </w:pPr>
    </w:p>
    <w:p w14:paraId="27248004"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3E4FED60"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1B524023" w14:textId="77777777" w:rsidR="009C3C86" w:rsidRPr="00CB0654" w:rsidRDefault="009C3C86" w:rsidP="009C3C86">
      <w:pPr>
        <w:autoSpaceDE w:val="0"/>
        <w:autoSpaceDN w:val="0"/>
        <w:adjustRightInd w:val="0"/>
        <w:spacing w:after="0" w:line="240" w:lineRule="auto"/>
        <w:rPr>
          <w:rFonts w:ascii="Times New Roman" w:hAnsi="Times New Roman" w:cs="Times New Roman"/>
          <w:sz w:val="24"/>
          <w:szCs w:val="24"/>
        </w:rPr>
      </w:pPr>
    </w:p>
    <w:tbl>
      <w:tblPr>
        <w:tblW w:w="7455" w:type="dxa"/>
        <w:tblLayout w:type="fixed"/>
        <w:tblCellMar>
          <w:left w:w="0" w:type="dxa"/>
          <w:right w:w="0" w:type="dxa"/>
        </w:tblCellMar>
        <w:tblLook w:val="0000" w:firstRow="0" w:lastRow="0" w:firstColumn="0" w:lastColumn="0" w:noHBand="0" w:noVBand="0"/>
      </w:tblPr>
      <w:tblGrid>
        <w:gridCol w:w="1907"/>
        <w:gridCol w:w="1045"/>
        <w:gridCol w:w="1045"/>
        <w:gridCol w:w="1045"/>
        <w:gridCol w:w="1368"/>
        <w:gridCol w:w="1045"/>
      </w:tblGrid>
      <w:tr w:rsidR="009C3C86" w:rsidRPr="00CB0654" w14:paraId="0A13D40D" w14:textId="77777777" w:rsidTr="009C3C86">
        <w:trPr>
          <w:cantSplit/>
        </w:trPr>
        <w:tc>
          <w:tcPr>
            <w:tcW w:w="7454" w:type="dxa"/>
            <w:gridSpan w:val="6"/>
            <w:tcBorders>
              <w:top w:val="nil"/>
              <w:left w:val="nil"/>
              <w:bottom w:val="nil"/>
              <w:right w:val="nil"/>
            </w:tcBorders>
            <w:shd w:val="clear" w:color="auto" w:fill="FFFFFF"/>
            <w:vAlign w:val="center"/>
          </w:tcPr>
          <w:p w14:paraId="3D734466" w14:textId="77777777" w:rsidR="009C3C86" w:rsidRPr="00CB0654" w:rsidRDefault="009C3C86" w:rsidP="009C3C86">
            <w:pPr>
              <w:autoSpaceDE w:val="0"/>
              <w:autoSpaceDN w:val="0"/>
              <w:adjustRightInd w:val="0"/>
              <w:spacing w:after="0" w:line="320" w:lineRule="atLeast"/>
              <w:ind w:left="60" w:right="60"/>
              <w:jc w:val="center"/>
              <w:rPr>
                <w:rFonts w:ascii="Arial" w:hAnsi="Arial" w:cs="Arial"/>
                <w:color w:val="010205"/>
                <w:sz w:val="28"/>
                <w:szCs w:val="28"/>
              </w:rPr>
            </w:pPr>
            <w:r w:rsidRPr="00CB0654">
              <w:rPr>
                <w:rFonts w:ascii="Arial" w:hAnsi="Arial" w:cs="Arial"/>
                <w:b/>
                <w:bCs/>
                <w:color w:val="010205"/>
                <w:sz w:val="28"/>
                <w:szCs w:val="28"/>
              </w:rPr>
              <w:t>Residuals Statistics</w:t>
            </w:r>
            <w:r w:rsidRPr="00CB0654">
              <w:rPr>
                <w:rFonts w:ascii="Arial" w:hAnsi="Arial" w:cs="Arial"/>
                <w:b/>
                <w:bCs/>
                <w:color w:val="010205"/>
                <w:sz w:val="28"/>
                <w:szCs w:val="28"/>
                <w:vertAlign w:val="superscript"/>
              </w:rPr>
              <w:t>a</w:t>
            </w:r>
          </w:p>
        </w:tc>
      </w:tr>
      <w:tr w:rsidR="009C3C86" w:rsidRPr="00CB0654" w14:paraId="480DCE1D" w14:textId="77777777" w:rsidTr="009C3C86">
        <w:trPr>
          <w:cantSplit/>
        </w:trPr>
        <w:tc>
          <w:tcPr>
            <w:tcW w:w="1906" w:type="dxa"/>
            <w:tcBorders>
              <w:top w:val="nil"/>
              <w:left w:val="nil"/>
              <w:bottom w:val="single" w:sz="8" w:space="0" w:color="152935"/>
              <w:right w:val="nil"/>
            </w:tcBorders>
            <w:shd w:val="clear" w:color="auto" w:fill="FFFFFF"/>
            <w:vAlign w:val="bottom"/>
          </w:tcPr>
          <w:p w14:paraId="35BAA5C7" w14:textId="77777777" w:rsidR="009C3C86" w:rsidRPr="00CB0654" w:rsidRDefault="009C3C86" w:rsidP="009C3C86">
            <w:pPr>
              <w:autoSpaceDE w:val="0"/>
              <w:autoSpaceDN w:val="0"/>
              <w:adjustRightInd w:val="0"/>
              <w:spacing w:after="0" w:line="240" w:lineRule="auto"/>
              <w:rPr>
                <w:rFonts w:ascii="Times New Roman" w:hAnsi="Times New Roman" w:cs="Times New Roman"/>
                <w:sz w:val="24"/>
                <w:szCs w:val="24"/>
              </w:rPr>
            </w:pPr>
          </w:p>
        </w:tc>
        <w:tc>
          <w:tcPr>
            <w:tcW w:w="1045" w:type="dxa"/>
            <w:tcBorders>
              <w:top w:val="nil"/>
              <w:left w:val="nil"/>
              <w:bottom w:val="single" w:sz="8" w:space="0" w:color="152935"/>
              <w:right w:val="single" w:sz="8" w:space="0" w:color="E0E0E0"/>
            </w:tcBorders>
            <w:shd w:val="clear" w:color="auto" w:fill="FFFFFF"/>
            <w:vAlign w:val="bottom"/>
          </w:tcPr>
          <w:p w14:paraId="54769FD4" w14:textId="77777777" w:rsidR="009C3C86" w:rsidRPr="00CB0654"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CB0654">
              <w:rPr>
                <w:rFonts w:ascii="Arial" w:hAnsi="Arial" w:cs="Arial"/>
                <w:color w:val="264A60"/>
                <w:sz w:val="24"/>
                <w:szCs w:val="24"/>
              </w:rPr>
              <w:t>Minimum</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65DE6E5E" w14:textId="77777777" w:rsidR="009C3C86" w:rsidRPr="00CB0654"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CB0654">
              <w:rPr>
                <w:rFonts w:ascii="Arial" w:hAnsi="Arial" w:cs="Arial"/>
                <w:color w:val="264A60"/>
                <w:sz w:val="24"/>
                <w:szCs w:val="24"/>
              </w:rPr>
              <w:t>Maximum</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213CEAA3" w14:textId="77777777" w:rsidR="009C3C86" w:rsidRPr="00CB0654"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CB0654">
              <w:rPr>
                <w:rFonts w:ascii="Arial" w:hAnsi="Arial" w:cs="Arial"/>
                <w:color w:val="264A60"/>
                <w:sz w:val="24"/>
                <w:szCs w:val="24"/>
              </w:rPr>
              <w:t>Mean</w:t>
            </w:r>
          </w:p>
        </w:tc>
        <w:tc>
          <w:tcPr>
            <w:tcW w:w="1368" w:type="dxa"/>
            <w:tcBorders>
              <w:top w:val="nil"/>
              <w:left w:val="single" w:sz="8" w:space="0" w:color="E0E0E0"/>
              <w:bottom w:val="single" w:sz="8" w:space="0" w:color="152935"/>
              <w:right w:val="single" w:sz="8" w:space="0" w:color="E0E0E0"/>
            </w:tcBorders>
            <w:shd w:val="clear" w:color="auto" w:fill="FFFFFF"/>
            <w:vAlign w:val="bottom"/>
          </w:tcPr>
          <w:p w14:paraId="39022491" w14:textId="77777777" w:rsidR="009C3C86" w:rsidRPr="00CB0654"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CB0654">
              <w:rPr>
                <w:rFonts w:ascii="Arial" w:hAnsi="Arial" w:cs="Arial"/>
                <w:color w:val="264A60"/>
                <w:sz w:val="24"/>
                <w:szCs w:val="24"/>
              </w:rPr>
              <w:t>Std. Deviation</w:t>
            </w:r>
          </w:p>
        </w:tc>
        <w:tc>
          <w:tcPr>
            <w:tcW w:w="1045" w:type="dxa"/>
            <w:tcBorders>
              <w:top w:val="nil"/>
              <w:left w:val="single" w:sz="8" w:space="0" w:color="E0E0E0"/>
              <w:bottom w:val="single" w:sz="8" w:space="0" w:color="152935"/>
              <w:right w:val="nil"/>
            </w:tcBorders>
            <w:shd w:val="clear" w:color="auto" w:fill="FFFFFF"/>
            <w:vAlign w:val="bottom"/>
          </w:tcPr>
          <w:p w14:paraId="22418EBE" w14:textId="77777777" w:rsidR="009C3C86" w:rsidRPr="00CB0654" w:rsidRDefault="009C3C86" w:rsidP="009C3C86">
            <w:pPr>
              <w:autoSpaceDE w:val="0"/>
              <w:autoSpaceDN w:val="0"/>
              <w:adjustRightInd w:val="0"/>
              <w:spacing w:after="0" w:line="320" w:lineRule="atLeast"/>
              <w:ind w:left="60" w:right="60"/>
              <w:jc w:val="center"/>
              <w:rPr>
                <w:rFonts w:ascii="Arial" w:hAnsi="Arial" w:cs="Arial"/>
                <w:color w:val="264A60"/>
                <w:sz w:val="24"/>
                <w:szCs w:val="24"/>
              </w:rPr>
            </w:pPr>
            <w:r w:rsidRPr="00CB0654">
              <w:rPr>
                <w:rFonts w:ascii="Arial" w:hAnsi="Arial" w:cs="Arial"/>
                <w:color w:val="264A60"/>
                <w:sz w:val="24"/>
                <w:szCs w:val="24"/>
              </w:rPr>
              <w:t>N</w:t>
            </w:r>
          </w:p>
        </w:tc>
      </w:tr>
      <w:tr w:rsidR="009C3C86" w:rsidRPr="00CB0654" w14:paraId="37E0A531" w14:textId="77777777" w:rsidTr="009C3C86">
        <w:trPr>
          <w:cantSplit/>
        </w:trPr>
        <w:tc>
          <w:tcPr>
            <w:tcW w:w="1906" w:type="dxa"/>
            <w:tcBorders>
              <w:top w:val="single" w:sz="8" w:space="0" w:color="152935"/>
              <w:left w:val="nil"/>
              <w:bottom w:val="single" w:sz="8" w:space="0" w:color="AEAEAE"/>
              <w:right w:val="nil"/>
            </w:tcBorders>
            <w:shd w:val="clear" w:color="auto" w:fill="E0E0E0"/>
          </w:tcPr>
          <w:p w14:paraId="54A90620" w14:textId="77777777" w:rsidR="009C3C86" w:rsidRPr="00CB0654" w:rsidRDefault="009C3C86" w:rsidP="009C3C86">
            <w:pPr>
              <w:autoSpaceDE w:val="0"/>
              <w:autoSpaceDN w:val="0"/>
              <w:adjustRightInd w:val="0"/>
              <w:spacing w:after="0" w:line="320" w:lineRule="atLeast"/>
              <w:ind w:left="60" w:right="60"/>
              <w:rPr>
                <w:rFonts w:ascii="Arial" w:hAnsi="Arial" w:cs="Arial"/>
                <w:color w:val="264A60"/>
                <w:sz w:val="24"/>
                <w:szCs w:val="24"/>
              </w:rPr>
            </w:pPr>
            <w:r w:rsidRPr="00CB0654">
              <w:rPr>
                <w:rFonts w:ascii="Arial" w:hAnsi="Arial" w:cs="Arial"/>
                <w:color w:val="264A60"/>
                <w:sz w:val="24"/>
                <w:szCs w:val="24"/>
              </w:rPr>
              <w:t>Predicted Value</w:t>
            </w:r>
          </w:p>
        </w:tc>
        <w:tc>
          <w:tcPr>
            <w:tcW w:w="1045" w:type="dxa"/>
            <w:tcBorders>
              <w:top w:val="single" w:sz="8" w:space="0" w:color="152935"/>
              <w:left w:val="nil"/>
              <w:bottom w:val="single" w:sz="8" w:space="0" w:color="AEAEAE"/>
              <w:right w:val="single" w:sz="8" w:space="0" w:color="E0E0E0"/>
            </w:tcBorders>
            <w:shd w:val="clear" w:color="auto" w:fill="F9F9FB"/>
          </w:tcPr>
          <w:p w14:paraId="735CE06C" w14:textId="77777777" w:rsidR="009C3C86" w:rsidRPr="00CB065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CB0654">
              <w:rPr>
                <w:rFonts w:ascii="Arial" w:hAnsi="Arial" w:cs="Arial"/>
                <w:color w:val="010205"/>
                <w:sz w:val="24"/>
                <w:szCs w:val="24"/>
              </w:rPr>
              <w:t>.5027</w:t>
            </w:r>
          </w:p>
        </w:tc>
        <w:tc>
          <w:tcPr>
            <w:tcW w:w="1045" w:type="dxa"/>
            <w:tcBorders>
              <w:top w:val="single" w:sz="8" w:space="0" w:color="152935"/>
              <w:left w:val="single" w:sz="8" w:space="0" w:color="E0E0E0"/>
              <w:bottom w:val="single" w:sz="8" w:space="0" w:color="AEAEAE"/>
              <w:right w:val="single" w:sz="8" w:space="0" w:color="E0E0E0"/>
            </w:tcBorders>
            <w:shd w:val="clear" w:color="auto" w:fill="F9F9FB"/>
          </w:tcPr>
          <w:p w14:paraId="4D1A9787" w14:textId="77777777" w:rsidR="009C3C86" w:rsidRPr="00CB065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CB0654">
              <w:rPr>
                <w:rFonts w:ascii="Arial" w:hAnsi="Arial" w:cs="Arial"/>
                <w:color w:val="010205"/>
                <w:sz w:val="24"/>
                <w:szCs w:val="24"/>
              </w:rPr>
              <w:t>1.1296</w:t>
            </w:r>
          </w:p>
        </w:tc>
        <w:tc>
          <w:tcPr>
            <w:tcW w:w="1045" w:type="dxa"/>
            <w:tcBorders>
              <w:top w:val="single" w:sz="8" w:space="0" w:color="152935"/>
              <w:left w:val="single" w:sz="8" w:space="0" w:color="E0E0E0"/>
              <w:bottom w:val="single" w:sz="8" w:space="0" w:color="AEAEAE"/>
              <w:right w:val="single" w:sz="8" w:space="0" w:color="E0E0E0"/>
            </w:tcBorders>
            <w:shd w:val="clear" w:color="auto" w:fill="F9F9FB"/>
          </w:tcPr>
          <w:p w14:paraId="1033FF78" w14:textId="77777777" w:rsidR="009C3C86" w:rsidRPr="00CB065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CB0654">
              <w:rPr>
                <w:rFonts w:ascii="Arial" w:hAnsi="Arial" w:cs="Arial"/>
                <w:color w:val="010205"/>
                <w:sz w:val="24"/>
                <w:szCs w:val="24"/>
              </w:rPr>
              <w:t>.7811</w:t>
            </w:r>
          </w:p>
        </w:tc>
        <w:tc>
          <w:tcPr>
            <w:tcW w:w="1368" w:type="dxa"/>
            <w:tcBorders>
              <w:top w:val="single" w:sz="8" w:space="0" w:color="152935"/>
              <w:left w:val="single" w:sz="8" w:space="0" w:color="E0E0E0"/>
              <w:bottom w:val="single" w:sz="8" w:space="0" w:color="AEAEAE"/>
              <w:right w:val="single" w:sz="8" w:space="0" w:color="E0E0E0"/>
            </w:tcBorders>
            <w:shd w:val="clear" w:color="auto" w:fill="F9F9FB"/>
          </w:tcPr>
          <w:p w14:paraId="35DC67E0" w14:textId="77777777" w:rsidR="009C3C86" w:rsidRPr="00CB065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CB0654">
              <w:rPr>
                <w:rFonts w:ascii="Arial" w:hAnsi="Arial" w:cs="Arial"/>
                <w:color w:val="010205"/>
                <w:sz w:val="24"/>
                <w:szCs w:val="24"/>
              </w:rPr>
              <w:t>.15440</w:t>
            </w:r>
          </w:p>
        </w:tc>
        <w:tc>
          <w:tcPr>
            <w:tcW w:w="1045" w:type="dxa"/>
            <w:tcBorders>
              <w:top w:val="single" w:sz="8" w:space="0" w:color="152935"/>
              <w:left w:val="single" w:sz="8" w:space="0" w:color="E0E0E0"/>
              <w:bottom w:val="single" w:sz="8" w:space="0" w:color="AEAEAE"/>
              <w:right w:val="nil"/>
            </w:tcBorders>
            <w:shd w:val="clear" w:color="auto" w:fill="F9F9FB"/>
          </w:tcPr>
          <w:p w14:paraId="6389C893" w14:textId="77777777" w:rsidR="009C3C86" w:rsidRPr="00CB065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CB0654">
              <w:rPr>
                <w:rFonts w:ascii="Arial" w:hAnsi="Arial" w:cs="Arial"/>
                <w:color w:val="010205"/>
                <w:sz w:val="24"/>
                <w:szCs w:val="24"/>
              </w:rPr>
              <w:t>84</w:t>
            </w:r>
          </w:p>
        </w:tc>
      </w:tr>
      <w:tr w:rsidR="009C3C86" w:rsidRPr="00CB0654" w14:paraId="248C85D0" w14:textId="77777777" w:rsidTr="009C3C86">
        <w:trPr>
          <w:cantSplit/>
        </w:trPr>
        <w:tc>
          <w:tcPr>
            <w:tcW w:w="1906" w:type="dxa"/>
            <w:tcBorders>
              <w:top w:val="single" w:sz="8" w:space="0" w:color="AEAEAE"/>
              <w:left w:val="nil"/>
              <w:bottom w:val="single" w:sz="8" w:space="0" w:color="AEAEAE"/>
              <w:right w:val="nil"/>
            </w:tcBorders>
            <w:shd w:val="clear" w:color="auto" w:fill="E0E0E0"/>
          </w:tcPr>
          <w:p w14:paraId="402E10F5" w14:textId="77777777" w:rsidR="009C3C86" w:rsidRPr="00CB0654" w:rsidRDefault="009C3C86" w:rsidP="009C3C86">
            <w:pPr>
              <w:autoSpaceDE w:val="0"/>
              <w:autoSpaceDN w:val="0"/>
              <w:adjustRightInd w:val="0"/>
              <w:spacing w:after="0" w:line="320" w:lineRule="atLeast"/>
              <w:ind w:left="60" w:right="60"/>
              <w:rPr>
                <w:rFonts w:ascii="Arial" w:hAnsi="Arial" w:cs="Arial"/>
                <w:color w:val="264A60"/>
                <w:sz w:val="24"/>
                <w:szCs w:val="24"/>
              </w:rPr>
            </w:pPr>
            <w:r w:rsidRPr="00CB0654">
              <w:rPr>
                <w:rFonts w:ascii="Arial" w:hAnsi="Arial" w:cs="Arial"/>
                <w:color w:val="264A60"/>
                <w:sz w:val="24"/>
                <w:szCs w:val="24"/>
              </w:rPr>
              <w:t>Residual</w:t>
            </w:r>
          </w:p>
        </w:tc>
        <w:tc>
          <w:tcPr>
            <w:tcW w:w="1045" w:type="dxa"/>
            <w:tcBorders>
              <w:top w:val="single" w:sz="8" w:space="0" w:color="AEAEAE"/>
              <w:left w:val="nil"/>
              <w:bottom w:val="single" w:sz="8" w:space="0" w:color="AEAEAE"/>
              <w:right w:val="single" w:sz="8" w:space="0" w:color="E0E0E0"/>
            </w:tcBorders>
            <w:shd w:val="clear" w:color="auto" w:fill="F9F9FB"/>
          </w:tcPr>
          <w:p w14:paraId="424D5DC5" w14:textId="77777777" w:rsidR="009C3C86" w:rsidRPr="00CB065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CB0654">
              <w:rPr>
                <w:rFonts w:ascii="Arial" w:hAnsi="Arial" w:cs="Arial"/>
                <w:color w:val="010205"/>
                <w:sz w:val="24"/>
                <w:szCs w:val="24"/>
              </w:rPr>
              <w:t>-.84363</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2D133572" w14:textId="77777777" w:rsidR="009C3C86" w:rsidRPr="00CB065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CB0654">
              <w:rPr>
                <w:rFonts w:ascii="Arial" w:hAnsi="Arial" w:cs="Arial"/>
                <w:color w:val="010205"/>
                <w:sz w:val="24"/>
                <w:szCs w:val="24"/>
              </w:rPr>
              <w:t>1.16270</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54F618F3" w14:textId="77777777" w:rsidR="009C3C86" w:rsidRPr="00CB065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CB0654">
              <w:rPr>
                <w:rFonts w:ascii="Arial" w:hAnsi="Arial" w:cs="Arial"/>
                <w:color w:val="010205"/>
                <w:sz w:val="24"/>
                <w:szCs w:val="24"/>
              </w:rPr>
              <w:t>.00000</w:t>
            </w:r>
          </w:p>
        </w:tc>
        <w:tc>
          <w:tcPr>
            <w:tcW w:w="1368" w:type="dxa"/>
            <w:tcBorders>
              <w:top w:val="single" w:sz="8" w:space="0" w:color="AEAEAE"/>
              <w:left w:val="single" w:sz="8" w:space="0" w:color="E0E0E0"/>
              <w:bottom w:val="single" w:sz="8" w:space="0" w:color="AEAEAE"/>
              <w:right w:val="single" w:sz="8" w:space="0" w:color="E0E0E0"/>
            </w:tcBorders>
            <w:shd w:val="clear" w:color="auto" w:fill="F9F9FB"/>
          </w:tcPr>
          <w:p w14:paraId="00280782" w14:textId="77777777" w:rsidR="009C3C86" w:rsidRPr="00CB065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CB0654">
              <w:rPr>
                <w:rFonts w:ascii="Arial" w:hAnsi="Arial" w:cs="Arial"/>
                <w:color w:val="010205"/>
                <w:sz w:val="24"/>
                <w:szCs w:val="24"/>
              </w:rPr>
              <w:t>.54879</w:t>
            </w:r>
          </w:p>
        </w:tc>
        <w:tc>
          <w:tcPr>
            <w:tcW w:w="1045" w:type="dxa"/>
            <w:tcBorders>
              <w:top w:val="single" w:sz="8" w:space="0" w:color="AEAEAE"/>
              <w:left w:val="single" w:sz="8" w:space="0" w:color="E0E0E0"/>
              <w:bottom w:val="single" w:sz="8" w:space="0" w:color="AEAEAE"/>
              <w:right w:val="nil"/>
            </w:tcBorders>
            <w:shd w:val="clear" w:color="auto" w:fill="F9F9FB"/>
          </w:tcPr>
          <w:p w14:paraId="1AB4C8EA" w14:textId="77777777" w:rsidR="009C3C86" w:rsidRPr="00CB065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CB0654">
              <w:rPr>
                <w:rFonts w:ascii="Arial" w:hAnsi="Arial" w:cs="Arial"/>
                <w:color w:val="010205"/>
                <w:sz w:val="24"/>
                <w:szCs w:val="24"/>
              </w:rPr>
              <w:t>84</w:t>
            </w:r>
          </w:p>
        </w:tc>
      </w:tr>
      <w:tr w:rsidR="009C3C86" w:rsidRPr="00CB0654" w14:paraId="3331C53E" w14:textId="77777777" w:rsidTr="009C3C86">
        <w:trPr>
          <w:cantSplit/>
        </w:trPr>
        <w:tc>
          <w:tcPr>
            <w:tcW w:w="1906" w:type="dxa"/>
            <w:tcBorders>
              <w:top w:val="single" w:sz="8" w:space="0" w:color="AEAEAE"/>
              <w:left w:val="nil"/>
              <w:bottom w:val="single" w:sz="8" w:space="0" w:color="AEAEAE"/>
              <w:right w:val="nil"/>
            </w:tcBorders>
            <w:shd w:val="clear" w:color="auto" w:fill="E0E0E0"/>
          </w:tcPr>
          <w:p w14:paraId="3DF64565" w14:textId="77777777" w:rsidR="009C3C86" w:rsidRPr="00CB0654" w:rsidRDefault="009C3C86" w:rsidP="009C3C86">
            <w:pPr>
              <w:autoSpaceDE w:val="0"/>
              <w:autoSpaceDN w:val="0"/>
              <w:adjustRightInd w:val="0"/>
              <w:spacing w:after="0" w:line="320" w:lineRule="atLeast"/>
              <w:ind w:left="60" w:right="60"/>
              <w:rPr>
                <w:rFonts w:ascii="Arial" w:hAnsi="Arial" w:cs="Arial"/>
                <w:color w:val="264A60"/>
                <w:sz w:val="24"/>
                <w:szCs w:val="24"/>
              </w:rPr>
            </w:pPr>
            <w:r w:rsidRPr="00CB0654">
              <w:rPr>
                <w:rFonts w:ascii="Arial" w:hAnsi="Arial" w:cs="Arial"/>
                <w:color w:val="264A60"/>
                <w:sz w:val="24"/>
                <w:szCs w:val="24"/>
              </w:rPr>
              <w:t>Std. Predicted Value</w:t>
            </w:r>
          </w:p>
        </w:tc>
        <w:tc>
          <w:tcPr>
            <w:tcW w:w="1045" w:type="dxa"/>
            <w:tcBorders>
              <w:top w:val="single" w:sz="8" w:space="0" w:color="AEAEAE"/>
              <w:left w:val="nil"/>
              <w:bottom w:val="single" w:sz="8" w:space="0" w:color="AEAEAE"/>
              <w:right w:val="single" w:sz="8" w:space="0" w:color="E0E0E0"/>
            </w:tcBorders>
            <w:shd w:val="clear" w:color="auto" w:fill="F9F9FB"/>
          </w:tcPr>
          <w:p w14:paraId="2BD0FC73" w14:textId="77777777" w:rsidR="009C3C86" w:rsidRPr="00CB065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CB0654">
              <w:rPr>
                <w:rFonts w:ascii="Arial" w:hAnsi="Arial" w:cs="Arial"/>
                <w:color w:val="010205"/>
                <w:sz w:val="24"/>
                <w:szCs w:val="24"/>
              </w:rPr>
              <w:t>-1.803</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0B718991" w14:textId="77777777" w:rsidR="009C3C86" w:rsidRPr="00CB065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CB0654">
              <w:rPr>
                <w:rFonts w:ascii="Arial" w:hAnsi="Arial" w:cs="Arial"/>
                <w:color w:val="010205"/>
                <w:sz w:val="24"/>
                <w:szCs w:val="24"/>
              </w:rPr>
              <w:t>2.256</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1DB74596" w14:textId="77777777" w:rsidR="009C3C86" w:rsidRPr="00CB065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CB0654">
              <w:rPr>
                <w:rFonts w:ascii="Arial" w:hAnsi="Arial" w:cs="Arial"/>
                <w:color w:val="010205"/>
                <w:sz w:val="24"/>
                <w:szCs w:val="24"/>
              </w:rPr>
              <w:t>.000</w:t>
            </w:r>
          </w:p>
        </w:tc>
        <w:tc>
          <w:tcPr>
            <w:tcW w:w="1368" w:type="dxa"/>
            <w:tcBorders>
              <w:top w:val="single" w:sz="8" w:space="0" w:color="AEAEAE"/>
              <w:left w:val="single" w:sz="8" w:space="0" w:color="E0E0E0"/>
              <w:bottom w:val="single" w:sz="8" w:space="0" w:color="AEAEAE"/>
              <w:right w:val="single" w:sz="8" w:space="0" w:color="E0E0E0"/>
            </w:tcBorders>
            <w:shd w:val="clear" w:color="auto" w:fill="F9F9FB"/>
          </w:tcPr>
          <w:p w14:paraId="1AF55107" w14:textId="77777777" w:rsidR="009C3C86" w:rsidRPr="00CB065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CB0654">
              <w:rPr>
                <w:rFonts w:ascii="Arial" w:hAnsi="Arial" w:cs="Arial"/>
                <w:color w:val="010205"/>
                <w:sz w:val="24"/>
                <w:szCs w:val="24"/>
              </w:rPr>
              <w:t>1.000</w:t>
            </w:r>
          </w:p>
        </w:tc>
        <w:tc>
          <w:tcPr>
            <w:tcW w:w="1045" w:type="dxa"/>
            <w:tcBorders>
              <w:top w:val="single" w:sz="8" w:space="0" w:color="AEAEAE"/>
              <w:left w:val="single" w:sz="8" w:space="0" w:color="E0E0E0"/>
              <w:bottom w:val="single" w:sz="8" w:space="0" w:color="AEAEAE"/>
              <w:right w:val="nil"/>
            </w:tcBorders>
            <w:shd w:val="clear" w:color="auto" w:fill="F9F9FB"/>
          </w:tcPr>
          <w:p w14:paraId="50324299" w14:textId="77777777" w:rsidR="009C3C86" w:rsidRPr="00CB065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CB0654">
              <w:rPr>
                <w:rFonts w:ascii="Arial" w:hAnsi="Arial" w:cs="Arial"/>
                <w:color w:val="010205"/>
                <w:sz w:val="24"/>
                <w:szCs w:val="24"/>
              </w:rPr>
              <w:t>84</w:t>
            </w:r>
          </w:p>
        </w:tc>
      </w:tr>
      <w:tr w:rsidR="009C3C86" w:rsidRPr="00CB0654" w14:paraId="5DD4D258" w14:textId="77777777" w:rsidTr="009C3C86">
        <w:trPr>
          <w:cantSplit/>
        </w:trPr>
        <w:tc>
          <w:tcPr>
            <w:tcW w:w="1906" w:type="dxa"/>
            <w:tcBorders>
              <w:top w:val="single" w:sz="8" w:space="0" w:color="AEAEAE"/>
              <w:left w:val="nil"/>
              <w:bottom w:val="single" w:sz="8" w:space="0" w:color="152935"/>
              <w:right w:val="nil"/>
            </w:tcBorders>
            <w:shd w:val="clear" w:color="auto" w:fill="E0E0E0"/>
          </w:tcPr>
          <w:p w14:paraId="1768B750" w14:textId="77777777" w:rsidR="009C3C86" w:rsidRPr="00CB0654" w:rsidRDefault="009C3C86" w:rsidP="009C3C86">
            <w:pPr>
              <w:autoSpaceDE w:val="0"/>
              <w:autoSpaceDN w:val="0"/>
              <w:adjustRightInd w:val="0"/>
              <w:spacing w:after="0" w:line="320" w:lineRule="atLeast"/>
              <w:ind w:left="60" w:right="60"/>
              <w:rPr>
                <w:rFonts w:ascii="Arial" w:hAnsi="Arial" w:cs="Arial"/>
                <w:color w:val="264A60"/>
                <w:sz w:val="24"/>
                <w:szCs w:val="24"/>
              </w:rPr>
            </w:pPr>
            <w:r w:rsidRPr="00CB0654">
              <w:rPr>
                <w:rFonts w:ascii="Arial" w:hAnsi="Arial" w:cs="Arial"/>
                <w:color w:val="264A60"/>
                <w:sz w:val="24"/>
                <w:szCs w:val="24"/>
              </w:rPr>
              <w:t>Std. Residual</w:t>
            </w:r>
          </w:p>
        </w:tc>
        <w:tc>
          <w:tcPr>
            <w:tcW w:w="1045" w:type="dxa"/>
            <w:tcBorders>
              <w:top w:val="single" w:sz="8" w:space="0" w:color="AEAEAE"/>
              <w:left w:val="nil"/>
              <w:bottom w:val="single" w:sz="8" w:space="0" w:color="152935"/>
              <w:right w:val="single" w:sz="8" w:space="0" w:color="E0E0E0"/>
            </w:tcBorders>
            <w:shd w:val="clear" w:color="auto" w:fill="F9F9FB"/>
          </w:tcPr>
          <w:p w14:paraId="274D3F19" w14:textId="77777777" w:rsidR="009C3C86" w:rsidRPr="00CB065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CB0654">
              <w:rPr>
                <w:rFonts w:ascii="Arial" w:hAnsi="Arial" w:cs="Arial"/>
                <w:color w:val="010205"/>
                <w:sz w:val="24"/>
                <w:szCs w:val="24"/>
              </w:rPr>
              <w:t>-1.490</w:t>
            </w:r>
          </w:p>
        </w:tc>
        <w:tc>
          <w:tcPr>
            <w:tcW w:w="1045" w:type="dxa"/>
            <w:tcBorders>
              <w:top w:val="single" w:sz="8" w:space="0" w:color="AEAEAE"/>
              <w:left w:val="single" w:sz="8" w:space="0" w:color="E0E0E0"/>
              <w:bottom w:val="single" w:sz="8" w:space="0" w:color="152935"/>
              <w:right w:val="single" w:sz="8" w:space="0" w:color="E0E0E0"/>
            </w:tcBorders>
            <w:shd w:val="clear" w:color="auto" w:fill="F9F9FB"/>
          </w:tcPr>
          <w:p w14:paraId="597A5D0D" w14:textId="77777777" w:rsidR="009C3C86" w:rsidRPr="00CB065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CB0654">
              <w:rPr>
                <w:rFonts w:ascii="Arial" w:hAnsi="Arial" w:cs="Arial"/>
                <w:color w:val="010205"/>
                <w:sz w:val="24"/>
                <w:szCs w:val="24"/>
              </w:rPr>
              <w:t>2.054</w:t>
            </w:r>
          </w:p>
        </w:tc>
        <w:tc>
          <w:tcPr>
            <w:tcW w:w="1045" w:type="dxa"/>
            <w:tcBorders>
              <w:top w:val="single" w:sz="8" w:space="0" w:color="AEAEAE"/>
              <w:left w:val="single" w:sz="8" w:space="0" w:color="E0E0E0"/>
              <w:bottom w:val="single" w:sz="8" w:space="0" w:color="152935"/>
              <w:right w:val="single" w:sz="8" w:space="0" w:color="E0E0E0"/>
            </w:tcBorders>
            <w:shd w:val="clear" w:color="auto" w:fill="F9F9FB"/>
          </w:tcPr>
          <w:p w14:paraId="465093B0" w14:textId="77777777" w:rsidR="009C3C86" w:rsidRPr="00CB065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CB0654">
              <w:rPr>
                <w:rFonts w:ascii="Arial" w:hAnsi="Arial" w:cs="Arial"/>
                <w:color w:val="010205"/>
                <w:sz w:val="24"/>
                <w:szCs w:val="24"/>
              </w:rPr>
              <w:t>.000</w:t>
            </w:r>
          </w:p>
        </w:tc>
        <w:tc>
          <w:tcPr>
            <w:tcW w:w="1368" w:type="dxa"/>
            <w:tcBorders>
              <w:top w:val="single" w:sz="8" w:space="0" w:color="AEAEAE"/>
              <w:left w:val="single" w:sz="8" w:space="0" w:color="E0E0E0"/>
              <w:bottom w:val="single" w:sz="8" w:space="0" w:color="152935"/>
              <w:right w:val="single" w:sz="8" w:space="0" w:color="E0E0E0"/>
            </w:tcBorders>
            <w:shd w:val="clear" w:color="auto" w:fill="F9F9FB"/>
          </w:tcPr>
          <w:p w14:paraId="1C3EAA38" w14:textId="77777777" w:rsidR="009C3C86" w:rsidRPr="00CB065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CB0654">
              <w:rPr>
                <w:rFonts w:ascii="Arial" w:hAnsi="Arial" w:cs="Arial"/>
                <w:color w:val="010205"/>
                <w:sz w:val="24"/>
                <w:szCs w:val="24"/>
              </w:rPr>
              <w:t>.969</w:t>
            </w:r>
          </w:p>
        </w:tc>
        <w:tc>
          <w:tcPr>
            <w:tcW w:w="1045" w:type="dxa"/>
            <w:tcBorders>
              <w:top w:val="single" w:sz="8" w:space="0" w:color="AEAEAE"/>
              <w:left w:val="single" w:sz="8" w:space="0" w:color="E0E0E0"/>
              <w:bottom w:val="single" w:sz="8" w:space="0" w:color="152935"/>
              <w:right w:val="nil"/>
            </w:tcBorders>
            <w:shd w:val="clear" w:color="auto" w:fill="F9F9FB"/>
          </w:tcPr>
          <w:p w14:paraId="2B14F3AC" w14:textId="77777777" w:rsidR="009C3C86" w:rsidRPr="00CB0654" w:rsidRDefault="009C3C86" w:rsidP="009C3C86">
            <w:pPr>
              <w:autoSpaceDE w:val="0"/>
              <w:autoSpaceDN w:val="0"/>
              <w:adjustRightInd w:val="0"/>
              <w:spacing w:after="0" w:line="320" w:lineRule="atLeast"/>
              <w:ind w:left="60" w:right="60"/>
              <w:jc w:val="right"/>
              <w:rPr>
                <w:rFonts w:ascii="Arial" w:hAnsi="Arial" w:cs="Arial"/>
                <w:color w:val="010205"/>
                <w:sz w:val="24"/>
                <w:szCs w:val="24"/>
              </w:rPr>
            </w:pPr>
            <w:r w:rsidRPr="00CB0654">
              <w:rPr>
                <w:rFonts w:ascii="Arial" w:hAnsi="Arial" w:cs="Arial"/>
                <w:color w:val="010205"/>
                <w:sz w:val="24"/>
                <w:szCs w:val="24"/>
              </w:rPr>
              <w:t>84</w:t>
            </w:r>
          </w:p>
        </w:tc>
      </w:tr>
      <w:tr w:rsidR="009C3C86" w:rsidRPr="00CB0654" w14:paraId="49AFA2A8" w14:textId="77777777" w:rsidTr="009C3C86">
        <w:trPr>
          <w:cantSplit/>
        </w:trPr>
        <w:tc>
          <w:tcPr>
            <w:tcW w:w="7454" w:type="dxa"/>
            <w:gridSpan w:val="6"/>
            <w:tcBorders>
              <w:top w:val="nil"/>
              <w:left w:val="nil"/>
              <w:bottom w:val="nil"/>
              <w:right w:val="nil"/>
            </w:tcBorders>
            <w:shd w:val="clear" w:color="auto" w:fill="FFFFFF"/>
          </w:tcPr>
          <w:p w14:paraId="48965109" w14:textId="77777777" w:rsidR="009C3C86" w:rsidRPr="00CB0654" w:rsidRDefault="009C3C86" w:rsidP="009C3C86">
            <w:pPr>
              <w:autoSpaceDE w:val="0"/>
              <w:autoSpaceDN w:val="0"/>
              <w:adjustRightInd w:val="0"/>
              <w:spacing w:after="0" w:line="320" w:lineRule="atLeast"/>
              <w:ind w:left="60" w:right="60"/>
              <w:rPr>
                <w:rFonts w:ascii="Arial" w:hAnsi="Arial" w:cs="Arial"/>
                <w:color w:val="010205"/>
                <w:sz w:val="24"/>
                <w:szCs w:val="24"/>
              </w:rPr>
            </w:pPr>
            <w:r w:rsidRPr="00CB0654">
              <w:rPr>
                <w:rFonts w:ascii="Arial" w:hAnsi="Arial" w:cs="Arial"/>
                <w:color w:val="010205"/>
                <w:sz w:val="24"/>
                <w:szCs w:val="24"/>
              </w:rPr>
              <w:t>a. Dependent Variable: logxoutseziurenum</w:t>
            </w:r>
          </w:p>
        </w:tc>
      </w:tr>
    </w:tbl>
    <w:p w14:paraId="0FB1A50A" w14:textId="0E53D87F" w:rsidR="009C3C86" w:rsidRDefault="009C3C86" w:rsidP="009C3C86">
      <w:pPr>
        <w:autoSpaceDE w:val="0"/>
        <w:autoSpaceDN w:val="0"/>
        <w:adjustRightInd w:val="0"/>
        <w:spacing w:after="0" w:line="240" w:lineRule="auto"/>
        <w:rPr>
          <w:rFonts w:cstheme="minorHAnsi"/>
          <w:b/>
          <w:sz w:val="24"/>
          <w:szCs w:val="24"/>
        </w:rPr>
      </w:pPr>
    </w:p>
    <w:p w14:paraId="2D152323" w14:textId="77777777" w:rsidR="009C3C86" w:rsidRPr="00155F8C" w:rsidRDefault="009C3C86" w:rsidP="00027769">
      <w:pPr>
        <w:pStyle w:val="Heading1"/>
      </w:pPr>
      <w:bookmarkStart w:id="206" w:name="_Toc133487858"/>
      <w:r>
        <w:lastRenderedPageBreak/>
        <w:t>Appendix N</w:t>
      </w:r>
      <w:bookmarkEnd w:id="206"/>
    </w:p>
    <w:p w14:paraId="1EF1B987" w14:textId="028D43A6" w:rsidR="009C3C86" w:rsidRPr="00A53770" w:rsidRDefault="009C3C86" w:rsidP="00A53770">
      <w:pPr>
        <w:rPr>
          <w:b/>
        </w:rPr>
      </w:pPr>
      <w:bookmarkStart w:id="207" w:name="_Toc133144234"/>
      <w:r w:rsidRPr="00A53770">
        <w:rPr>
          <w:b/>
        </w:rPr>
        <w:t>SPSS output for second regression analysis, predicting seizure number from IU, AS, depression, anxiety, and diagnosis of epilepsy or DS. Analysis run without log transformations and with Bootstrapping</w:t>
      </w:r>
      <w:bookmarkEnd w:id="207"/>
    </w:p>
    <w:p w14:paraId="3A673248" w14:textId="77777777" w:rsidR="009C3C86" w:rsidRDefault="009C3C86" w:rsidP="009C3C86">
      <w:pPr>
        <w:autoSpaceDE w:val="0"/>
        <w:autoSpaceDN w:val="0"/>
        <w:adjustRightInd w:val="0"/>
        <w:spacing w:after="0" w:line="240" w:lineRule="auto"/>
        <w:rPr>
          <w:rFonts w:ascii="Times New Roman" w:hAnsi="Times New Roman" w:cs="Times New Roman"/>
          <w:sz w:val="24"/>
          <w:szCs w:val="24"/>
        </w:rPr>
      </w:pPr>
    </w:p>
    <w:p w14:paraId="2400BD83" w14:textId="77777777" w:rsidR="009C3C86" w:rsidRDefault="009C3C86" w:rsidP="00027769"/>
    <w:p w14:paraId="4B731DC3" w14:textId="77777777" w:rsidR="009C3C86" w:rsidRDefault="009C3C86" w:rsidP="00027769">
      <w:r>
        <w:rPr>
          <w:noProof/>
          <w:lang w:eastAsia="en-GB"/>
        </w:rPr>
        <w:drawing>
          <wp:inline distT="0" distB="0" distL="0" distR="0" wp14:anchorId="208AAAD8" wp14:editId="110AEC2B">
            <wp:extent cx="5975350" cy="351155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75350" cy="3511550"/>
                    </a:xfrm>
                    <a:prstGeom prst="rect">
                      <a:avLst/>
                    </a:prstGeom>
                    <a:noFill/>
                    <a:ln>
                      <a:noFill/>
                    </a:ln>
                  </pic:spPr>
                </pic:pic>
              </a:graphicData>
            </a:graphic>
          </wp:inline>
        </w:drawing>
      </w:r>
    </w:p>
    <w:p w14:paraId="1A498D25" w14:textId="77777777" w:rsidR="009C3C86" w:rsidRDefault="009C3C86" w:rsidP="00027769"/>
    <w:p w14:paraId="12B88CFA" w14:textId="77777777" w:rsidR="009C3C86" w:rsidRDefault="009C3C86" w:rsidP="00027769"/>
    <w:p w14:paraId="4D04FFB4" w14:textId="77777777" w:rsidR="009C3C86" w:rsidRDefault="009C3C86" w:rsidP="00027769">
      <w:r>
        <w:rPr>
          <w:noProof/>
          <w:lang w:eastAsia="en-GB"/>
        </w:rPr>
        <w:drawing>
          <wp:inline distT="0" distB="0" distL="0" distR="0" wp14:anchorId="711B12AF" wp14:editId="6B12EDD5">
            <wp:extent cx="5374074" cy="3158197"/>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384455" cy="3164298"/>
                    </a:xfrm>
                    <a:prstGeom prst="rect">
                      <a:avLst/>
                    </a:prstGeom>
                    <a:noFill/>
                    <a:ln>
                      <a:noFill/>
                    </a:ln>
                  </pic:spPr>
                </pic:pic>
              </a:graphicData>
            </a:graphic>
          </wp:inline>
        </w:drawing>
      </w:r>
    </w:p>
    <w:p w14:paraId="53D26EA9" w14:textId="77777777" w:rsidR="009C3C86" w:rsidRDefault="009C3C86" w:rsidP="00027769"/>
    <w:p w14:paraId="4AEC342B" w14:textId="77777777" w:rsidR="009C3C86" w:rsidRDefault="009C3C86" w:rsidP="00027769"/>
    <w:p w14:paraId="629A293D" w14:textId="77777777" w:rsidR="009C3C86" w:rsidRDefault="009C3C86" w:rsidP="00027769">
      <w:r>
        <w:rPr>
          <w:noProof/>
          <w:lang w:eastAsia="en-GB"/>
        </w:rPr>
        <w:drawing>
          <wp:inline distT="0" distB="0" distL="0" distR="0" wp14:anchorId="7EBA0806" wp14:editId="503AF7C5">
            <wp:extent cx="5975350" cy="351155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75350" cy="3511550"/>
                    </a:xfrm>
                    <a:prstGeom prst="rect">
                      <a:avLst/>
                    </a:prstGeom>
                    <a:noFill/>
                    <a:ln>
                      <a:noFill/>
                    </a:ln>
                  </pic:spPr>
                </pic:pic>
              </a:graphicData>
            </a:graphic>
          </wp:inline>
        </w:drawing>
      </w:r>
    </w:p>
    <w:p w14:paraId="4F2CFE46" w14:textId="77777777" w:rsidR="009C3C86" w:rsidRDefault="009C3C86" w:rsidP="00027769"/>
    <w:p w14:paraId="0C23999A" w14:textId="77777777" w:rsidR="009C3C86" w:rsidRDefault="009C3C86" w:rsidP="00027769"/>
    <w:p w14:paraId="4CC85813" w14:textId="77777777" w:rsidR="009C3C86" w:rsidRDefault="009C3C86" w:rsidP="00027769">
      <w:r>
        <w:rPr>
          <w:noProof/>
          <w:lang w:eastAsia="en-GB"/>
        </w:rPr>
        <w:drawing>
          <wp:inline distT="0" distB="0" distL="0" distR="0" wp14:anchorId="4D478E50" wp14:editId="01400FEB">
            <wp:extent cx="5651500" cy="106680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651500" cy="1066800"/>
                    </a:xfrm>
                    <a:prstGeom prst="rect">
                      <a:avLst/>
                    </a:prstGeom>
                    <a:noFill/>
                    <a:ln>
                      <a:noFill/>
                    </a:ln>
                  </pic:spPr>
                </pic:pic>
              </a:graphicData>
            </a:graphic>
          </wp:inline>
        </w:drawing>
      </w:r>
    </w:p>
    <w:p w14:paraId="3CE7B468" w14:textId="77777777" w:rsidR="009C3C86" w:rsidRDefault="009C3C86" w:rsidP="00027769"/>
    <w:p w14:paraId="2000DC04" w14:textId="77777777" w:rsidR="009C3C86" w:rsidRDefault="009C3C86" w:rsidP="00027769"/>
    <w:p w14:paraId="5C053DF3" w14:textId="77777777" w:rsidR="009C3C86" w:rsidRPr="00CB0654" w:rsidRDefault="009C3C86" w:rsidP="00027769"/>
    <w:tbl>
      <w:tblPr>
        <w:tblW w:w="7009" w:type="dxa"/>
        <w:tblLayout w:type="fixed"/>
        <w:tblCellMar>
          <w:left w:w="0" w:type="dxa"/>
          <w:right w:w="0" w:type="dxa"/>
        </w:tblCellMar>
        <w:tblLook w:val="0000" w:firstRow="0" w:lastRow="0" w:firstColumn="0" w:lastColumn="0" w:noHBand="0" w:noVBand="0"/>
      </w:tblPr>
      <w:tblGrid>
        <w:gridCol w:w="754"/>
        <w:gridCol w:w="1491"/>
        <w:gridCol w:w="1045"/>
        <w:gridCol w:w="1045"/>
        <w:gridCol w:w="1337"/>
        <w:gridCol w:w="1337"/>
      </w:tblGrid>
      <w:tr w:rsidR="009C3C86" w:rsidRPr="00CB0654" w14:paraId="6CF5AC6A" w14:textId="77777777" w:rsidTr="009C3C86">
        <w:trPr>
          <w:cantSplit/>
        </w:trPr>
        <w:tc>
          <w:tcPr>
            <w:tcW w:w="7007" w:type="dxa"/>
            <w:gridSpan w:val="6"/>
            <w:tcBorders>
              <w:top w:val="nil"/>
              <w:left w:val="nil"/>
              <w:bottom w:val="nil"/>
              <w:right w:val="nil"/>
            </w:tcBorders>
            <w:shd w:val="clear" w:color="auto" w:fill="FFFFFF"/>
            <w:vAlign w:val="center"/>
          </w:tcPr>
          <w:p w14:paraId="50266B78" w14:textId="77777777" w:rsidR="009C3C86" w:rsidRPr="00CB0654" w:rsidRDefault="009C3C86" w:rsidP="00027769">
            <w:pPr>
              <w:rPr>
                <w:rFonts w:ascii="Arial" w:hAnsi="Arial" w:cs="Arial"/>
                <w:color w:val="010205"/>
                <w:sz w:val="28"/>
                <w:szCs w:val="28"/>
              </w:rPr>
            </w:pPr>
            <w:r w:rsidRPr="00CB0654">
              <w:rPr>
                <w:rFonts w:ascii="Arial" w:hAnsi="Arial" w:cs="Arial"/>
                <w:b/>
                <w:bCs/>
                <w:color w:val="010205"/>
                <w:sz w:val="28"/>
                <w:szCs w:val="28"/>
              </w:rPr>
              <w:t>Bootstrap for Model Summary</w:t>
            </w:r>
          </w:p>
        </w:tc>
      </w:tr>
      <w:tr w:rsidR="009C3C86" w:rsidRPr="00CB0654" w14:paraId="46F1ABE0" w14:textId="77777777" w:rsidTr="009C3C86">
        <w:trPr>
          <w:cantSplit/>
        </w:trPr>
        <w:tc>
          <w:tcPr>
            <w:tcW w:w="753" w:type="dxa"/>
            <w:vMerge w:val="restart"/>
            <w:tcBorders>
              <w:top w:val="nil"/>
              <w:left w:val="nil"/>
              <w:bottom w:val="nil"/>
              <w:right w:val="nil"/>
            </w:tcBorders>
            <w:shd w:val="clear" w:color="auto" w:fill="FFFFFF"/>
            <w:vAlign w:val="bottom"/>
          </w:tcPr>
          <w:p w14:paraId="27E445D6" w14:textId="77777777" w:rsidR="009C3C86" w:rsidRPr="00CB0654" w:rsidRDefault="009C3C86" w:rsidP="00027769">
            <w:pPr>
              <w:rPr>
                <w:rFonts w:ascii="Arial" w:hAnsi="Arial" w:cs="Arial"/>
                <w:color w:val="264A60"/>
              </w:rPr>
            </w:pPr>
            <w:r w:rsidRPr="00CB0654">
              <w:rPr>
                <w:rFonts w:ascii="Arial" w:hAnsi="Arial" w:cs="Arial"/>
                <w:color w:val="264A60"/>
              </w:rPr>
              <w:t>Model</w:t>
            </w:r>
          </w:p>
        </w:tc>
        <w:tc>
          <w:tcPr>
            <w:tcW w:w="1490" w:type="dxa"/>
            <w:vMerge w:val="restart"/>
            <w:tcBorders>
              <w:top w:val="nil"/>
              <w:left w:val="nil"/>
              <w:bottom w:val="nil"/>
              <w:right w:val="single" w:sz="8" w:space="0" w:color="E0E0E0"/>
            </w:tcBorders>
            <w:shd w:val="clear" w:color="auto" w:fill="FFFFFF"/>
            <w:vAlign w:val="bottom"/>
          </w:tcPr>
          <w:p w14:paraId="7B57E8CC" w14:textId="77777777" w:rsidR="009C3C86" w:rsidRPr="00CB0654" w:rsidRDefault="009C3C86" w:rsidP="00027769">
            <w:pPr>
              <w:rPr>
                <w:rFonts w:ascii="Arial" w:hAnsi="Arial" w:cs="Arial"/>
                <w:color w:val="264A60"/>
              </w:rPr>
            </w:pPr>
            <w:r w:rsidRPr="00CB0654">
              <w:rPr>
                <w:rFonts w:ascii="Arial" w:hAnsi="Arial" w:cs="Arial"/>
                <w:color w:val="264A60"/>
              </w:rPr>
              <w:t>Durbin-Watson</w:t>
            </w:r>
          </w:p>
        </w:tc>
        <w:tc>
          <w:tcPr>
            <w:tcW w:w="4764" w:type="dxa"/>
            <w:gridSpan w:val="4"/>
            <w:tcBorders>
              <w:top w:val="nil"/>
              <w:left w:val="single" w:sz="8" w:space="0" w:color="E0E0E0"/>
              <w:bottom w:val="nil"/>
              <w:right w:val="nil"/>
            </w:tcBorders>
            <w:shd w:val="clear" w:color="auto" w:fill="FFFFFF"/>
            <w:vAlign w:val="bottom"/>
          </w:tcPr>
          <w:p w14:paraId="768AD3F1" w14:textId="77777777" w:rsidR="009C3C86" w:rsidRPr="00CB0654" w:rsidRDefault="009C3C86" w:rsidP="00027769">
            <w:pPr>
              <w:rPr>
                <w:rFonts w:ascii="Arial" w:hAnsi="Arial" w:cs="Arial"/>
                <w:color w:val="264A60"/>
              </w:rPr>
            </w:pPr>
            <w:r w:rsidRPr="00CB0654">
              <w:rPr>
                <w:rFonts w:ascii="Arial" w:hAnsi="Arial" w:cs="Arial"/>
                <w:color w:val="264A60"/>
              </w:rPr>
              <w:t>Bootstrap</w:t>
            </w:r>
            <w:r w:rsidRPr="00CB0654">
              <w:rPr>
                <w:rFonts w:ascii="Arial" w:hAnsi="Arial" w:cs="Arial"/>
                <w:color w:val="264A60"/>
                <w:vertAlign w:val="superscript"/>
              </w:rPr>
              <w:t>a</w:t>
            </w:r>
          </w:p>
        </w:tc>
      </w:tr>
      <w:tr w:rsidR="009C3C86" w:rsidRPr="00CB0654" w14:paraId="370E1EB9" w14:textId="77777777" w:rsidTr="009C3C86">
        <w:trPr>
          <w:cantSplit/>
        </w:trPr>
        <w:tc>
          <w:tcPr>
            <w:tcW w:w="753" w:type="dxa"/>
            <w:vMerge/>
            <w:tcBorders>
              <w:top w:val="nil"/>
              <w:left w:val="nil"/>
              <w:bottom w:val="nil"/>
              <w:right w:val="nil"/>
            </w:tcBorders>
            <w:shd w:val="clear" w:color="auto" w:fill="FFFFFF"/>
            <w:vAlign w:val="bottom"/>
          </w:tcPr>
          <w:p w14:paraId="405B9CCC" w14:textId="77777777" w:rsidR="009C3C86" w:rsidRPr="00CB0654" w:rsidRDefault="009C3C86" w:rsidP="00027769">
            <w:pPr>
              <w:rPr>
                <w:rFonts w:ascii="Arial" w:hAnsi="Arial" w:cs="Arial"/>
                <w:color w:val="264A60"/>
              </w:rPr>
            </w:pPr>
          </w:p>
        </w:tc>
        <w:tc>
          <w:tcPr>
            <w:tcW w:w="1490" w:type="dxa"/>
            <w:vMerge/>
            <w:tcBorders>
              <w:top w:val="nil"/>
              <w:left w:val="nil"/>
              <w:bottom w:val="nil"/>
              <w:right w:val="single" w:sz="8" w:space="0" w:color="E0E0E0"/>
            </w:tcBorders>
            <w:shd w:val="clear" w:color="auto" w:fill="FFFFFF"/>
            <w:vAlign w:val="bottom"/>
          </w:tcPr>
          <w:p w14:paraId="159B1195" w14:textId="77777777" w:rsidR="009C3C86" w:rsidRPr="00CB0654" w:rsidRDefault="009C3C86" w:rsidP="00027769">
            <w:pPr>
              <w:rPr>
                <w:rFonts w:ascii="Arial" w:hAnsi="Arial" w:cs="Arial"/>
                <w:color w:val="264A60"/>
              </w:rPr>
            </w:pPr>
          </w:p>
        </w:tc>
        <w:tc>
          <w:tcPr>
            <w:tcW w:w="1045" w:type="dxa"/>
            <w:vMerge w:val="restart"/>
            <w:tcBorders>
              <w:top w:val="nil"/>
              <w:left w:val="single" w:sz="8" w:space="0" w:color="E0E0E0"/>
              <w:bottom w:val="nil"/>
              <w:right w:val="single" w:sz="8" w:space="0" w:color="E0E0E0"/>
            </w:tcBorders>
            <w:shd w:val="clear" w:color="auto" w:fill="FFFFFF"/>
            <w:vAlign w:val="bottom"/>
          </w:tcPr>
          <w:p w14:paraId="78FE41F0" w14:textId="77777777" w:rsidR="009C3C86" w:rsidRPr="00CB0654" w:rsidRDefault="009C3C86" w:rsidP="00027769">
            <w:pPr>
              <w:rPr>
                <w:rFonts w:ascii="Arial" w:hAnsi="Arial" w:cs="Arial"/>
                <w:color w:val="264A60"/>
              </w:rPr>
            </w:pPr>
            <w:r w:rsidRPr="00CB0654">
              <w:rPr>
                <w:rFonts w:ascii="Arial" w:hAnsi="Arial" w:cs="Arial"/>
                <w:color w:val="264A60"/>
              </w:rPr>
              <w:t>Bias</w:t>
            </w:r>
          </w:p>
        </w:tc>
        <w:tc>
          <w:tcPr>
            <w:tcW w:w="1045" w:type="dxa"/>
            <w:vMerge w:val="restart"/>
            <w:tcBorders>
              <w:top w:val="nil"/>
              <w:left w:val="single" w:sz="8" w:space="0" w:color="E0E0E0"/>
              <w:bottom w:val="nil"/>
              <w:right w:val="single" w:sz="8" w:space="0" w:color="E0E0E0"/>
            </w:tcBorders>
            <w:shd w:val="clear" w:color="auto" w:fill="FFFFFF"/>
            <w:vAlign w:val="bottom"/>
          </w:tcPr>
          <w:p w14:paraId="4D3498F6" w14:textId="77777777" w:rsidR="009C3C86" w:rsidRPr="00CB0654" w:rsidRDefault="009C3C86" w:rsidP="00027769">
            <w:pPr>
              <w:rPr>
                <w:rFonts w:ascii="Arial" w:hAnsi="Arial" w:cs="Arial"/>
                <w:color w:val="264A60"/>
              </w:rPr>
            </w:pPr>
            <w:r w:rsidRPr="00CB0654">
              <w:rPr>
                <w:rFonts w:ascii="Arial" w:hAnsi="Arial" w:cs="Arial"/>
                <w:color w:val="264A60"/>
              </w:rPr>
              <w:t>Std. Error</w:t>
            </w:r>
          </w:p>
        </w:tc>
        <w:tc>
          <w:tcPr>
            <w:tcW w:w="2674" w:type="dxa"/>
            <w:gridSpan w:val="2"/>
            <w:tcBorders>
              <w:top w:val="nil"/>
              <w:left w:val="single" w:sz="8" w:space="0" w:color="E0E0E0"/>
              <w:bottom w:val="nil"/>
              <w:right w:val="nil"/>
            </w:tcBorders>
            <w:shd w:val="clear" w:color="auto" w:fill="FFFFFF"/>
            <w:vAlign w:val="bottom"/>
          </w:tcPr>
          <w:p w14:paraId="75DCEA1C" w14:textId="77777777" w:rsidR="009C3C86" w:rsidRPr="00CB0654" w:rsidRDefault="009C3C86" w:rsidP="00027769">
            <w:pPr>
              <w:rPr>
                <w:rFonts w:ascii="Arial" w:hAnsi="Arial" w:cs="Arial"/>
                <w:color w:val="264A60"/>
              </w:rPr>
            </w:pPr>
            <w:r w:rsidRPr="00CB0654">
              <w:rPr>
                <w:rFonts w:ascii="Arial" w:hAnsi="Arial" w:cs="Arial"/>
                <w:color w:val="264A60"/>
              </w:rPr>
              <w:t>BCa 95% Confidence Interval</w:t>
            </w:r>
          </w:p>
        </w:tc>
      </w:tr>
      <w:tr w:rsidR="009C3C86" w:rsidRPr="00CB0654" w14:paraId="482C5F3F" w14:textId="77777777" w:rsidTr="009C3C86">
        <w:trPr>
          <w:cantSplit/>
        </w:trPr>
        <w:tc>
          <w:tcPr>
            <w:tcW w:w="753" w:type="dxa"/>
            <w:vMerge/>
            <w:tcBorders>
              <w:top w:val="nil"/>
              <w:left w:val="nil"/>
              <w:bottom w:val="nil"/>
              <w:right w:val="nil"/>
            </w:tcBorders>
            <w:shd w:val="clear" w:color="auto" w:fill="FFFFFF"/>
            <w:vAlign w:val="bottom"/>
          </w:tcPr>
          <w:p w14:paraId="33BD5E13" w14:textId="77777777" w:rsidR="009C3C86" w:rsidRPr="00CB0654" w:rsidRDefault="009C3C86" w:rsidP="00027769">
            <w:pPr>
              <w:rPr>
                <w:rFonts w:ascii="Arial" w:hAnsi="Arial" w:cs="Arial"/>
                <w:color w:val="264A60"/>
              </w:rPr>
            </w:pPr>
          </w:p>
        </w:tc>
        <w:tc>
          <w:tcPr>
            <w:tcW w:w="1490" w:type="dxa"/>
            <w:vMerge/>
            <w:tcBorders>
              <w:top w:val="nil"/>
              <w:left w:val="nil"/>
              <w:bottom w:val="nil"/>
              <w:right w:val="single" w:sz="8" w:space="0" w:color="E0E0E0"/>
            </w:tcBorders>
            <w:shd w:val="clear" w:color="auto" w:fill="FFFFFF"/>
            <w:vAlign w:val="bottom"/>
          </w:tcPr>
          <w:p w14:paraId="02CEC198" w14:textId="77777777" w:rsidR="009C3C86" w:rsidRPr="00CB0654" w:rsidRDefault="009C3C86" w:rsidP="00027769">
            <w:pPr>
              <w:rPr>
                <w:rFonts w:ascii="Arial" w:hAnsi="Arial" w:cs="Arial"/>
                <w:color w:val="264A60"/>
              </w:rPr>
            </w:pPr>
          </w:p>
        </w:tc>
        <w:tc>
          <w:tcPr>
            <w:tcW w:w="1045" w:type="dxa"/>
            <w:vMerge/>
            <w:tcBorders>
              <w:top w:val="nil"/>
              <w:left w:val="single" w:sz="8" w:space="0" w:color="E0E0E0"/>
              <w:bottom w:val="nil"/>
              <w:right w:val="single" w:sz="8" w:space="0" w:color="E0E0E0"/>
            </w:tcBorders>
            <w:shd w:val="clear" w:color="auto" w:fill="FFFFFF"/>
            <w:vAlign w:val="bottom"/>
          </w:tcPr>
          <w:p w14:paraId="50E58AA8" w14:textId="77777777" w:rsidR="009C3C86" w:rsidRPr="00CB0654" w:rsidRDefault="009C3C86" w:rsidP="00027769">
            <w:pPr>
              <w:rPr>
                <w:rFonts w:ascii="Arial" w:hAnsi="Arial" w:cs="Arial"/>
                <w:color w:val="264A60"/>
              </w:rPr>
            </w:pPr>
          </w:p>
        </w:tc>
        <w:tc>
          <w:tcPr>
            <w:tcW w:w="1045" w:type="dxa"/>
            <w:vMerge/>
            <w:tcBorders>
              <w:top w:val="nil"/>
              <w:left w:val="single" w:sz="8" w:space="0" w:color="E0E0E0"/>
              <w:bottom w:val="nil"/>
              <w:right w:val="single" w:sz="8" w:space="0" w:color="E0E0E0"/>
            </w:tcBorders>
            <w:shd w:val="clear" w:color="auto" w:fill="FFFFFF"/>
            <w:vAlign w:val="bottom"/>
          </w:tcPr>
          <w:p w14:paraId="11052FD8" w14:textId="77777777" w:rsidR="009C3C86" w:rsidRPr="00CB0654" w:rsidRDefault="009C3C86" w:rsidP="00027769">
            <w:pPr>
              <w:rPr>
                <w:rFonts w:ascii="Arial" w:hAnsi="Arial" w:cs="Arial"/>
                <w:color w:val="264A60"/>
              </w:rPr>
            </w:pPr>
          </w:p>
        </w:tc>
        <w:tc>
          <w:tcPr>
            <w:tcW w:w="1337" w:type="dxa"/>
            <w:tcBorders>
              <w:top w:val="nil"/>
              <w:left w:val="single" w:sz="8" w:space="0" w:color="E0E0E0"/>
              <w:bottom w:val="single" w:sz="8" w:space="0" w:color="152935"/>
              <w:right w:val="single" w:sz="8" w:space="0" w:color="E0E0E0"/>
            </w:tcBorders>
            <w:shd w:val="clear" w:color="auto" w:fill="FFFFFF"/>
            <w:vAlign w:val="bottom"/>
          </w:tcPr>
          <w:p w14:paraId="0F092FAA" w14:textId="77777777" w:rsidR="009C3C86" w:rsidRPr="00CB0654" w:rsidRDefault="009C3C86" w:rsidP="00027769">
            <w:pPr>
              <w:rPr>
                <w:rFonts w:ascii="Arial" w:hAnsi="Arial" w:cs="Arial"/>
                <w:color w:val="264A60"/>
              </w:rPr>
            </w:pPr>
            <w:r w:rsidRPr="00CB0654">
              <w:rPr>
                <w:rFonts w:ascii="Arial" w:hAnsi="Arial" w:cs="Arial"/>
                <w:color w:val="264A60"/>
              </w:rPr>
              <w:t>Lower</w:t>
            </w:r>
          </w:p>
        </w:tc>
        <w:tc>
          <w:tcPr>
            <w:tcW w:w="1337" w:type="dxa"/>
            <w:tcBorders>
              <w:top w:val="nil"/>
              <w:left w:val="single" w:sz="8" w:space="0" w:color="E0E0E0"/>
              <w:bottom w:val="single" w:sz="8" w:space="0" w:color="152935"/>
              <w:right w:val="nil"/>
            </w:tcBorders>
            <w:shd w:val="clear" w:color="auto" w:fill="FFFFFF"/>
            <w:vAlign w:val="bottom"/>
          </w:tcPr>
          <w:p w14:paraId="6E763717" w14:textId="77777777" w:rsidR="009C3C86" w:rsidRPr="00CB0654" w:rsidRDefault="009C3C86" w:rsidP="00027769">
            <w:pPr>
              <w:rPr>
                <w:rFonts w:ascii="Arial" w:hAnsi="Arial" w:cs="Arial"/>
                <w:color w:val="264A60"/>
              </w:rPr>
            </w:pPr>
            <w:r w:rsidRPr="00CB0654">
              <w:rPr>
                <w:rFonts w:ascii="Arial" w:hAnsi="Arial" w:cs="Arial"/>
                <w:color w:val="264A60"/>
              </w:rPr>
              <w:t>Upper</w:t>
            </w:r>
          </w:p>
        </w:tc>
      </w:tr>
      <w:tr w:rsidR="009C3C86" w:rsidRPr="00CB0654" w14:paraId="293246D3" w14:textId="77777777" w:rsidTr="009C3C86">
        <w:trPr>
          <w:cantSplit/>
        </w:trPr>
        <w:tc>
          <w:tcPr>
            <w:tcW w:w="753" w:type="dxa"/>
            <w:tcBorders>
              <w:top w:val="single" w:sz="8" w:space="0" w:color="152935"/>
              <w:left w:val="nil"/>
              <w:bottom w:val="single" w:sz="8" w:space="0" w:color="152935"/>
              <w:right w:val="nil"/>
            </w:tcBorders>
            <w:shd w:val="clear" w:color="auto" w:fill="E0E0E0"/>
          </w:tcPr>
          <w:p w14:paraId="694ED152" w14:textId="77777777" w:rsidR="009C3C86" w:rsidRPr="00CB0654" w:rsidRDefault="009C3C86" w:rsidP="00027769">
            <w:pPr>
              <w:rPr>
                <w:rFonts w:ascii="Arial" w:hAnsi="Arial" w:cs="Arial"/>
                <w:color w:val="264A60"/>
              </w:rPr>
            </w:pPr>
            <w:r w:rsidRPr="00CB0654">
              <w:rPr>
                <w:rFonts w:ascii="Arial" w:hAnsi="Arial" w:cs="Arial"/>
                <w:color w:val="264A60"/>
              </w:rPr>
              <w:t>1</w:t>
            </w:r>
          </w:p>
        </w:tc>
        <w:tc>
          <w:tcPr>
            <w:tcW w:w="1490" w:type="dxa"/>
            <w:tcBorders>
              <w:top w:val="single" w:sz="8" w:space="0" w:color="152935"/>
              <w:left w:val="nil"/>
              <w:bottom w:val="single" w:sz="8" w:space="0" w:color="152935"/>
              <w:right w:val="single" w:sz="8" w:space="0" w:color="E0E0E0"/>
            </w:tcBorders>
            <w:shd w:val="clear" w:color="auto" w:fill="F9F9FB"/>
          </w:tcPr>
          <w:p w14:paraId="0FC1240A" w14:textId="77777777" w:rsidR="009C3C86" w:rsidRPr="00CB0654" w:rsidRDefault="009C3C86" w:rsidP="00027769">
            <w:pPr>
              <w:rPr>
                <w:rFonts w:ascii="Arial" w:hAnsi="Arial" w:cs="Arial"/>
                <w:color w:val="010205"/>
              </w:rPr>
            </w:pPr>
            <w:r w:rsidRPr="00CB0654">
              <w:rPr>
                <w:rFonts w:ascii="Arial" w:hAnsi="Arial" w:cs="Arial"/>
                <w:color w:val="010205"/>
              </w:rPr>
              <w:t>1.945</w:t>
            </w:r>
          </w:p>
        </w:tc>
        <w:tc>
          <w:tcPr>
            <w:tcW w:w="1045" w:type="dxa"/>
            <w:tcBorders>
              <w:top w:val="single" w:sz="8" w:space="0" w:color="152935"/>
              <w:left w:val="single" w:sz="8" w:space="0" w:color="E0E0E0"/>
              <w:bottom w:val="single" w:sz="8" w:space="0" w:color="152935"/>
              <w:right w:val="single" w:sz="8" w:space="0" w:color="E0E0E0"/>
            </w:tcBorders>
            <w:shd w:val="clear" w:color="auto" w:fill="F9F9FB"/>
          </w:tcPr>
          <w:p w14:paraId="7F9040A9" w14:textId="77777777" w:rsidR="009C3C86" w:rsidRPr="00CB0654" w:rsidRDefault="009C3C86" w:rsidP="00027769">
            <w:pPr>
              <w:rPr>
                <w:rFonts w:ascii="Arial" w:hAnsi="Arial" w:cs="Arial"/>
                <w:color w:val="010205"/>
              </w:rPr>
            </w:pPr>
            <w:r w:rsidRPr="00CB0654">
              <w:rPr>
                <w:rFonts w:ascii="Arial" w:hAnsi="Arial" w:cs="Arial"/>
                <w:color w:val="010205"/>
              </w:rPr>
              <w:t>-.529</w:t>
            </w:r>
          </w:p>
        </w:tc>
        <w:tc>
          <w:tcPr>
            <w:tcW w:w="1045" w:type="dxa"/>
            <w:tcBorders>
              <w:top w:val="single" w:sz="8" w:space="0" w:color="152935"/>
              <w:left w:val="single" w:sz="8" w:space="0" w:color="E0E0E0"/>
              <w:bottom w:val="single" w:sz="8" w:space="0" w:color="152935"/>
              <w:right w:val="single" w:sz="8" w:space="0" w:color="E0E0E0"/>
            </w:tcBorders>
            <w:shd w:val="clear" w:color="auto" w:fill="F9F9FB"/>
          </w:tcPr>
          <w:p w14:paraId="5C0D99F7" w14:textId="77777777" w:rsidR="009C3C86" w:rsidRPr="00CB0654" w:rsidRDefault="009C3C86" w:rsidP="00027769">
            <w:pPr>
              <w:rPr>
                <w:rFonts w:ascii="Arial" w:hAnsi="Arial" w:cs="Arial"/>
                <w:color w:val="010205"/>
              </w:rPr>
            </w:pPr>
            <w:r w:rsidRPr="00CB0654">
              <w:rPr>
                <w:rFonts w:ascii="Arial" w:hAnsi="Arial" w:cs="Arial"/>
                <w:color w:val="010205"/>
              </w:rPr>
              <w:t>.454</w:t>
            </w:r>
          </w:p>
        </w:tc>
        <w:tc>
          <w:tcPr>
            <w:tcW w:w="1337" w:type="dxa"/>
            <w:tcBorders>
              <w:top w:val="single" w:sz="8" w:space="0" w:color="152935"/>
              <w:left w:val="single" w:sz="8" w:space="0" w:color="E0E0E0"/>
              <w:bottom w:val="single" w:sz="8" w:space="0" w:color="152935"/>
              <w:right w:val="single" w:sz="8" w:space="0" w:color="E0E0E0"/>
            </w:tcBorders>
            <w:shd w:val="clear" w:color="auto" w:fill="F9F9FB"/>
          </w:tcPr>
          <w:p w14:paraId="10D87B44" w14:textId="77777777" w:rsidR="009C3C86" w:rsidRPr="00CB0654" w:rsidRDefault="009C3C86" w:rsidP="00027769">
            <w:pPr>
              <w:rPr>
                <w:rFonts w:ascii="Arial" w:hAnsi="Arial" w:cs="Arial"/>
                <w:color w:val="010205"/>
              </w:rPr>
            </w:pPr>
            <w:r w:rsidRPr="00CB0654">
              <w:rPr>
                <w:rFonts w:ascii="Arial" w:hAnsi="Arial" w:cs="Arial"/>
                <w:color w:val="010205"/>
              </w:rPr>
              <w:t>1.128</w:t>
            </w:r>
          </w:p>
        </w:tc>
        <w:tc>
          <w:tcPr>
            <w:tcW w:w="1337" w:type="dxa"/>
            <w:tcBorders>
              <w:top w:val="single" w:sz="8" w:space="0" w:color="152935"/>
              <w:left w:val="single" w:sz="8" w:space="0" w:color="E0E0E0"/>
              <w:bottom w:val="single" w:sz="8" w:space="0" w:color="152935"/>
              <w:right w:val="nil"/>
            </w:tcBorders>
            <w:shd w:val="clear" w:color="auto" w:fill="F9F9FB"/>
          </w:tcPr>
          <w:p w14:paraId="5BFD8DB5" w14:textId="77777777" w:rsidR="009C3C86" w:rsidRPr="00CB0654" w:rsidRDefault="009C3C86" w:rsidP="00027769">
            <w:pPr>
              <w:rPr>
                <w:rFonts w:ascii="Arial" w:hAnsi="Arial" w:cs="Arial"/>
                <w:color w:val="010205"/>
              </w:rPr>
            </w:pPr>
            <w:r w:rsidRPr="00CB0654">
              <w:rPr>
                <w:rFonts w:ascii="Arial" w:hAnsi="Arial" w:cs="Arial"/>
                <w:color w:val="010205"/>
              </w:rPr>
              <w:t>1.829</w:t>
            </w:r>
          </w:p>
        </w:tc>
      </w:tr>
      <w:tr w:rsidR="009C3C86" w:rsidRPr="00CB0654" w14:paraId="43442CB2" w14:textId="77777777" w:rsidTr="009C3C86">
        <w:trPr>
          <w:cantSplit/>
        </w:trPr>
        <w:tc>
          <w:tcPr>
            <w:tcW w:w="7007" w:type="dxa"/>
            <w:gridSpan w:val="6"/>
            <w:tcBorders>
              <w:top w:val="nil"/>
              <w:left w:val="nil"/>
              <w:bottom w:val="nil"/>
              <w:right w:val="nil"/>
            </w:tcBorders>
            <w:shd w:val="clear" w:color="auto" w:fill="FFFFFF"/>
          </w:tcPr>
          <w:p w14:paraId="08D3DFFA" w14:textId="77777777" w:rsidR="009C3C86" w:rsidRPr="00CB0654" w:rsidRDefault="009C3C86" w:rsidP="00027769">
            <w:pPr>
              <w:rPr>
                <w:rFonts w:ascii="Arial" w:hAnsi="Arial" w:cs="Arial"/>
                <w:color w:val="010205"/>
              </w:rPr>
            </w:pPr>
            <w:r w:rsidRPr="00CB0654">
              <w:rPr>
                <w:rFonts w:ascii="Arial" w:hAnsi="Arial" w:cs="Arial"/>
                <w:color w:val="010205"/>
              </w:rPr>
              <w:lastRenderedPageBreak/>
              <w:t>a. Unless otherwise noted, bootstrap results are based on 1000 bootstrap samples</w:t>
            </w:r>
          </w:p>
        </w:tc>
      </w:tr>
    </w:tbl>
    <w:p w14:paraId="29738F51" w14:textId="77777777" w:rsidR="009C3C86" w:rsidRPr="00CB0654" w:rsidRDefault="009C3C86" w:rsidP="00027769"/>
    <w:p w14:paraId="514DEA6B" w14:textId="77777777" w:rsidR="009C3C86" w:rsidRPr="00CB0654" w:rsidRDefault="009C3C86" w:rsidP="00027769"/>
    <w:tbl>
      <w:tblPr>
        <w:tblW w:w="7947" w:type="dxa"/>
        <w:tblLayout w:type="fixed"/>
        <w:tblCellMar>
          <w:left w:w="0" w:type="dxa"/>
          <w:right w:w="0" w:type="dxa"/>
        </w:tblCellMar>
        <w:tblLook w:val="0000" w:firstRow="0" w:lastRow="0" w:firstColumn="0" w:lastColumn="0" w:noHBand="0" w:noVBand="0"/>
      </w:tblPr>
      <w:tblGrid>
        <w:gridCol w:w="754"/>
        <w:gridCol w:w="1215"/>
        <w:gridCol w:w="1506"/>
        <w:gridCol w:w="1045"/>
        <w:gridCol w:w="1337"/>
        <w:gridCol w:w="1045"/>
        <w:gridCol w:w="1045"/>
      </w:tblGrid>
      <w:tr w:rsidR="009C3C86" w:rsidRPr="00CB0654" w14:paraId="33B022CB" w14:textId="77777777" w:rsidTr="009C3C86">
        <w:trPr>
          <w:cantSplit/>
        </w:trPr>
        <w:tc>
          <w:tcPr>
            <w:tcW w:w="7945" w:type="dxa"/>
            <w:gridSpan w:val="7"/>
            <w:tcBorders>
              <w:top w:val="nil"/>
              <w:left w:val="nil"/>
              <w:bottom w:val="nil"/>
              <w:right w:val="nil"/>
            </w:tcBorders>
            <w:shd w:val="clear" w:color="auto" w:fill="FFFFFF"/>
            <w:vAlign w:val="center"/>
          </w:tcPr>
          <w:p w14:paraId="3526FC77" w14:textId="77777777" w:rsidR="009C3C86" w:rsidRPr="00CB0654" w:rsidRDefault="009C3C86" w:rsidP="00027769">
            <w:pPr>
              <w:rPr>
                <w:rFonts w:ascii="Arial" w:hAnsi="Arial" w:cs="Arial"/>
                <w:color w:val="010205"/>
                <w:sz w:val="28"/>
                <w:szCs w:val="28"/>
              </w:rPr>
            </w:pPr>
            <w:r w:rsidRPr="00CB0654">
              <w:rPr>
                <w:rFonts w:ascii="Arial" w:hAnsi="Arial" w:cs="Arial"/>
                <w:b/>
                <w:bCs/>
                <w:color w:val="010205"/>
                <w:sz w:val="28"/>
                <w:szCs w:val="28"/>
              </w:rPr>
              <w:t>ANOVA</w:t>
            </w:r>
            <w:r w:rsidRPr="00CB0654">
              <w:rPr>
                <w:rFonts w:ascii="Arial" w:hAnsi="Arial" w:cs="Arial"/>
                <w:b/>
                <w:bCs/>
                <w:color w:val="010205"/>
                <w:sz w:val="28"/>
                <w:szCs w:val="28"/>
                <w:vertAlign w:val="superscript"/>
              </w:rPr>
              <w:t>a</w:t>
            </w:r>
          </w:p>
        </w:tc>
      </w:tr>
      <w:tr w:rsidR="009C3C86" w:rsidRPr="00CB0654" w14:paraId="64CE7889" w14:textId="77777777" w:rsidTr="009C3C86">
        <w:trPr>
          <w:cantSplit/>
        </w:trPr>
        <w:tc>
          <w:tcPr>
            <w:tcW w:w="1967" w:type="dxa"/>
            <w:gridSpan w:val="2"/>
            <w:tcBorders>
              <w:top w:val="nil"/>
              <w:left w:val="nil"/>
              <w:bottom w:val="single" w:sz="8" w:space="0" w:color="152935"/>
              <w:right w:val="nil"/>
            </w:tcBorders>
            <w:shd w:val="clear" w:color="auto" w:fill="FFFFFF"/>
            <w:vAlign w:val="bottom"/>
          </w:tcPr>
          <w:p w14:paraId="07339D1E" w14:textId="77777777" w:rsidR="009C3C86" w:rsidRPr="00CB0654" w:rsidRDefault="009C3C86" w:rsidP="00027769">
            <w:pPr>
              <w:rPr>
                <w:rFonts w:ascii="Arial" w:hAnsi="Arial" w:cs="Arial"/>
                <w:color w:val="264A60"/>
              </w:rPr>
            </w:pPr>
            <w:r w:rsidRPr="00CB0654">
              <w:rPr>
                <w:rFonts w:ascii="Arial" w:hAnsi="Arial" w:cs="Arial"/>
                <w:color w:val="264A60"/>
              </w:rPr>
              <w:t>Model</w:t>
            </w:r>
          </w:p>
        </w:tc>
        <w:tc>
          <w:tcPr>
            <w:tcW w:w="1506" w:type="dxa"/>
            <w:tcBorders>
              <w:top w:val="nil"/>
              <w:left w:val="nil"/>
              <w:bottom w:val="single" w:sz="8" w:space="0" w:color="152935"/>
              <w:right w:val="single" w:sz="8" w:space="0" w:color="E0E0E0"/>
            </w:tcBorders>
            <w:shd w:val="clear" w:color="auto" w:fill="FFFFFF"/>
            <w:vAlign w:val="bottom"/>
          </w:tcPr>
          <w:p w14:paraId="621F336E" w14:textId="77777777" w:rsidR="009C3C86" w:rsidRPr="00CB0654" w:rsidRDefault="009C3C86" w:rsidP="00027769">
            <w:pPr>
              <w:rPr>
                <w:rFonts w:ascii="Arial" w:hAnsi="Arial" w:cs="Arial"/>
                <w:color w:val="264A60"/>
              </w:rPr>
            </w:pPr>
            <w:r w:rsidRPr="00CB0654">
              <w:rPr>
                <w:rFonts w:ascii="Arial" w:hAnsi="Arial" w:cs="Arial"/>
                <w:color w:val="264A60"/>
              </w:rPr>
              <w:t>Sum of Squares</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6204F141" w14:textId="77777777" w:rsidR="009C3C86" w:rsidRPr="00CB0654" w:rsidRDefault="009C3C86" w:rsidP="00027769">
            <w:pPr>
              <w:rPr>
                <w:rFonts w:ascii="Arial" w:hAnsi="Arial" w:cs="Arial"/>
                <w:color w:val="264A60"/>
              </w:rPr>
            </w:pPr>
            <w:r w:rsidRPr="00CB0654">
              <w:rPr>
                <w:rFonts w:ascii="Arial" w:hAnsi="Arial" w:cs="Arial"/>
                <w:color w:val="264A60"/>
              </w:rPr>
              <w:t>df</w:t>
            </w:r>
          </w:p>
        </w:tc>
        <w:tc>
          <w:tcPr>
            <w:tcW w:w="1337" w:type="dxa"/>
            <w:tcBorders>
              <w:top w:val="nil"/>
              <w:left w:val="single" w:sz="8" w:space="0" w:color="E0E0E0"/>
              <w:bottom w:val="single" w:sz="8" w:space="0" w:color="152935"/>
              <w:right w:val="single" w:sz="8" w:space="0" w:color="E0E0E0"/>
            </w:tcBorders>
            <w:shd w:val="clear" w:color="auto" w:fill="FFFFFF"/>
            <w:vAlign w:val="bottom"/>
          </w:tcPr>
          <w:p w14:paraId="72A832D6" w14:textId="77777777" w:rsidR="009C3C86" w:rsidRPr="00CB0654" w:rsidRDefault="009C3C86" w:rsidP="00027769">
            <w:pPr>
              <w:rPr>
                <w:rFonts w:ascii="Arial" w:hAnsi="Arial" w:cs="Arial"/>
                <w:color w:val="264A60"/>
              </w:rPr>
            </w:pPr>
            <w:r w:rsidRPr="00CB0654">
              <w:rPr>
                <w:rFonts w:ascii="Arial" w:hAnsi="Arial" w:cs="Arial"/>
                <w:color w:val="264A60"/>
              </w:rPr>
              <w:t>Mean Square</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39B32EFC" w14:textId="77777777" w:rsidR="009C3C86" w:rsidRPr="00CB0654" w:rsidRDefault="009C3C86" w:rsidP="00027769">
            <w:pPr>
              <w:rPr>
                <w:rFonts w:ascii="Arial" w:hAnsi="Arial" w:cs="Arial"/>
                <w:color w:val="264A60"/>
              </w:rPr>
            </w:pPr>
            <w:r w:rsidRPr="00CB0654">
              <w:rPr>
                <w:rFonts w:ascii="Arial" w:hAnsi="Arial" w:cs="Arial"/>
                <w:color w:val="264A60"/>
              </w:rPr>
              <w:t>F</w:t>
            </w:r>
          </w:p>
        </w:tc>
        <w:tc>
          <w:tcPr>
            <w:tcW w:w="1045" w:type="dxa"/>
            <w:tcBorders>
              <w:top w:val="nil"/>
              <w:left w:val="single" w:sz="8" w:space="0" w:color="E0E0E0"/>
              <w:bottom w:val="single" w:sz="8" w:space="0" w:color="152935"/>
              <w:right w:val="nil"/>
            </w:tcBorders>
            <w:shd w:val="clear" w:color="auto" w:fill="FFFFFF"/>
            <w:vAlign w:val="bottom"/>
          </w:tcPr>
          <w:p w14:paraId="2A1E3B1C" w14:textId="77777777" w:rsidR="009C3C86" w:rsidRPr="00CB0654" w:rsidRDefault="009C3C86" w:rsidP="00027769">
            <w:pPr>
              <w:rPr>
                <w:rFonts w:ascii="Arial" w:hAnsi="Arial" w:cs="Arial"/>
                <w:color w:val="264A60"/>
              </w:rPr>
            </w:pPr>
            <w:r w:rsidRPr="00CB0654">
              <w:rPr>
                <w:rFonts w:ascii="Arial" w:hAnsi="Arial" w:cs="Arial"/>
                <w:color w:val="264A60"/>
              </w:rPr>
              <w:t>Sig.</w:t>
            </w:r>
          </w:p>
        </w:tc>
      </w:tr>
      <w:tr w:rsidR="009C3C86" w:rsidRPr="00CB0654" w14:paraId="08C209FD" w14:textId="77777777" w:rsidTr="009C3C86">
        <w:trPr>
          <w:cantSplit/>
        </w:trPr>
        <w:tc>
          <w:tcPr>
            <w:tcW w:w="753" w:type="dxa"/>
            <w:vMerge w:val="restart"/>
            <w:tcBorders>
              <w:top w:val="single" w:sz="8" w:space="0" w:color="152935"/>
              <w:left w:val="nil"/>
              <w:bottom w:val="single" w:sz="8" w:space="0" w:color="152935"/>
              <w:right w:val="nil"/>
            </w:tcBorders>
            <w:shd w:val="clear" w:color="auto" w:fill="E0E0E0"/>
          </w:tcPr>
          <w:p w14:paraId="5FF31807" w14:textId="77777777" w:rsidR="009C3C86" w:rsidRPr="00CB0654" w:rsidRDefault="009C3C86" w:rsidP="00027769">
            <w:pPr>
              <w:rPr>
                <w:rFonts w:ascii="Arial" w:hAnsi="Arial" w:cs="Arial"/>
                <w:color w:val="264A60"/>
              </w:rPr>
            </w:pPr>
            <w:r w:rsidRPr="00CB0654">
              <w:rPr>
                <w:rFonts w:ascii="Arial" w:hAnsi="Arial" w:cs="Arial"/>
                <w:color w:val="264A60"/>
              </w:rPr>
              <w:t>1</w:t>
            </w:r>
          </w:p>
        </w:tc>
        <w:tc>
          <w:tcPr>
            <w:tcW w:w="1214" w:type="dxa"/>
            <w:tcBorders>
              <w:top w:val="single" w:sz="8" w:space="0" w:color="152935"/>
              <w:left w:val="nil"/>
              <w:bottom w:val="single" w:sz="8" w:space="0" w:color="AEAEAE"/>
              <w:right w:val="nil"/>
            </w:tcBorders>
            <w:shd w:val="clear" w:color="auto" w:fill="E0E0E0"/>
          </w:tcPr>
          <w:p w14:paraId="0BEDB2D7" w14:textId="77777777" w:rsidR="009C3C86" w:rsidRPr="00CB0654" w:rsidRDefault="009C3C86" w:rsidP="00027769">
            <w:pPr>
              <w:rPr>
                <w:rFonts w:ascii="Arial" w:hAnsi="Arial" w:cs="Arial"/>
                <w:color w:val="264A60"/>
              </w:rPr>
            </w:pPr>
            <w:r w:rsidRPr="00CB0654">
              <w:rPr>
                <w:rFonts w:ascii="Arial" w:hAnsi="Arial" w:cs="Arial"/>
                <w:color w:val="264A60"/>
              </w:rPr>
              <w:t>Regression</w:t>
            </w:r>
          </w:p>
        </w:tc>
        <w:tc>
          <w:tcPr>
            <w:tcW w:w="1506" w:type="dxa"/>
            <w:tcBorders>
              <w:top w:val="single" w:sz="8" w:space="0" w:color="152935"/>
              <w:left w:val="nil"/>
              <w:bottom w:val="single" w:sz="8" w:space="0" w:color="AEAEAE"/>
              <w:right w:val="single" w:sz="8" w:space="0" w:color="E0E0E0"/>
            </w:tcBorders>
            <w:shd w:val="clear" w:color="auto" w:fill="F9F9FB"/>
          </w:tcPr>
          <w:p w14:paraId="38F2A3F8" w14:textId="77777777" w:rsidR="009C3C86" w:rsidRPr="00CB0654" w:rsidRDefault="009C3C86" w:rsidP="00027769">
            <w:pPr>
              <w:rPr>
                <w:rFonts w:ascii="Arial" w:hAnsi="Arial" w:cs="Arial"/>
                <w:color w:val="010205"/>
              </w:rPr>
            </w:pPr>
            <w:r w:rsidRPr="00CB0654">
              <w:rPr>
                <w:rFonts w:ascii="Arial" w:hAnsi="Arial" w:cs="Arial"/>
                <w:color w:val="010205"/>
              </w:rPr>
              <w:t>162732.086</w:t>
            </w:r>
          </w:p>
        </w:tc>
        <w:tc>
          <w:tcPr>
            <w:tcW w:w="1045" w:type="dxa"/>
            <w:tcBorders>
              <w:top w:val="single" w:sz="8" w:space="0" w:color="152935"/>
              <w:left w:val="single" w:sz="8" w:space="0" w:color="E0E0E0"/>
              <w:bottom w:val="single" w:sz="8" w:space="0" w:color="AEAEAE"/>
              <w:right w:val="single" w:sz="8" w:space="0" w:color="E0E0E0"/>
            </w:tcBorders>
            <w:shd w:val="clear" w:color="auto" w:fill="F9F9FB"/>
          </w:tcPr>
          <w:p w14:paraId="4F892DF8" w14:textId="77777777" w:rsidR="009C3C86" w:rsidRPr="00CB0654" w:rsidRDefault="009C3C86" w:rsidP="00027769">
            <w:pPr>
              <w:rPr>
                <w:rFonts w:ascii="Arial" w:hAnsi="Arial" w:cs="Arial"/>
                <w:color w:val="010205"/>
              </w:rPr>
            </w:pPr>
            <w:r w:rsidRPr="00CB0654">
              <w:rPr>
                <w:rFonts w:ascii="Arial" w:hAnsi="Arial" w:cs="Arial"/>
                <w:color w:val="010205"/>
              </w:rPr>
              <w:t>5</w:t>
            </w:r>
          </w:p>
        </w:tc>
        <w:tc>
          <w:tcPr>
            <w:tcW w:w="1337" w:type="dxa"/>
            <w:tcBorders>
              <w:top w:val="single" w:sz="8" w:space="0" w:color="152935"/>
              <w:left w:val="single" w:sz="8" w:space="0" w:color="E0E0E0"/>
              <w:bottom w:val="single" w:sz="8" w:space="0" w:color="AEAEAE"/>
              <w:right w:val="single" w:sz="8" w:space="0" w:color="E0E0E0"/>
            </w:tcBorders>
            <w:shd w:val="clear" w:color="auto" w:fill="F9F9FB"/>
          </w:tcPr>
          <w:p w14:paraId="5CB56ADE" w14:textId="77777777" w:rsidR="009C3C86" w:rsidRPr="00CB0654" w:rsidRDefault="009C3C86" w:rsidP="00027769">
            <w:pPr>
              <w:rPr>
                <w:rFonts w:ascii="Arial" w:hAnsi="Arial" w:cs="Arial"/>
                <w:color w:val="010205"/>
              </w:rPr>
            </w:pPr>
            <w:r w:rsidRPr="00CB0654">
              <w:rPr>
                <w:rFonts w:ascii="Arial" w:hAnsi="Arial" w:cs="Arial"/>
                <w:color w:val="010205"/>
              </w:rPr>
              <w:t>32546.417</w:t>
            </w:r>
          </w:p>
        </w:tc>
        <w:tc>
          <w:tcPr>
            <w:tcW w:w="1045" w:type="dxa"/>
            <w:tcBorders>
              <w:top w:val="single" w:sz="8" w:space="0" w:color="152935"/>
              <w:left w:val="single" w:sz="8" w:space="0" w:color="E0E0E0"/>
              <w:bottom w:val="single" w:sz="8" w:space="0" w:color="AEAEAE"/>
              <w:right w:val="single" w:sz="8" w:space="0" w:color="E0E0E0"/>
            </w:tcBorders>
            <w:shd w:val="clear" w:color="auto" w:fill="F9F9FB"/>
          </w:tcPr>
          <w:p w14:paraId="36D1B671" w14:textId="77777777" w:rsidR="009C3C86" w:rsidRPr="00CB0654" w:rsidRDefault="009C3C86" w:rsidP="00027769">
            <w:pPr>
              <w:rPr>
                <w:rFonts w:ascii="Arial" w:hAnsi="Arial" w:cs="Arial"/>
                <w:color w:val="010205"/>
              </w:rPr>
            </w:pPr>
            <w:r w:rsidRPr="00CB0654">
              <w:rPr>
                <w:rFonts w:ascii="Arial" w:hAnsi="Arial" w:cs="Arial"/>
                <w:color w:val="010205"/>
              </w:rPr>
              <w:t>1.746</w:t>
            </w:r>
          </w:p>
        </w:tc>
        <w:tc>
          <w:tcPr>
            <w:tcW w:w="1045" w:type="dxa"/>
            <w:tcBorders>
              <w:top w:val="single" w:sz="8" w:space="0" w:color="152935"/>
              <w:left w:val="single" w:sz="8" w:space="0" w:color="E0E0E0"/>
              <w:bottom w:val="single" w:sz="8" w:space="0" w:color="AEAEAE"/>
              <w:right w:val="nil"/>
            </w:tcBorders>
            <w:shd w:val="clear" w:color="auto" w:fill="F9F9FB"/>
          </w:tcPr>
          <w:p w14:paraId="2650E731" w14:textId="77777777" w:rsidR="009C3C86" w:rsidRPr="00CB0654" w:rsidRDefault="009C3C86" w:rsidP="00027769">
            <w:pPr>
              <w:rPr>
                <w:rFonts w:ascii="Arial" w:hAnsi="Arial" w:cs="Arial"/>
                <w:color w:val="010205"/>
              </w:rPr>
            </w:pPr>
            <w:r w:rsidRPr="00CB0654">
              <w:rPr>
                <w:rFonts w:ascii="Arial" w:hAnsi="Arial" w:cs="Arial"/>
                <w:color w:val="010205"/>
              </w:rPr>
              <w:t>.134</w:t>
            </w:r>
            <w:r w:rsidRPr="00CB0654">
              <w:rPr>
                <w:rFonts w:ascii="Arial" w:hAnsi="Arial" w:cs="Arial"/>
                <w:color w:val="010205"/>
                <w:vertAlign w:val="superscript"/>
              </w:rPr>
              <w:t>b</w:t>
            </w:r>
          </w:p>
        </w:tc>
      </w:tr>
      <w:tr w:rsidR="009C3C86" w:rsidRPr="00CB0654" w14:paraId="56F1A3E8" w14:textId="77777777" w:rsidTr="009C3C86">
        <w:trPr>
          <w:cantSplit/>
        </w:trPr>
        <w:tc>
          <w:tcPr>
            <w:tcW w:w="753" w:type="dxa"/>
            <w:vMerge/>
            <w:tcBorders>
              <w:top w:val="single" w:sz="8" w:space="0" w:color="152935"/>
              <w:left w:val="nil"/>
              <w:bottom w:val="single" w:sz="8" w:space="0" w:color="152935"/>
              <w:right w:val="nil"/>
            </w:tcBorders>
            <w:shd w:val="clear" w:color="auto" w:fill="E0E0E0"/>
          </w:tcPr>
          <w:p w14:paraId="1705D174" w14:textId="77777777" w:rsidR="009C3C86" w:rsidRPr="00CB0654" w:rsidRDefault="009C3C86" w:rsidP="00027769">
            <w:pPr>
              <w:rPr>
                <w:rFonts w:ascii="Arial" w:hAnsi="Arial" w:cs="Arial"/>
                <w:color w:val="010205"/>
              </w:rPr>
            </w:pPr>
          </w:p>
        </w:tc>
        <w:tc>
          <w:tcPr>
            <w:tcW w:w="1214" w:type="dxa"/>
            <w:tcBorders>
              <w:top w:val="single" w:sz="8" w:space="0" w:color="AEAEAE"/>
              <w:left w:val="nil"/>
              <w:bottom w:val="single" w:sz="8" w:space="0" w:color="AEAEAE"/>
              <w:right w:val="nil"/>
            </w:tcBorders>
            <w:shd w:val="clear" w:color="auto" w:fill="E0E0E0"/>
          </w:tcPr>
          <w:p w14:paraId="55411EDD" w14:textId="77777777" w:rsidR="009C3C86" w:rsidRPr="00CB0654" w:rsidRDefault="009C3C86" w:rsidP="00027769">
            <w:pPr>
              <w:rPr>
                <w:rFonts w:ascii="Arial" w:hAnsi="Arial" w:cs="Arial"/>
                <w:color w:val="264A60"/>
              </w:rPr>
            </w:pPr>
            <w:r w:rsidRPr="00CB0654">
              <w:rPr>
                <w:rFonts w:ascii="Arial" w:hAnsi="Arial" w:cs="Arial"/>
                <w:color w:val="264A60"/>
              </w:rPr>
              <w:t>Residual</w:t>
            </w:r>
          </w:p>
        </w:tc>
        <w:tc>
          <w:tcPr>
            <w:tcW w:w="1506" w:type="dxa"/>
            <w:tcBorders>
              <w:top w:val="single" w:sz="8" w:space="0" w:color="AEAEAE"/>
              <w:left w:val="nil"/>
              <w:bottom w:val="single" w:sz="8" w:space="0" w:color="AEAEAE"/>
              <w:right w:val="single" w:sz="8" w:space="0" w:color="E0E0E0"/>
            </w:tcBorders>
            <w:shd w:val="clear" w:color="auto" w:fill="F9F9FB"/>
          </w:tcPr>
          <w:p w14:paraId="3E49E851" w14:textId="77777777" w:rsidR="009C3C86" w:rsidRPr="00CB0654" w:rsidRDefault="009C3C86" w:rsidP="00027769">
            <w:pPr>
              <w:rPr>
                <w:rFonts w:ascii="Arial" w:hAnsi="Arial" w:cs="Arial"/>
                <w:color w:val="010205"/>
              </w:rPr>
            </w:pPr>
            <w:r w:rsidRPr="00CB0654">
              <w:rPr>
                <w:rFonts w:ascii="Arial" w:hAnsi="Arial" w:cs="Arial"/>
                <w:color w:val="010205"/>
              </w:rPr>
              <w:t>1491345.135</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346231B6" w14:textId="77777777" w:rsidR="009C3C86" w:rsidRPr="00CB0654" w:rsidRDefault="009C3C86" w:rsidP="00027769">
            <w:pPr>
              <w:rPr>
                <w:rFonts w:ascii="Arial" w:hAnsi="Arial" w:cs="Arial"/>
                <w:color w:val="010205"/>
              </w:rPr>
            </w:pPr>
            <w:r w:rsidRPr="00CB0654">
              <w:rPr>
                <w:rFonts w:ascii="Arial" w:hAnsi="Arial" w:cs="Arial"/>
                <w:color w:val="010205"/>
              </w:rPr>
              <w:t>80</w:t>
            </w:r>
          </w:p>
        </w:tc>
        <w:tc>
          <w:tcPr>
            <w:tcW w:w="1337" w:type="dxa"/>
            <w:tcBorders>
              <w:top w:val="single" w:sz="8" w:space="0" w:color="AEAEAE"/>
              <w:left w:val="single" w:sz="8" w:space="0" w:color="E0E0E0"/>
              <w:bottom w:val="single" w:sz="8" w:space="0" w:color="AEAEAE"/>
              <w:right w:val="single" w:sz="8" w:space="0" w:color="E0E0E0"/>
            </w:tcBorders>
            <w:shd w:val="clear" w:color="auto" w:fill="F9F9FB"/>
          </w:tcPr>
          <w:p w14:paraId="3619D521" w14:textId="77777777" w:rsidR="009C3C86" w:rsidRPr="00CB0654" w:rsidRDefault="009C3C86" w:rsidP="00027769">
            <w:pPr>
              <w:rPr>
                <w:rFonts w:ascii="Arial" w:hAnsi="Arial" w:cs="Arial"/>
                <w:color w:val="010205"/>
              </w:rPr>
            </w:pPr>
            <w:r w:rsidRPr="00CB0654">
              <w:rPr>
                <w:rFonts w:ascii="Arial" w:hAnsi="Arial" w:cs="Arial"/>
                <w:color w:val="010205"/>
              </w:rPr>
              <w:t>18641.814</w:t>
            </w:r>
          </w:p>
        </w:tc>
        <w:tc>
          <w:tcPr>
            <w:tcW w:w="104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18122DCE" w14:textId="77777777" w:rsidR="009C3C86" w:rsidRPr="00CB0654" w:rsidRDefault="009C3C86" w:rsidP="00027769"/>
        </w:tc>
        <w:tc>
          <w:tcPr>
            <w:tcW w:w="1045" w:type="dxa"/>
            <w:tcBorders>
              <w:top w:val="single" w:sz="8" w:space="0" w:color="AEAEAE"/>
              <w:left w:val="single" w:sz="8" w:space="0" w:color="E0E0E0"/>
              <w:bottom w:val="single" w:sz="8" w:space="0" w:color="AEAEAE"/>
              <w:right w:val="nil"/>
            </w:tcBorders>
            <w:shd w:val="clear" w:color="auto" w:fill="F9F9FB"/>
            <w:vAlign w:val="center"/>
          </w:tcPr>
          <w:p w14:paraId="0C73F102" w14:textId="77777777" w:rsidR="009C3C86" w:rsidRPr="00CB0654" w:rsidRDefault="009C3C86" w:rsidP="00027769"/>
        </w:tc>
      </w:tr>
      <w:tr w:rsidR="009C3C86" w:rsidRPr="00CB0654" w14:paraId="2AB90F47" w14:textId="77777777" w:rsidTr="009C3C86">
        <w:trPr>
          <w:cantSplit/>
        </w:trPr>
        <w:tc>
          <w:tcPr>
            <w:tcW w:w="753" w:type="dxa"/>
            <w:vMerge/>
            <w:tcBorders>
              <w:top w:val="single" w:sz="8" w:space="0" w:color="152935"/>
              <w:left w:val="nil"/>
              <w:bottom w:val="single" w:sz="8" w:space="0" w:color="152935"/>
              <w:right w:val="nil"/>
            </w:tcBorders>
            <w:shd w:val="clear" w:color="auto" w:fill="E0E0E0"/>
          </w:tcPr>
          <w:p w14:paraId="0F29CE61" w14:textId="77777777" w:rsidR="009C3C86" w:rsidRPr="00CB0654" w:rsidRDefault="009C3C86" w:rsidP="00027769"/>
        </w:tc>
        <w:tc>
          <w:tcPr>
            <w:tcW w:w="1214" w:type="dxa"/>
            <w:tcBorders>
              <w:top w:val="single" w:sz="8" w:space="0" w:color="AEAEAE"/>
              <w:left w:val="nil"/>
              <w:bottom w:val="single" w:sz="8" w:space="0" w:color="152935"/>
              <w:right w:val="nil"/>
            </w:tcBorders>
            <w:shd w:val="clear" w:color="auto" w:fill="E0E0E0"/>
          </w:tcPr>
          <w:p w14:paraId="51DF2392" w14:textId="77777777" w:rsidR="009C3C86" w:rsidRPr="00CB0654" w:rsidRDefault="009C3C86" w:rsidP="00027769">
            <w:pPr>
              <w:rPr>
                <w:rFonts w:ascii="Arial" w:hAnsi="Arial" w:cs="Arial"/>
                <w:color w:val="264A60"/>
              </w:rPr>
            </w:pPr>
            <w:r w:rsidRPr="00CB0654">
              <w:rPr>
                <w:rFonts w:ascii="Arial" w:hAnsi="Arial" w:cs="Arial"/>
                <w:color w:val="264A60"/>
              </w:rPr>
              <w:t>Total</w:t>
            </w:r>
          </w:p>
        </w:tc>
        <w:tc>
          <w:tcPr>
            <w:tcW w:w="1506" w:type="dxa"/>
            <w:tcBorders>
              <w:top w:val="single" w:sz="8" w:space="0" w:color="AEAEAE"/>
              <w:left w:val="nil"/>
              <w:bottom w:val="single" w:sz="8" w:space="0" w:color="152935"/>
              <w:right w:val="single" w:sz="8" w:space="0" w:color="E0E0E0"/>
            </w:tcBorders>
            <w:shd w:val="clear" w:color="auto" w:fill="F9F9FB"/>
          </w:tcPr>
          <w:p w14:paraId="78648B0D" w14:textId="77777777" w:rsidR="009C3C86" w:rsidRPr="00CB0654" w:rsidRDefault="009C3C86" w:rsidP="00027769">
            <w:pPr>
              <w:rPr>
                <w:rFonts w:ascii="Arial" w:hAnsi="Arial" w:cs="Arial"/>
                <w:color w:val="010205"/>
              </w:rPr>
            </w:pPr>
            <w:r w:rsidRPr="00CB0654">
              <w:rPr>
                <w:rFonts w:ascii="Arial" w:hAnsi="Arial" w:cs="Arial"/>
                <w:color w:val="010205"/>
              </w:rPr>
              <w:t>1654077.221</w:t>
            </w:r>
          </w:p>
        </w:tc>
        <w:tc>
          <w:tcPr>
            <w:tcW w:w="1045" w:type="dxa"/>
            <w:tcBorders>
              <w:top w:val="single" w:sz="8" w:space="0" w:color="AEAEAE"/>
              <w:left w:val="single" w:sz="8" w:space="0" w:color="E0E0E0"/>
              <w:bottom w:val="single" w:sz="8" w:space="0" w:color="152935"/>
              <w:right w:val="single" w:sz="8" w:space="0" w:color="E0E0E0"/>
            </w:tcBorders>
            <w:shd w:val="clear" w:color="auto" w:fill="F9F9FB"/>
          </w:tcPr>
          <w:p w14:paraId="44376AF5" w14:textId="77777777" w:rsidR="009C3C86" w:rsidRPr="00CB0654" w:rsidRDefault="009C3C86" w:rsidP="00027769">
            <w:pPr>
              <w:rPr>
                <w:rFonts w:ascii="Arial" w:hAnsi="Arial" w:cs="Arial"/>
                <w:color w:val="010205"/>
              </w:rPr>
            </w:pPr>
            <w:r w:rsidRPr="00CB0654">
              <w:rPr>
                <w:rFonts w:ascii="Arial" w:hAnsi="Arial" w:cs="Arial"/>
                <w:color w:val="010205"/>
              </w:rPr>
              <w:t>85</w:t>
            </w:r>
          </w:p>
        </w:tc>
        <w:tc>
          <w:tcPr>
            <w:tcW w:w="1337"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1D0F0EF3" w14:textId="77777777" w:rsidR="009C3C86" w:rsidRPr="00CB0654" w:rsidRDefault="009C3C86" w:rsidP="00027769"/>
        </w:tc>
        <w:tc>
          <w:tcPr>
            <w:tcW w:w="1045"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65BD40DD" w14:textId="77777777" w:rsidR="009C3C86" w:rsidRPr="00CB0654" w:rsidRDefault="009C3C86" w:rsidP="00027769"/>
        </w:tc>
        <w:tc>
          <w:tcPr>
            <w:tcW w:w="1045" w:type="dxa"/>
            <w:tcBorders>
              <w:top w:val="single" w:sz="8" w:space="0" w:color="AEAEAE"/>
              <w:left w:val="single" w:sz="8" w:space="0" w:color="E0E0E0"/>
              <w:bottom w:val="single" w:sz="8" w:space="0" w:color="152935"/>
              <w:right w:val="nil"/>
            </w:tcBorders>
            <w:shd w:val="clear" w:color="auto" w:fill="F9F9FB"/>
            <w:vAlign w:val="center"/>
          </w:tcPr>
          <w:p w14:paraId="286E4E28" w14:textId="77777777" w:rsidR="009C3C86" w:rsidRPr="00CB0654" w:rsidRDefault="009C3C86" w:rsidP="00027769"/>
        </w:tc>
      </w:tr>
      <w:tr w:rsidR="009C3C86" w:rsidRPr="00CB0654" w14:paraId="48316FD7" w14:textId="77777777" w:rsidTr="009C3C86">
        <w:trPr>
          <w:cantSplit/>
        </w:trPr>
        <w:tc>
          <w:tcPr>
            <w:tcW w:w="7945" w:type="dxa"/>
            <w:gridSpan w:val="7"/>
            <w:tcBorders>
              <w:top w:val="nil"/>
              <w:left w:val="nil"/>
              <w:bottom w:val="nil"/>
              <w:right w:val="nil"/>
            </w:tcBorders>
            <w:shd w:val="clear" w:color="auto" w:fill="FFFFFF"/>
          </w:tcPr>
          <w:p w14:paraId="188BD9DB" w14:textId="77777777" w:rsidR="009C3C86" w:rsidRPr="00CB0654" w:rsidRDefault="009C3C86" w:rsidP="00027769">
            <w:pPr>
              <w:rPr>
                <w:rFonts w:ascii="Arial" w:hAnsi="Arial" w:cs="Arial"/>
                <w:color w:val="010205"/>
              </w:rPr>
            </w:pPr>
            <w:r w:rsidRPr="00CB0654">
              <w:rPr>
                <w:rFonts w:ascii="Arial" w:hAnsi="Arial" w:cs="Arial"/>
                <w:color w:val="010205"/>
              </w:rPr>
              <w:t>a. Dependent Variable: seizurenumber</w:t>
            </w:r>
          </w:p>
        </w:tc>
      </w:tr>
      <w:tr w:rsidR="009C3C86" w:rsidRPr="00CB0654" w14:paraId="27CE4120" w14:textId="77777777" w:rsidTr="009C3C86">
        <w:trPr>
          <w:cantSplit/>
        </w:trPr>
        <w:tc>
          <w:tcPr>
            <w:tcW w:w="7945" w:type="dxa"/>
            <w:gridSpan w:val="7"/>
            <w:tcBorders>
              <w:top w:val="nil"/>
              <w:left w:val="nil"/>
              <w:bottom w:val="nil"/>
              <w:right w:val="nil"/>
            </w:tcBorders>
            <w:shd w:val="clear" w:color="auto" w:fill="FFFFFF"/>
          </w:tcPr>
          <w:p w14:paraId="2B9C574F" w14:textId="77777777" w:rsidR="009C3C86" w:rsidRPr="00CB0654" w:rsidRDefault="009C3C86" w:rsidP="00027769">
            <w:pPr>
              <w:rPr>
                <w:rFonts w:ascii="Arial" w:hAnsi="Arial" w:cs="Arial"/>
                <w:color w:val="010205"/>
              </w:rPr>
            </w:pPr>
            <w:r w:rsidRPr="00CB0654">
              <w:rPr>
                <w:rFonts w:ascii="Arial" w:hAnsi="Arial" w:cs="Arial"/>
                <w:color w:val="010205"/>
              </w:rPr>
              <w:t>b. Predictors: (Constant), DiagnosisofepilepsyorDS, Intoleranceofuncertainty, Depression, Anxietysensitivity, Anxiety</w:t>
            </w:r>
          </w:p>
        </w:tc>
      </w:tr>
    </w:tbl>
    <w:p w14:paraId="2EA530C8" w14:textId="77777777" w:rsidR="009C3C86" w:rsidRPr="00CB0654" w:rsidRDefault="009C3C86" w:rsidP="00027769"/>
    <w:p w14:paraId="124D3F6D" w14:textId="77777777" w:rsidR="009C3C86" w:rsidRDefault="009C3C86" w:rsidP="00027769">
      <w:r>
        <w:rPr>
          <w:noProof/>
          <w:lang w:eastAsia="en-GB"/>
        </w:rPr>
        <w:drawing>
          <wp:inline distT="0" distB="0" distL="0" distR="0" wp14:anchorId="18173369" wp14:editId="11AF6B90">
            <wp:extent cx="5727700" cy="1441450"/>
            <wp:effectExtent l="0" t="0" r="635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727700" cy="1441450"/>
                    </a:xfrm>
                    <a:prstGeom prst="rect">
                      <a:avLst/>
                    </a:prstGeom>
                    <a:noFill/>
                    <a:ln>
                      <a:noFill/>
                    </a:ln>
                  </pic:spPr>
                </pic:pic>
              </a:graphicData>
            </a:graphic>
          </wp:inline>
        </w:drawing>
      </w:r>
    </w:p>
    <w:p w14:paraId="3886F91D" w14:textId="77777777" w:rsidR="009C3C86" w:rsidRPr="00A12B79" w:rsidRDefault="009C3C86" w:rsidP="00027769"/>
    <w:tbl>
      <w:tblPr>
        <w:tblW w:w="9875" w:type="dxa"/>
        <w:tblLayout w:type="fixed"/>
        <w:tblCellMar>
          <w:left w:w="0" w:type="dxa"/>
          <w:right w:w="0" w:type="dxa"/>
        </w:tblCellMar>
        <w:tblLook w:val="0000" w:firstRow="0" w:lastRow="0" w:firstColumn="0" w:lastColumn="0" w:noHBand="0" w:noVBand="0"/>
      </w:tblPr>
      <w:tblGrid>
        <w:gridCol w:w="720"/>
        <w:gridCol w:w="2287"/>
        <w:gridCol w:w="1003"/>
        <w:gridCol w:w="1003"/>
        <w:gridCol w:w="1003"/>
        <w:gridCol w:w="1284"/>
        <w:gridCol w:w="1284"/>
        <w:gridCol w:w="1285"/>
        <w:gridCol w:w="6"/>
      </w:tblGrid>
      <w:tr w:rsidR="009C3C86" w:rsidRPr="00A12B79" w14:paraId="4916E7C4" w14:textId="77777777" w:rsidTr="009C3C86">
        <w:trPr>
          <w:cantSplit/>
          <w:trHeight w:val="321"/>
        </w:trPr>
        <w:tc>
          <w:tcPr>
            <w:tcW w:w="9875" w:type="dxa"/>
            <w:gridSpan w:val="9"/>
            <w:tcBorders>
              <w:top w:val="nil"/>
              <w:left w:val="nil"/>
              <w:bottom w:val="nil"/>
              <w:right w:val="nil"/>
            </w:tcBorders>
            <w:shd w:val="clear" w:color="auto" w:fill="FFFFFF"/>
            <w:vAlign w:val="center"/>
          </w:tcPr>
          <w:p w14:paraId="2D0F9013" w14:textId="77777777" w:rsidR="009C3C86" w:rsidRPr="00A12B79" w:rsidRDefault="009C3C86" w:rsidP="00027769">
            <w:pPr>
              <w:rPr>
                <w:rFonts w:ascii="Arial" w:hAnsi="Arial" w:cs="Arial"/>
                <w:color w:val="010205"/>
                <w:sz w:val="28"/>
                <w:szCs w:val="28"/>
              </w:rPr>
            </w:pPr>
            <w:r w:rsidRPr="00A12B79">
              <w:rPr>
                <w:rFonts w:ascii="Arial" w:hAnsi="Arial" w:cs="Arial"/>
                <w:b/>
                <w:bCs/>
                <w:color w:val="010205"/>
                <w:sz w:val="28"/>
                <w:szCs w:val="28"/>
              </w:rPr>
              <w:t>Bootstrap for Coefficients</w:t>
            </w:r>
          </w:p>
        </w:tc>
      </w:tr>
      <w:tr w:rsidR="009C3C86" w:rsidRPr="00A12B79" w14:paraId="42C920FA" w14:textId="77777777" w:rsidTr="009C3C86">
        <w:trPr>
          <w:cantSplit/>
          <w:trHeight w:val="321"/>
        </w:trPr>
        <w:tc>
          <w:tcPr>
            <w:tcW w:w="3009" w:type="dxa"/>
            <w:gridSpan w:val="2"/>
            <w:vMerge w:val="restart"/>
            <w:tcBorders>
              <w:top w:val="nil"/>
              <w:left w:val="nil"/>
              <w:bottom w:val="nil"/>
              <w:right w:val="nil"/>
            </w:tcBorders>
            <w:shd w:val="clear" w:color="auto" w:fill="FFFFFF"/>
            <w:vAlign w:val="bottom"/>
          </w:tcPr>
          <w:p w14:paraId="0EC63342" w14:textId="77777777" w:rsidR="009C3C86" w:rsidRPr="00A12B79" w:rsidRDefault="009C3C86" w:rsidP="00027769">
            <w:pPr>
              <w:rPr>
                <w:rFonts w:ascii="Arial" w:hAnsi="Arial" w:cs="Arial"/>
                <w:color w:val="264A60"/>
              </w:rPr>
            </w:pPr>
            <w:r w:rsidRPr="00A12B79">
              <w:rPr>
                <w:rFonts w:ascii="Arial" w:hAnsi="Arial" w:cs="Arial"/>
                <w:color w:val="264A60"/>
              </w:rPr>
              <w:t>Model</w:t>
            </w:r>
          </w:p>
        </w:tc>
        <w:tc>
          <w:tcPr>
            <w:tcW w:w="1003" w:type="dxa"/>
            <w:vMerge w:val="restart"/>
            <w:tcBorders>
              <w:top w:val="nil"/>
              <w:left w:val="nil"/>
              <w:bottom w:val="nil"/>
              <w:right w:val="single" w:sz="8" w:space="0" w:color="E0E0E0"/>
            </w:tcBorders>
            <w:shd w:val="clear" w:color="auto" w:fill="FFFFFF"/>
            <w:vAlign w:val="bottom"/>
          </w:tcPr>
          <w:p w14:paraId="64A9116A" w14:textId="77777777" w:rsidR="009C3C86" w:rsidRPr="00A12B79" w:rsidRDefault="009C3C86" w:rsidP="00027769">
            <w:pPr>
              <w:rPr>
                <w:rFonts w:ascii="Arial" w:hAnsi="Arial" w:cs="Arial"/>
                <w:color w:val="264A60"/>
              </w:rPr>
            </w:pPr>
            <w:r w:rsidRPr="00A12B79">
              <w:rPr>
                <w:rFonts w:ascii="Arial" w:hAnsi="Arial" w:cs="Arial"/>
                <w:color w:val="264A60"/>
              </w:rPr>
              <w:t>B</w:t>
            </w:r>
          </w:p>
        </w:tc>
        <w:tc>
          <w:tcPr>
            <w:tcW w:w="5862" w:type="dxa"/>
            <w:gridSpan w:val="6"/>
            <w:tcBorders>
              <w:top w:val="nil"/>
              <w:left w:val="single" w:sz="8" w:space="0" w:color="E0E0E0"/>
              <w:bottom w:val="nil"/>
              <w:right w:val="nil"/>
            </w:tcBorders>
            <w:shd w:val="clear" w:color="auto" w:fill="FFFFFF"/>
            <w:vAlign w:val="bottom"/>
          </w:tcPr>
          <w:p w14:paraId="450DF051" w14:textId="77777777" w:rsidR="009C3C86" w:rsidRPr="00A12B79" w:rsidRDefault="009C3C86" w:rsidP="00027769">
            <w:pPr>
              <w:rPr>
                <w:rFonts w:ascii="Arial" w:hAnsi="Arial" w:cs="Arial"/>
                <w:color w:val="264A60"/>
              </w:rPr>
            </w:pPr>
            <w:r w:rsidRPr="00A12B79">
              <w:rPr>
                <w:rFonts w:ascii="Arial" w:hAnsi="Arial" w:cs="Arial"/>
                <w:color w:val="264A60"/>
              </w:rPr>
              <w:t>Bootstrap</w:t>
            </w:r>
            <w:r w:rsidRPr="00A12B79">
              <w:rPr>
                <w:rFonts w:ascii="Arial" w:hAnsi="Arial" w:cs="Arial"/>
                <w:color w:val="264A60"/>
                <w:vertAlign w:val="superscript"/>
              </w:rPr>
              <w:t>a</w:t>
            </w:r>
          </w:p>
        </w:tc>
      </w:tr>
      <w:tr w:rsidR="009C3C86" w:rsidRPr="00A12B79" w14:paraId="595E2F99" w14:textId="77777777" w:rsidTr="009C3C86">
        <w:trPr>
          <w:gridAfter w:val="1"/>
          <w:wAfter w:w="4" w:type="dxa"/>
          <w:cantSplit/>
          <w:trHeight w:val="642"/>
        </w:trPr>
        <w:tc>
          <w:tcPr>
            <w:tcW w:w="3009" w:type="dxa"/>
            <w:gridSpan w:val="2"/>
            <w:vMerge/>
            <w:tcBorders>
              <w:top w:val="nil"/>
              <w:left w:val="nil"/>
              <w:bottom w:val="nil"/>
              <w:right w:val="nil"/>
            </w:tcBorders>
            <w:shd w:val="clear" w:color="auto" w:fill="FFFFFF"/>
            <w:vAlign w:val="bottom"/>
          </w:tcPr>
          <w:p w14:paraId="3902F096" w14:textId="77777777" w:rsidR="009C3C86" w:rsidRPr="00A12B79" w:rsidRDefault="009C3C86" w:rsidP="00027769">
            <w:pPr>
              <w:rPr>
                <w:rFonts w:ascii="Arial" w:hAnsi="Arial" w:cs="Arial"/>
                <w:color w:val="264A60"/>
              </w:rPr>
            </w:pPr>
          </w:p>
        </w:tc>
        <w:tc>
          <w:tcPr>
            <w:tcW w:w="1003" w:type="dxa"/>
            <w:vMerge/>
            <w:tcBorders>
              <w:top w:val="nil"/>
              <w:left w:val="nil"/>
              <w:bottom w:val="nil"/>
              <w:right w:val="single" w:sz="8" w:space="0" w:color="E0E0E0"/>
            </w:tcBorders>
            <w:shd w:val="clear" w:color="auto" w:fill="FFFFFF"/>
            <w:vAlign w:val="bottom"/>
          </w:tcPr>
          <w:p w14:paraId="40D47532" w14:textId="77777777" w:rsidR="009C3C86" w:rsidRPr="00A12B79" w:rsidRDefault="009C3C86" w:rsidP="00027769">
            <w:pPr>
              <w:rPr>
                <w:rFonts w:ascii="Arial" w:hAnsi="Arial" w:cs="Arial"/>
                <w:color w:val="264A60"/>
              </w:rPr>
            </w:pPr>
          </w:p>
        </w:tc>
        <w:tc>
          <w:tcPr>
            <w:tcW w:w="1003" w:type="dxa"/>
            <w:vMerge w:val="restart"/>
            <w:tcBorders>
              <w:top w:val="nil"/>
              <w:left w:val="single" w:sz="8" w:space="0" w:color="E0E0E0"/>
              <w:bottom w:val="nil"/>
              <w:right w:val="single" w:sz="8" w:space="0" w:color="E0E0E0"/>
            </w:tcBorders>
            <w:shd w:val="clear" w:color="auto" w:fill="FFFFFF"/>
            <w:vAlign w:val="bottom"/>
          </w:tcPr>
          <w:p w14:paraId="31A0DCAD" w14:textId="77777777" w:rsidR="009C3C86" w:rsidRPr="00A12B79" w:rsidRDefault="009C3C86" w:rsidP="00027769">
            <w:pPr>
              <w:rPr>
                <w:rFonts w:ascii="Arial" w:hAnsi="Arial" w:cs="Arial"/>
                <w:color w:val="264A60"/>
              </w:rPr>
            </w:pPr>
            <w:r w:rsidRPr="00A12B79">
              <w:rPr>
                <w:rFonts w:ascii="Arial" w:hAnsi="Arial" w:cs="Arial"/>
                <w:color w:val="264A60"/>
              </w:rPr>
              <w:t>Bias</w:t>
            </w:r>
          </w:p>
        </w:tc>
        <w:tc>
          <w:tcPr>
            <w:tcW w:w="1003" w:type="dxa"/>
            <w:vMerge w:val="restart"/>
            <w:tcBorders>
              <w:top w:val="nil"/>
              <w:left w:val="single" w:sz="8" w:space="0" w:color="E0E0E0"/>
              <w:bottom w:val="nil"/>
              <w:right w:val="single" w:sz="8" w:space="0" w:color="E0E0E0"/>
            </w:tcBorders>
            <w:shd w:val="clear" w:color="auto" w:fill="FFFFFF"/>
            <w:vAlign w:val="bottom"/>
          </w:tcPr>
          <w:p w14:paraId="033EA6B4" w14:textId="77777777" w:rsidR="009C3C86" w:rsidRPr="00A12B79" w:rsidRDefault="009C3C86" w:rsidP="00027769">
            <w:pPr>
              <w:rPr>
                <w:rFonts w:ascii="Arial" w:hAnsi="Arial" w:cs="Arial"/>
                <w:color w:val="264A60"/>
              </w:rPr>
            </w:pPr>
            <w:r w:rsidRPr="00A12B79">
              <w:rPr>
                <w:rFonts w:ascii="Arial" w:hAnsi="Arial" w:cs="Arial"/>
                <w:color w:val="264A60"/>
              </w:rPr>
              <w:t>Std. Error</w:t>
            </w:r>
          </w:p>
        </w:tc>
        <w:tc>
          <w:tcPr>
            <w:tcW w:w="1284" w:type="dxa"/>
            <w:vMerge w:val="restart"/>
            <w:tcBorders>
              <w:top w:val="nil"/>
              <w:left w:val="single" w:sz="8" w:space="0" w:color="E0E0E0"/>
              <w:bottom w:val="nil"/>
              <w:right w:val="single" w:sz="8" w:space="0" w:color="E0E0E0"/>
            </w:tcBorders>
            <w:shd w:val="clear" w:color="auto" w:fill="FFFFFF"/>
            <w:vAlign w:val="bottom"/>
          </w:tcPr>
          <w:p w14:paraId="158DF04E" w14:textId="77777777" w:rsidR="009C3C86" w:rsidRPr="00A12B79" w:rsidRDefault="009C3C86" w:rsidP="00027769">
            <w:pPr>
              <w:rPr>
                <w:rFonts w:ascii="Arial" w:hAnsi="Arial" w:cs="Arial"/>
                <w:color w:val="264A60"/>
              </w:rPr>
            </w:pPr>
            <w:r w:rsidRPr="00A12B79">
              <w:rPr>
                <w:rFonts w:ascii="Arial" w:hAnsi="Arial" w:cs="Arial"/>
                <w:color w:val="264A60"/>
              </w:rPr>
              <w:t>Sig. (2-tailed)</w:t>
            </w:r>
          </w:p>
        </w:tc>
        <w:tc>
          <w:tcPr>
            <w:tcW w:w="2569" w:type="dxa"/>
            <w:gridSpan w:val="2"/>
            <w:tcBorders>
              <w:top w:val="nil"/>
              <w:left w:val="single" w:sz="8" w:space="0" w:color="E0E0E0"/>
              <w:bottom w:val="nil"/>
              <w:right w:val="nil"/>
            </w:tcBorders>
            <w:shd w:val="clear" w:color="auto" w:fill="FFFFFF"/>
            <w:vAlign w:val="bottom"/>
          </w:tcPr>
          <w:p w14:paraId="01489A90" w14:textId="77777777" w:rsidR="009C3C86" w:rsidRPr="00A12B79" w:rsidRDefault="009C3C86" w:rsidP="00027769">
            <w:pPr>
              <w:rPr>
                <w:rFonts w:ascii="Arial" w:hAnsi="Arial" w:cs="Arial"/>
                <w:color w:val="264A60"/>
              </w:rPr>
            </w:pPr>
            <w:r w:rsidRPr="00A12B79">
              <w:rPr>
                <w:rFonts w:ascii="Arial" w:hAnsi="Arial" w:cs="Arial"/>
                <w:color w:val="264A60"/>
              </w:rPr>
              <w:t>BCa 95% Confidence Interval</w:t>
            </w:r>
          </w:p>
        </w:tc>
      </w:tr>
      <w:tr w:rsidR="009C3C86" w:rsidRPr="00A12B79" w14:paraId="3C9CB97B" w14:textId="77777777" w:rsidTr="009C3C86">
        <w:trPr>
          <w:gridAfter w:val="1"/>
          <w:wAfter w:w="5" w:type="dxa"/>
          <w:cantSplit/>
          <w:trHeight w:val="321"/>
        </w:trPr>
        <w:tc>
          <w:tcPr>
            <w:tcW w:w="3009" w:type="dxa"/>
            <w:gridSpan w:val="2"/>
            <w:vMerge/>
            <w:tcBorders>
              <w:top w:val="nil"/>
              <w:left w:val="nil"/>
              <w:bottom w:val="nil"/>
              <w:right w:val="nil"/>
            </w:tcBorders>
            <w:shd w:val="clear" w:color="auto" w:fill="FFFFFF"/>
            <w:vAlign w:val="bottom"/>
          </w:tcPr>
          <w:p w14:paraId="0D54DDA6" w14:textId="77777777" w:rsidR="009C3C86" w:rsidRPr="00A12B79" w:rsidRDefault="009C3C86" w:rsidP="00027769">
            <w:pPr>
              <w:rPr>
                <w:rFonts w:ascii="Arial" w:hAnsi="Arial" w:cs="Arial"/>
                <w:color w:val="264A60"/>
              </w:rPr>
            </w:pPr>
          </w:p>
        </w:tc>
        <w:tc>
          <w:tcPr>
            <w:tcW w:w="1003" w:type="dxa"/>
            <w:vMerge/>
            <w:tcBorders>
              <w:top w:val="nil"/>
              <w:left w:val="nil"/>
              <w:bottom w:val="nil"/>
              <w:right w:val="single" w:sz="8" w:space="0" w:color="E0E0E0"/>
            </w:tcBorders>
            <w:shd w:val="clear" w:color="auto" w:fill="FFFFFF"/>
            <w:vAlign w:val="bottom"/>
          </w:tcPr>
          <w:p w14:paraId="0BC7D8D0" w14:textId="77777777" w:rsidR="009C3C86" w:rsidRPr="00A12B79" w:rsidRDefault="009C3C86" w:rsidP="00027769">
            <w:pPr>
              <w:rPr>
                <w:rFonts w:ascii="Arial" w:hAnsi="Arial" w:cs="Arial"/>
                <w:color w:val="264A60"/>
              </w:rPr>
            </w:pPr>
          </w:p>
        </w:tc>
        <w:tc>
          <w:tcPr>
            <w:tcW w:w="1003" w:type="dxa"/>
            <w:vMerge/>
            <w:tcBorders>
              <w:top w:val="nil"/>
              <w:left w:val="single" w:sz="8" w:space="0" w:color="E0E0E0"/>
              <w:bottom w:val="nil"/>
              <w:right w:val="single" w:sz="8" w:space="0" w:color="E0E0E0"/>
            </w:tcBorders>
            <w:shd w:val="clear" w:color="auto" w:fill="FFFFFF"/>
            <w:vAlign w:val="bottom"/>
          </w:tcPr>
          <w:p w14:paraId="0CD55D30" w14:textId="77777777" w:rsidR="009C3C86" w:rsidRPr="00A12B79" w:rsidRDefault="009C3C86" w:rsidP="00027769">
            <w:pPr>
              <w:rPr>
                <w:rFonts w:ascii="Arial" w:hAnsi="Arial" w:cs="Arial"/>
                <w:color w:val="264A60"/>
              </w:rPr>
            </w:pPr>
          </w:p>
        </w:tc>
        <w:tc>
          <w:tcPr>
            <w:tcW w:w="1003" w:type="dxa"/>
            <w:vMerge/>
            <w:tcBorders>
              <w:top w:val="nil"/>
              <w:left w:val="single" w:sz="8" w:space="0" w:color="E0E0E0"/>
              <w:bottom w:val="nil"/>
              <w:right w:val="single" w:sz="8" w:space="0" w:color="E0E0E0"/>
            </w:tcBorders>
            <w:shd w:val="clear" w:color="auto" w:fill="FFFFFF"/>
            <w:vAlign w:val="bottom"/>
          </w:tcPr>
          <w:p w14:paraId="7064A1B3" w14:textId="77777777" w:rsidR="009C3C86" w:rsidRPr="00A12B79" w:rsidRDefault="009C3C86" w:rsidP="00027769">
            <w:pPr>
              <w:rPr>
                <w:rFonts w:ascii="Arial" w:hAnsi="Arial" w:cs="Arial"/>
                <w:color w:val="264A60"/>
              </w:rPr>
            </w:pPr>
          </w:p>
        </w:tc>
        <w:tc>
          <w:tcPr>
            <w:tcW w:w="1284" w:type="dxa"/>
            <w:vMerge/>
            <w:tcBorders>
              <w:top w:val="nil"/>
              <w:left w:val="single" w:sz="8" w:space="0" w:color="E0E0E0"/>
              <w:bottom w:val="nil"/>
              <w:right w:val="single" w:sz="8" w:space="0" w:color="E0E0E0"/>
            </w:tcBorders>
            <w:shd w:val="clear" w:color="auto" w:fill="FFFFFF"/>
            <w:vAlign w:val="bottom"/>
          </w:tcPr>
          <w:p w14:paraId="5F9C30C2" w14:textId="77777777" w:rsidR="009C3C86" w:rsidRPr="00A12B79" w:rsidRDefault="009C3C86" w:rsidP="00027769">
            <w:pPr>
              <w:rPr>
                <w:rFonts w:ascii="Arial" w:hAnsi="Arial" w:cs="Arial"/>
                <w:color w:val="264A60"/>
              </w:rPr>
            </w:pPr>
          </w:p>
        </w:tc>
        <w:tc>
          <w:tcPr>
            <w:tcW w:w="1284" w:type="dxa"/>
            <w:tcBorders>
              <w:top w:val="nil"/>
              <w:left w:val="single" w:sz="8" w:space="0" w:color="E0E0E0"/>
              <w:bottom w:val="single" w:sz="8" w:space="0" w:color="152935"/>
              <w:right w:val="single" w:sz="8" w:space="0" w:color="E0E0E0"/>
            </w:tcBorders>
            <w:shd w:val="clear" w:color="auto" w:fill="FFFFFF"/>
            <w:vAlign w:val="bottom"/>
          </w:tcPr>
          <w:p w14:paraId="06076F80" w14:textId="77777777" w:rsidR="009C3C86" w:rsidRPr="00A12B79" w:rsidRDefault="009C3C86" w:rsidP="00027769">
            <w:pPr>
              <w:rPr>
                <w:rFonts w:ascii="Arial" w:hAnsi="Arial" w:cs="Arial"/>
                <w:color w:val="264A60"/>
              </w:rPr>
            </w:pPr>
            <w:r w:rsidRPr="00A12B79">
              <w:rPr>
                <w:rFonts w:ascii="Arial" w:hAnsi="Arial" w:cs="Arial"/>
                <w:color w:val="264A60"/>
              </w:rPr>
              <w:t>Lower</w:t>
            </w:r>
          </w:p>
        </w:tc>
        <w:tc>
          <w:tcPr>
            <w:tcW w:w="1284" w:type="dxa"/>
            <w:tcBorders>
              <w:top w:val="nil"/>
              <w:left w:val="single" w:sz="8" w:space="0" w:color="E0E0E0"/>
              <w:bottom w:val="single" w:sz="8" w:space="0" w:color="152935"/>
              <w:right w:val="nil"/>
            </w:tcBorders>
            <w:shd w:val="clear" w:color="auto" w:fill="FFFFFF"/>
            <w:vAlign w:val="bottom"/>
          </w:tcPr>
          <w:p w14:paraId="664D3FFD" w14:textId="77777777" w:rsidR="009C3C86" w:rsidRPr="00A12B79" w:rsidRDefault="009C3C86" w:rsidP="00027769">
            <w:pPr>
              <w:rPr>
                <w:rFonts w:ascii="Arial" w:hAnsi="Arial" w:cs="Arial"/>
                <w:color w:val="264A60"/>
              </w:rPr>
            </w:pPr>
            <w:r w:rsidRPr="00A12B79">
              <w:rPr>
                <w:rFonts w:ascii="Arial" w:hAnsi="Arial" w:cs="Arial"/>
                <w:color w:val="264A60"/>
              </w:rPr>
              <w:t>Upper</w:t>
            </w:r>
          </w:p>
        </w:tc>
      </w:tr>
      <w:tr w:rsidR="009C3C86" w:rsidRPr="00A12B79" w14:paraId="594FF517" w14:textId="77777777" w:rsidTr="009C3C86">
        <w:trPr>
          <w:gridAfter w:val="1"/>
          <w:wAfter w:w="6" w:type="dxa"/>
          <w:cantSplit/>
          <w:trHeight w:val="321"/>
        </w:trPr>
        <w:tc>
          <w:tcPr>
            <w:tcW w:w="721" w:type="dxa"/>
            <w:vMerge w:val="restart"/>
            <w:tcBorders>
              <w:top w:val="single" w:sz="8" w:space="0" w:color="152935"/>
              <w:left w:val="nil"/>
              <w:bottom w:val="single" w:sz="8" w:space="0" w:color="152935"/>
              <w:right w:val="nil"/>
            </w:tcBorders>
            <w:shd w:val="clear" w:color="auto" w:fill="E0E0E0"/>
          </w:tcPr>
          <w:p w14:paraId="63848517" w14:textId="77777777" w:rsidR="009C3C86" w:rsidRPr="00A12B79" w:rsidRDefault="009C3C86" w:rsidP="00027769">
            <w:pPr>
              <w:rPr>
                <w:rFonts w:ascii="Arial" w:hAnsi="Arial" w:cs="Arial"/>
                <w:color w:val="264A60"/>
              </w:rPr>
            </w:pPr>
            <w:r w:rsidRPr="00A12B79">
              <w:rPr>
                <w:rFonts w:ascii="Arial" w:hAnsi="Arial" w:cs="Arial"/>
                <w:color w:val="264A60"/>
              </w:rPr>
              <w:t>1</w:t>
            </w:r>
          </w:p>
        </w:tc>
        <w:tc>
          <w:tcPr>
            <w:tcW w:w="2287" w:type="dxa"/>
            <w:tcBorders>
              <w:top w:val="single" w:sz="8" w:space="0" w:color="152935"/>
              <w:left w:val="nil"/>
              <w:bottom w:val="single" w:sz="8" w:space="0" w:color="AEAEAE"/>
              <w:right w:val="nil"/>
            </w:tcBorders>
            <w:shd w:val="clear" w:color="auto" w:fill="E0E0E0"/>
          </w:tcPr>
          <w:p w14:paraId="6DF2A24A" w14:textId="77777777" w:rsidR="009C3C86" w:rsidRPr="00A12B79" w:rsidRDefault="009C3C86" w:rsidP="00027769">
            <w:pPr>
              <w:rPr>
                <w:rFonts w:ascii="Arial" w:hAnsi="Arial" w:cs="Arial"/>
                <w:color w:val="264A60"/>
              </w:rPr>
            </w:pPr>
            <w:r w:rsidRPr="00A12B79">
              <w:rPr>
                <w:rFonts w:ascii="Arial" w:hAnsi="Arial" w:cs="Arial"/>
                <w:color w:val="264A60"/>
              </w:rPr>
              <w:t>(Constant)</w:t>
            </w:r>
          </w:p>
        </w:tc>
        <w:tc>
          <w:tcPr>
            <w:tcW w:w="1003" w:type="dxa"/>
            <w:tcBorders>
              <w:top w:val="single" w:sz="8" w:space="0" w:color="152935"/>
              <w:left w:val="nil"/>
              <w:bottom w:val="single" w:sz="8" w:space="0" w:color="AEAEAE"/>
              <w:right w:val="single" w:sz="8" w:space="0" w:color="E0E0E0"/>
            </w:tcBorders>
            <w:shd w:val="clear" w:color="auto" w:fill="F9F9FB"/>
          </w:tcPr>
          <w:p w14:paraId="1048D00C" w14:textId="77777777" w:rsidR="009C3C86" w:rsidRPr="00A12B79" w:rsidRDefault="009C3C86" w:rsidP="00027769">
            <w:pPr>
              <w:rPr>
                <w:rFonts w:ascii="Arial" w:hAnsi="Arial" w:cs="Arial"/>
                <w:color w:val="010205"/>
              </w:rPr>
            </w:pPr>
            <w:r w:rsidRPr="00A12B79">
              <w:rPr>
                <w:rFonts w:ascii="Arial" w:hAnsi="Arial" w:cs="Arial"/>
                <w:color w:val="010205"/>
              </w:rPr>
              <w:t>-75.198</w:t>
            </w:r>
          </w:p>
        </w:tc>
        <w:tc>
          <w:tcPr>
            <w:tcW w:w="1003" w:type="dxa"/>
            <w:tcBorders>
              <w:top w:val="single" w:sz="8" w:space="0" w:color="152935"/>
              <w:left w:val="single" w:sz="8" w:space="0" w:color="E0E0E0"/>
              <w:bottom w:val="single" w:sz="8" w:space="0" w:color="AEAEAE"/>
              <w:right w:val="single" w:sz="8" w:space="0" w:color="E0E0E0"/>
            </w:tcBorders>
            <w:shd w:val="clear" w:color="auto" w:fill="F9F9FB"/>
          </w:tcPr>
          <w:p w14:paraId="546203D8" w14:textId="77777777" w:rsidR="009C3C86" w:rsidRPr="00A12B79" w:rsidRDefault="009C3C86" w:rsidP="00027769">
            <w:pPr>
              <w:rPr>
                <w:rFonts w:ascii="Arial" w:hAnsi="Arial" w:cs="Arial"/>
                <w:color w:val="010205"/>
              </w:rPr>
            </w:pPr>
            <w:r w:rsidRPr="00A12B79">
              <w:rPr>
                <w:rFonts w:ascii="Arial" w:hAnsi="Arial" w:cs="Arial"/>
                <w:color w:val="010205"/>
              </w:rPr>
              <w:t>3.037</w:t>
            </w:r>
          </w:p>
        </w:tc>
        <w:tc>
          <w:tcPr>
            <w:tcW w:w="1003" w:type="dxa"/>
            <w:tcBorders>
              <w:top w:val="single" w:sz="8" w:space="0" w:color="152935"/>
              <w:left w:val="single" w:sz="8" w:space="0" w:color="E0E0E0"/>
              <w:bottom w:val="single" w:sz="8" w:space="0" w:color="AEAEAE"/>
              <w:right w:val="single" w:sz="8" w:space="0" w:color="E0E0E0"/>
            </w:tcBorders>
            <w:shd w:val="clear" w:color="auto" w:fill="F9F9FB"/>
          </w:tcPr>
          <w:p w14:paraId="4F3A6B1B" w14:textId="77777777" w:rsidR="009C3C86" w:rsidRPr="00A12B79" w:rsidRDefault="009C3C86" w:rsidP="00027769">
            <w:pPr>
              <w:rPr>
                <w:rFonts w:ascii="Arial" w:hAnsi="Arial" w:cs="Arial"/>
                <w:color w:val="010205"/>
              </w:rPr>
            </w:pPr>
            <w:r w:rsidRPr="00A12B79">
              <w:rPr>
                <w:rFonts w:ascii="Arial" w:hAnsi="Arial" w:cs="Arial"/>
                <w:color w:val="010205"/>
              </w:rPr>
              <w:t>69.713</w:t>
            </w:r>
          </w:p>
        </w:tc>
        <w:tc>
          <w:tcPr>
            <w:tcW w:w="1284" w:type="dxa"/>
            <w:tcBorders>
              <w:top w:val="single" w:sz="8" w:space="0" w:color="152935"/>
              <w:left w:val="single" w:sz="8" w:space="0" w:color="E0E0E0"/>
              <w:bottom w:val="single" w:sz="8" w:space="0" w:color="AEAEAE"/>
              <w:right w:val="single" w:sz="8" w:space="0" w:color="E0E0E0"/>
            </w:tcBorders>
            <w:shd w:val="clear" w:color="auto" w:fill="F9F9FB"/>
          </w:tcPr>
          <w:p w14:paraId="0F2BCB65" w14:textId="77777777" w:rsidR="009C3C86" w:rsidRPr="00A12B79" w:rsidRDefault="009C3C86" w:rsidP="00027769">
            <w:pPr>
              <w:rPr>
                <w:rFonts w:ascii="Arial" w:hAnsi="Arial" w:cs="Arial"/>
                <w:color w:val="010205"/>
              </w:rPr>
            </w:pPr>
            <w:r w:rsidRPr="00A12B79">
              <w:rPr>
                <w:rFonts w:ascii="Arial" w:hAnsi="Arial" w:cs="Arial"/>
                <w:color w:val="010205"/>
              </w:rPr>
              <w:t>.344</w:t>
            </w:r>
          </w:p>
        </w:tc>
        <w:tc>
          <w:tcPr>
            <w:tcW w:w="1284" w:type="dxa"/>
            <w:tcBorders>
              <w:top w:val="single" w:sz="8" w:space="0" w:color="152935"/>
              <w:left w:val="single" w:sz="8" w:space="0" w:color="E0E0E0"/>
              <w:bottom w:val="single" w:sz="8" w:space="0" w:color="AEAEAE"/>
              <w:right w:val="single" w:sz="8" w:space="0" w:color="E0E0E0"/>
            </w:tcBorders>
            <w:shd w:val="clear" w:color="auto" w:fill="F9F9FB"/>
          </w:tcPr>
          <w:p w14:paraId="1E269A57" w14:textId="77777777" w:rsidR="009C3C86" w:rsidRPr="00A12B79" w:rsidRDefault="009C3C86" w:rsidP="00027769">
            <w:pPr>
              <w:rPr>
                <w:rFonts w:ascii="Arial" w:hAnsi="Arial" w:cs="Arial"/>
                <w:color w:val="010205"/>
              </w:rPr>
            </w:pPr>
            <w:r w:rsidRPr="00A12B79">
              <w:rPr>
                <w:rFonts w:ascii="Arial" w:hAnsi="Arial" w:cs="Arial"/>
                <w:color w:val="010205"/>
              </w:rPr>
              <w:t>-260.655</w:t>
            </w:r>
          </w:p>
        </w:tc>
        <w:tc>
          <w:tcPr>
            <w:tcW w:w="1284" w:type="dxa"/>
            <w:tcBorders>
              <w:top w:val="single" w:sz="8" w:space="0" w:color="152935"/>
              <w:left w:val="single" w:sz="8" w:space="0" w:color="E0E0E0"/>
              <w:bottom w:val="single" w:sz="8" w:space="0" w:color="AEAEAE"/>
              <w:right w:val="nil"/>
            </w:tcBorders>
            <w:shd w:val="clear" w:color="auto" w:fill="F9F9FB"/>
          </w:tcPr>
          <w:p w14:paraId="49FBBB5F" w14:textId="77777777" w:rsidR="009C3C86" w:rsidRPr="00A12B79" w:rsidRDefault="009C3C86" w:rsidP="00027769">
            <w:pPr>
              <w:rPr>
                <w:rFonts w:ascii="Arial" w:hAnsi="Arial" w:cs="Arial"/>
                <w:color w:val="010205"/>
              </w:rPr>
            </w:pPr>
            <w:r w:rsidRPr="00A12B79">
              <w:rPr>
                <w:rFonts w:ascii="Arial" w:hAnsi="Arial" w:cs="Arial"/>
                <w:color w:val="010205"/>
              </w:rPr>
              <w:t>30.440</w:t>
            </w:r>
          </w:p>
        </w:tc>
      </w:tr>
      <w:tr w:rsidR="009C3C86" w:rsidRPr="00A12B79" w14:paraId="1A3A90FB" w14:textId="77777777" w:rsidTr="009C3C86">
        <w:trPr>
          <w:gridAfter w:val="1"/>
          <w:wAfter w:w="6" w:type="dxa"/>
          <w:cantSplit/>
          <w:trHeight w:val="662"/>
        </w:trPr>
        <w:tc>
          <w:tcPr>
            <w:tcW w:w="721" w:type="dxa"/>
            <w:vMerge/>
            <w:tcBorders>
              <w:top w:val="single" w:sz="8" w:space="0" w:color="152935"/>
              <w:left w:val="nil"/>
              <w:bottom w:val="single" w:sz="8" w:space="0" w:color="152935"/>
              <w:right w:val="nil"/>
            </w:tcBorders>
            <w:shd w:val="clear" w:color="auto" w:fill="E0E0E0"/>
          </w:tcPr>
          <w:p w14:paraId="6B7A5B6E" w14:textId="77777777" w:rsidR="009C3C86" w:rsidRPr="00A12B79" w:rsidRDefault="009C3C86" w:rsidP="00027769">
            <w:pPr>
              <w:rPr>
                <w:rFonts w:ascii="Arial" w:hAnsi="Arial" w:cs="Arial"/>
                <w:color w:val="010205"/>
              </w:rPr>
            </w:pPr>
          </w:p>
        </w:tc>
        <w:tc>
          <w:tcPr>
            <w:tcW w:w="2287" w:type="dxa"/>
            <w:tcBorders>
              <w:top w:val="single" w:sz="8" w:space="0" w:color="AEAEAE"/>
              <w:left w:val="nil"/>
              <w:bottom w:val="single" w:sz="8" w:space="0" w:color="AEAEAE"/>
              <w:right w:val="nil"/>
            </w:tcBorders>
            <w:shd w:val="clear" w:color="auto" w:fill="E0E0E0"/>
          </w:tcPr>
          <w:p w14:paraId="50127043" w14:textId="77777777" w:rsidR="009C3C86" w:rsidRPr="00A12B79" w:rsidRDefault="009C3C86" w:rsidP="00027769">
            <w:pPr>
              <w:rPr>
                <w:rFonts w:ascii="Arial" w:hAnsi="Arial" w:cs="Arial"/>
                <w:color w:val="264A60"/>
              </w:rPr>
            </w:pPr>
            <w:r w:rsidRPr="00A12B79">
              <w:rPr>
                <w:rFonts w:ascii="Arial" w:hAnsi="Arial" w:cs="Arial"/>
                <w:color w:val="264A60"/>
              </w:rPr>
              <w:t>Intoleranceofuncertainty</w:t>
            </w:r>
          </w:p>
        </w:tc>
        <w:tc>
          <w:tcPr>
            <w:tcW w:w="1003" w:type="dxa"/>
            <w:tcBorders>
              <w:top w:val="single" w:sz="8" w:space="0" w:color="AEAEAE"/>
              <w:left w:val="nil"/>
              <w:bottom w:val="single" w:sz="8" w:space="0" w:color="AEAEAE"/>
              <w:right w:val="single" w:sz="8" w:space="0" w:color="E0E0E0"/>
            </w:tcBorders>
            <w:shd w:val="clear" w:color="auto" w:fill="F9F9FB"/>
          </w:tcPr>
          <w:p w14:paraId="6E69AA5B" w14:textId="77777777" w:rsidR="009C3C86" w:rsidRPr="00A12B79" w:rsidRDefault="009C3C86" w:rsidP="00027769">
            <w:pPr>
              <w:rPr>
                <w:rFonts w:ascii="Arial" w:hAnsi="Arial" w:cs="Arial"/>
                <w:color w:val="010205"/>
              </w:rPr>
            </w:pPr>
            <w:r w:rsidRPr="00A12B79">
              <w:rPr>
                <w:rFonts w:ascii="Arial" w:hAnsi="Arial" w:cs="Arial"/>
                <w:color w:val="010205"/>
              </w:rPr>
              <w:t>-.068</w:t>
            </w:r>
          </w:p>
        </w:tc>
        <w:tc>
          <w:tcPr>
            <w:tcW w:w="1003" w:type="dxa"/>
            <w:tcBorders>
              <w:top w:val="single" w:sz="8" w:space="0" w:color="AEAEAE"/>
              <w:left w:val="single" w:sz="8" w:space="0" w:color="E0E0E0"/>
              <w:bottom w:val="single" w:sz="8" w:space="0" w:color="AEAEAE"/>
              <w:right w:val="single" w:sz="8" w:space="0" w:color="E0E0E0"/>
            </w:tcBorders>
            <w:shd w:val="clear" w:color="auto" w:fill="F9F9FB"/>
          </w:tcPr>
          <w:p w14:paraId="66B9541A" w14:textId="77777777" w:rsidR="009C3C86" w:rsidRPr="00A12B79" w:rsidRDefault="009C3C86" w:rsidP="00027769">
            <w:pPr>
              <w:rPr>
                <w:rFonts w:ascii="Arial" w:hAnsi="Arial" w:cs="Arial"/>
                <w:color w:val="010205"/>
              </w:rPr>
            </w:pPr>
            <w:r w:rsidRPr="00A12B79">
              <w:rPr>
                <w:rFonts w:ascii="Arial" w:hAnsi="Arial" w:cs="Arial"/>
                <w:color w:val="010205"/>
              </w:rPr>
              <w:t>-.057</w:t>
            </w:r>
          </w:p>
        </w:tc>
        <w:tc>
          <w:tcPr>
            <w:tcW w:w="1003" w:type="dxa"/>
            <w:tcBorders>
              <w:top w:val="single" w:sz="8" w:space="0" w:color="AEAEAE"/>
              <w:left w:val="single" w:sz="8" w:space="0" w:color="E0E0E0"/>
              <w:bottom w:val="single" w:sz="8" w:space="0" w:color="AEAEAE"/>
              <w:right w:val="single" w:sz="8" w:space="0" w:color="E0E0E0"/>
            </w:tcBorders>
            <w:shd w:val="clear" w:color="auto" w:fill="F9F9FB"/>
          </w:tcPr>
          <w:p w14:paraId="6EDC4AC6" w14:textId="77777777" w:rsidR="009C3C86" w:rsidRPr="00A12B79" w:rsidRDefault="009C3C86" w:rsidP="00027769">
            <w:pPr>
              <w:rPr>
                <w:rFonts w:ascii="Arial" w:hAnsi="Arial" w:cs="Arial"/>
                <w:color w:val="010205"/>
              </w:rPr>
            </w:pPr>
            <w:r w:rsidRPr="00A12B79">
              <w:rPr>
                <w:rFonts w:ascii="Arial" w:hAnsi="Arial" w:cs="Arial"/>
                <w:color w:val="010205"/>
              </w:rPr>
              <w:t>1.704</w:t>
            </w:r>
          </w:p>
        </w:tc>
        <w:tc>
          <w:tcPr>
            <w:tcW w:w="1284" w:type="dxa"/>
            <w:tcBorders>
              <w:top w:val="single" w:sz="8" w:space="0" w:color="AEAEAE"/>
              <w:left w:val="single" w:sz="8" w:space="0" w:color="E0E0E0"/>
              <w:bottom w:val="single" w:sz="8" w:space="0" w:color="AEAEAE"/>
              <w:right w:val="single" w:sz="8" w:space="0" w:color="E0E0E0"/>
            </w:tcBorders>
            <w:shd w:val="clear" w:color="auto" w:fill="F9F9FB"/>
          </w:tcPr>
          <w:p w14:paraId="142D8C43" w14:textId="77777777" w:rsidR="009C3C86" w:rsidRPr="00A12B79" w:rsidRDefault="009C3C86" w:rsidP="00027769">
            <w:pPr>
              <w:rPr>
                <w:rFonts w:ascii="Arial" w:hAnsi="Arial" w:cs="Arial"/>
                <w:color w:val="010205"/>
              </w:rPr>
            </w:pPr>
            <w:r w:rsidRPr="00A12B79">
              <w:rPr>
                <w:rFonts w:ascii="Arial" w:hAnsi="Arial" w:cs="Arial"/>
                <w:color w:val="010205"/>
              </w:rPr>
              <w:t>.971</w:t>
            </w:r>
          </w:p>
        </w:tc>
        <w:tc>
          <w:tcPr>
            <w:tcW w:w="1284" w:type="dxa"/>
            <w:tcBorders>
              <w:top w:val="single" w:sz="8" w:space="0" w:color="AEAEAE"/>
              <w:left w:val="single" w:sz="8" w:space="0" w:color="E0E0E0"/>
              <w:bottom w:val="single" w:sz="8" w:space="0" w:color="AEAEAE"/>
              <w:right w:val="single" w:sz="8" w:space="0" w:color="E0E0E0"/>
            </w:tcBorders>
            <w:shd w:val="clear" w:color="auto" w:fill="F9F9FB"/>
          </w:tcPr>
          <w:p w14:paraId="326AA368" w14:textId="77777777" w:rsidR="009C3C86" w:rsidRPr="00A12B79" w:rsidRDefault="009C3C86" w:rsidP="00027769">
            <w:pPr>
              <w:rPr>
                <w:rFonts w:ascii="Arial" w:hAnsi="Arial" w:cs="Arial"/>
                <w:color w:val="010205"/>
              </w:rPr>
            </w:pPr>
            <w:r w:rsidRPr="00A12B79">
              <w:rPr>
                <w:rFonts w:ascii="Arial" w:hAnsi="Arial" w:cs="Arial"/>
                <w:color w:val="010205"/>
              </w:rPr>
              <w:t>-3.281</w:t>
            </w:r>
          </w:p>
        </w:tc>
        <w:tc>
          <w:tcPr>
            <w:tcW w:w="1284" w:type="dxa"/>
            <w:tcBorders>
              <w:top w:val="single" w:sz="8" w:space="0" w:color="AEAEAE"/>
              <w:left w:val="single" w:sz="8" w:space="0" w:color="E0E0E0"/>
              <w:bottom w:val="single" w:sz="8" w:space="0" w:color="AEAEAE"/>
              <w:right w:val="nil"/>
            </w:tcBorders>
            <w:shd w:val="clear" w:color="auto" w:fill="F9F9FB"/>
          </w:tcPr>
          <w:p w14:paraId="400BA80B" w14:textId="77777777" w:rsidR="009C3C86" w:rsidRPr="00A12B79" w:rsidRDefault="009C3C86" w:rsidP="00027769">
            <w:pPr>
              <w:rPr>
                <w:rFonts w:ascii="Arial" w:hAnsi="Arial" w:cs="Arial"/>
                <w:color w:val="010205"/>
              </w:rPr>
            </w:pPr>
            <w:r w:rsidRPr="00A12B79">
              <w:rPr>
                <w:rFonts w:ascii="Arial" w:hAnsi="Arial" w:cs="Arial"/>
                <w:color w:val="010205"/>
              </w:rPr>
              <w:t>3.011</w:t>
            </w:r>
          </w:p>
        </w:tc>
      </w:tr>
      <w:tr w:rsidR="009C3C86" w:rsidRPr="00A12B79" w14:paraId="30CB2A2B" w14:textId="77777777" w:rsidTr="009C3C86">
        <w:trPr>
          <w:gridAfter w:val="1"/>
          <w:wAfter w:w="6" w:type="dxa"/>
          <w:cantSplit/>
          <w:trHeight w:val="341"/>
        </w:trPr>
        <w:tc>
          <w:tcPr>
            <w:tcW w:w="721" w:type="dxa"/>
            <w:vMerge/>
            <w:tcBorders>
              <w:top w:val="single" w:sz="8" w:space="0" w:color="152935"/>
              <w:left w:val="nil"/>
              <w:bottom w:val="single" w:sz="8" w:space="0" w:color="152935"/>
              <w:right w:val="nil"/>
            </w:tcBorders>
            <w:shd w:val="clear" w:color="auto" w:fill="E0E0E0"/>
          </w:tcPr>
          <w:p w14:paraId="53D89EA3" w14:textId="77777777" w:rsidR="009C3C86" w:rsidRPr="00A12B79" w:rsidRDefault="009C3C86" w:rsidP="00027769">
            <w:pPr>
              <w:rPr>
                <w:rFonts w:ascii="Arial" w:hAnsi="Arial" w:cs="Arial"/>
                <w:color w:val="010205"/>
              </w:rPr>
            </w:pPr>
          </w:p>
        </w:tc>
        <w:tc>
          <w:tcPr>
            <w:tcW w:w="2287" w:type="dxa"/>
            <w:tcBorders>
              <w:top w:val="single" w:sz="8" w:space="0" w:color="AEAEAE"/>
              <w:left w:val="nil"/>
              <w:bottom w:val="single" w:sz="8" w:space="0" w:color="AEAEAE"/>
              <w:right w:val="nil"/>
            </w:tcBorders>
            <w:shd w:val="clear" w:color="auto" w:fill="E0E0E0"/>
          </w:tcPr>
          <w:p w14:paraId="384AA88F" w14:textId="77777777" w:rsidR="009C3C86" w:rsidRPr="00A12B79" w:rsidRDefault="009C3C86" w:rsidP="00027769">
            <w:pPr>
              <w:rPr>
                <w:rFonts w:ascii="Arial" w:hAnsi="Arial" w:cs="Arial"/>
                <w:color w:val="264A60"/>
              </w:rPr>
            </w:pPr>
            <w:r w:rsidRPr="00A12B79">
              <w:rPr>
                <w:rFonts w:ascii="Arial" w:hAnsi="Arial" w:cs="Arial"/>
                <w:color w:val="264A60"/>
              </w:rPr>
              <w:t>Anxietysensitivity</w:t>
            </w:r>
          </w:p>
        </w:tc>
        <w:tc>
          <w:tcPr>
            <w:tcW w:w="1003" w:type="dxa"/>
            <w:tcBorders>
              <w:top w:val="single" w:sz="8" w:space="0" w:color="AEAEAE"/>
              <w:left w:val="nil"/>
              <w:bottom w:val="single" w:sz="8" w:space="0" w:color="AEAEAE"/>
              <w:right w:val="single" w:sz="8" w:space="0" w:color="E0E0E0"/>
            </w:tcBorders>
            <w:shd w:val="clear" w:color="auto" w:fill="F9F9FB"/>
          </w:tcPr>
          <w:p w14:paraId="23314B85" w14:textId="77777777" w:rsidR="009C3C86" w:rsidRPr="00A12B79" w:rsidRDefault="009C3C86" w:rsidP="00027769">
            <w:pPr>
              <w:rPr>
                <w:rFonts w:ascii="Arial" w:hAnsi="Arial" w:cs="Arial"/>
                <w:color w:val="010205"/>
              </w:rPr>
            </w:pPr>
            <w:r w:rsidRPr="00A12B79">
              <w:rPr>
                <w:rFonts w:ascii="Arial" w:hAnsi="Arial" w:cs="Arial"/>
                <w:color w:val="010205"/>
              </w:rPr>
              <w:t>1.502</w:t>
            </w:r>
          </w:p>
        </w:tc>
        <w:tc>
          <w:tcPr>
            <w:tcW w:w="1003" w:type="dxa"/>
            <w:tcBorders>
              <w:top w:val="single" w:sz="8" w:space="0" w:color="AEAEAE"/>
              <w:left w:val="single" w:sz="8" w:space="0" w:color="E0E0E0"/>
              <w:bottom w:val="single" w:sz="8" w:space="0" w:color="AEAEAE"/>
              <w:right w:val="single" w:sz="8" w:space="0" w:color="E0E0E0"/>
            </w:tcBorders>
            <w:shd w:val="clear" w:color="auto" w:fill="F9F9FB"/>
          </w:tcPr>
          <w:p w14:paraId="352AF16D" w14:textId="77777777" w:rsidR="009C3C86" w:rsidRPr="00A12B79" w:rsidRDefault="009C3C86" w:rsidP="00027769">
            <w:pPr>
              <w:rPr>
                <w:rFonts w:ascii="Arial" w:hAnsi="Arial" w:cs="Arial"/>
                <w:color w:val="010205"/>
              </w:rPr>
            </w:pPr>
            <w:r w:rsidRPr="00A12B79">
              <w:rPr>
                <w:rFonts w:ascii="Arial" w:hAnsi="Arial" w:cs="Arial"/>
                <w:color w:val="010205"/>
              </w:rPr>
              <w:t>.026</w:t>
            </w:r>
          </w:p>
        </w:tc>
        <w:tc>
          <w:tcPr>
            <w:tcW w:w="1003" w:type="dxa"/>
            <w:tcBorders>
              <w:top w:val="single" w:sz="8" w:space="0" w:color="AEAEAE"/>
              <w:left w:val="single" w:sz="8" w:space="0" w:color="E0E0E0"/>
              <w:bottom w:val="single" w:sz="8" w:space="0" w:color="AEAEAE"/>
              <w:right w:val="single" w:sz="8" w:space="0" w:color="E0E0E0"/>
            </w:tcBorders>
            <w:shd w:val="clear" w:color="auto" w:fill="F9F9FB"/>
          </w:tcPr>
          <w:p w14:paraId="4B7CC0B5" w14:textId="77777777" w:rsidR="009C3C86" w:rsidRPr="00A12B79" w:rsidRDefault="009C3C86" w:rsidP="00027769">
            <w:pPr>
              <w:rPr>
                <w:rFonts w:ascii="Arial" w:hAnsi="Arial" w:cs="Arial"/>
                <w:color w:val="010205"/>
              </w:rPr>
            </w:pPr>
            <w:r w:rsidRPr="00A12B79">
              <w:rPr>
                <w:rFonts w:ascii="Arial" w:hAnsi="Arial" w:cs="Arial"/>
                <w:color w:val="010205"/>
              </w:rPr>
              <w:t>1.228</w:t>
            </w:r>
          </w:p>
        </w:tc>
        <w:tc>
          <w:tcPr>
            <w:tcW w:w="1284" w:type="dxa"/>
            <w:tcBorders>
              <w:top w:val="single" w:sz="8" w:space="0" w:color="AEAEAE"/>
              <w:left w:val="single" w:sz="8" w:space="0" w:color="E0E0E0"/>
              <w:bottom w:val="single" w:sz="8" w:space="0" w:color="AEAEAE"/>
              <w:right w:val="single" w:sz="8" w:space="0" w:color="E0E0E0"/>
            </w:tcBorders>
            <w:shd w:val="clear" w:color="auto" w:fill="F9F9FB"/>
          </w:tcPr>
          <w:p w14:paraId="0BF9BEFE" w14:textId="77777777" w:rsidR="009C3C86" w:rsidRPr="00A12B79" w:rsidRDefault="009C3C86" w:rsidP="00027769">
            <w:pPr>
              <w:rPr>
                <w:rFonts w:ascii="Arial" w:hAnsi="Arial" w:cs="Arial"/>
                <w:color w:val="010205"/>
              </w:rPr>
            </w:pPr>
            <w:r w:rsidRPr="00A12B79">
              <w:rPr>
                <w:rFonts w:ascii="Arial" w:hAnsi="Arial" w:cs="Arial"/>
                <w:color w:val="010205"/>
              </w:rPr>
              <w:t>.248</w:t>
            </w:r>
          </w:p>
        </w:tc>
        <w:tc>
          <w:tcPr>
            <w:tcW w:w="1284" w:type="dxa"/>
            <w:tcBorders>
              <w:top w:val="single" w:sz="8" w:space="0" w:color="AEAEAE"/>
              <w:left w:val="single" w:sz="8" w:space="0" w:color="E0E0E0"/>
              <w:bottom w:val="single" w:sz="8" w:space="0" w:color="AEAEAE"/>
              <w:right w:val="single" w:sz="8" w:space="0" w:color="E0E0E0"/>
            </w:tcBorders>
            <w:shd w:val="clear" w:color="auto" w:fill="F9F9FB"/>
          </w:tcPr>
          <w:p w14:paraId="0720C495" w14:textId="77777777" w:rsidR="009C3C86" w:rsidRPr="00A12B79" w:rsidRDefault="009C3C86" w:rsidP="00027769">
            <w:pPr>
              <w:rPr>
                <w:rFonts w:ascii="Arial" w:hAnsi="Arial" w:cs="Arial"/>
                <w:color w:val="010205"/>
              </w:rPr>
            </w:pPr>
            <w:r w:rsidRPr="00A12B79">
              <w:rPr>
                <w:rFonts w:ascii="Arial" w:hAnsi="Arial" w:cs="Arial"/>
                <w:color w:val="010205"/>
              </w:rPr>
              <w:t>-.058</w:t>
            </w:r>
          </w:p>
        </w:tc>
        <w:tc>
          <w:tcPr>
            <w:tcW w:w="1284" w:type="dxa"/>
            <w:tcBorders>
              <w:top w:val="single" w:sz="8" w:space="0" w:color="AEAEAE"/>
              <w:left w:val="single" w:sz="8" w:space="0" w:color="E0E0E0"/>
              <w:bottom w:val="single" w:sz="8" w:space="0" w:color="AEAEAE"/>
              <w:right w:val="nil"/>
            </w:tcBorders>
            <w:shd w:val="clear" w:color="auto" w:fill="F9F9FB"/>
          </w:tcPr>
          <w:p w14:paraId="0F224559" w14:textId="77777777" w:rsidR="009C3C86" w:rsidRPr="00A12B79" w:rsidRDefault="009C3C86" w:rsidP="00027769">
            <w:pPr>
              <w:rPr>
                <w:rFonts w:ascii="Arial" w:hAnsi="Arial" w:cs="Arial"/>
                <w:color w:val="010205"/>
              </w:rPr>
            </w:pPr>
            <w:r w:rsidRPr="00A12B79">
              <w:rPr>
                <w:rFonts w:ascii="Arial" w:hAnsi="Arial" w:cs="Arial"/>
                <w:color w:val="010205"/>
              </w:rPr>
              <w:t>3.945</w:t>
            </w:r>
          </w:p>
        </w:tc>
      </w:tr>
      <w:tr w:rsidR="009C3C86" w:rsidRPr="00A12B79" w14:paraId="67ECD46C" w14:textId="77777777" w:rsidTr="009C3C86">
        <w:trPr>
          <w:gridAfter w:val="1"/>
          <w:wAfter w:w="6" w:type="dxa"/>
          <w:cantSplit/>
          <w:trHeight w:val="341"/>
        </w:trPr>
        <w:tc>
          <w:tcPr>
            <w:tcW w:w="721" w:type="dxa"/>
            <w:vMerge/>
            <w:tcBorders>
              <w:top w:val="single" w:sz="8" w:space="0" w:color="152935"/>
              <w:left w:val="nil"/>
              <w:bottom w:val="single" w:sz="8" w:space="0" w:color="152935"/>
              <w:right w:val="nil"/>
            </w:tcBorders>
            <w:shd w:val="clear" w:color="auto" w:fill="E0E0E0"/>
          </w:tcPr>
          <w:p w14:paraId="7D1D8E5B" w14:textId="77777777" w:rsidR="009C3C86" w:rsidRPr="00A12B79" w:rsidRDefault="009C3C86" w:rsidP="00027769">
            <w:pPr>
              <w:rPr>
                <w:rFonts w:ascii="Arial" w:hAnsi="Arial" w:cs="Arial"/>
                <w:color w:val="010205"/>
              </w:rPr>
            </w:pPr>
          </w:p>
        </w:tc>
        <w:tc>
          <w:tcPr>
            <w:tcW w:w="2287" w:type="dxa"/>
            <w:tcBorders>
              <w:top w:val="single" w:sz="8" w:space="0" w:color="AEAEAE"/>
              <w:left w:val="nil"/>
              <w:bottom w:val="single" w:sz="8" w:space="0" w:color="AEAEAE"/>
              <w:right w:val="nil"/>
            </w:tcBorders>
            <w:shd w:val="clear" w:color="auto" w:fill="E0E0E0"/>
          </w:tcPr>
          <w:p w14:paraId="71EB37FC" w14:textId="77777777" w:rsidR="009C3C86" w:rsidRPr="00A12B79" w:rsidRDefault="009C3C86" w:rsidP="00027769">
            <w:pPr>
              <w:rPr>
                <w:rFonts w:ascii="Arial" w:hAnsi="Arial" w:cs="Arial"/>
                <w:color w:val="264A60"/>
              </w:rPr>
            </w:pPr>
            <w:r w:rsidRPr="00A12B79">
              <w:rPr>
                <w:rFonts w:ascii="Arial" w:hAnsi="Arial" w:cs="Arial"/>
                <w:color w:val="264A60"/>
              </w:rPr>
              <w:t>Anxiety</w:t>
            </w:r>
          </w:p>
        </w:tc>
        <w:tc>
          <w:tcPr>
            <w:tcW w:w="1003" w:type="dxa"/>
            <w:tcBorders>
              <w:top w:val="single" w:sz="8" w:space="0" w:color="AEAEAE"/>
              <w:left w:val="nil"/>
              <w:bottom w:val="single" w:sz="8" w:space="0" w:color="AEAEAE"/>
              <w:right w:val="single" w:sz="8" w:space="0" w:color="E0E0E0"/>
            </w:tcBorders>
            <w:shd w:val="clear" w:color="auto" w:fill="F9F9FB"/>
          </w:tcPr>
          <w:p w14:paraId="67CFB35C" w14:textId="77777777" w:rsidR="009C3C86" w:rsidRPr="00A12B79" w:rsidRDefault="009C3C86" w:rsidP="00027769">
            <w:pPr>
              <w:rPr>
                <w:rFonts w:ascii="Arial" w:hAnsi="Arial" w:cs="Arial"/>
                <w:color w:val="010205"/>
              </w:rPr>
            </w:pPr>
            <w:r w:rsidRPr="00A12B79">
              <w:rPr>
                <w:rFonts w:ascii="Arial" w:hAnsi="Arial" w:cs="Arial"/>
                <w:color w:val="010205"/>
              </w:rPr>
              <w:t>-5.668</w:t>
            </w:r>
          </w:p>
        </w:tc>
        <w:tc>
          <w:tcPr>
            <w:tcW w:w="1003" w:type="dxa"/>
            <w:tcBorders>
              <w:top w:val="single" w:sz="8" w:space="0" w:color="AEAEAE"/>
              <w:left w:val="single" w:sz="8" w:space="0" w:color="E0E0E0"/>
              <w:bottom w:val="single" w:sz="8" w:space="0" w:color="AEAEAE"/>
              <w:right w:val="single" w:sz="8" w:space="0" w:color="E0E0E0"/>
            </w:tcBorders>
            <w:shd w:val="clear" w:color="auto" w:fill="F9F9FB"/>
          </w:tcPr>
          <w:p w14:paraId="2620B128" w14:textId="77777777" w:rsidR="009C3C86" w:rsidRPr="00A12B79" w:rsidRDefault="009C3C86" w:rsidP="00027769">
            <w:pPr>
              <w:rPr>
                <w:rFonts w:ascii="Arial" w:hAnsi="Arial" w:cs="Arial"/>
                <w:color w:val="010205"/>
              </w:rPr>
            </w:pPr>
            <w:r w:rsidRPr="00A12B79">
              <w:rPr>
                <w:rFonts w:ascii="Arial" w:hAnsi="Arial" w:cs="Arial"/>
                <w:color w:val="010205"/>
              </w:rPr>
              <w:t>-.079</w:t>
            </w:r>
          </w:p>
        </w:tc>
        <w:tc>
          <w:tcPr>
            <w:tcW w:w="1003" w:type="dxa"/>
            <w:tcBorders>
              <w:top w:val="single" w:sz="8" w:space="0" w:color="AEAEAE"/>
              <w:left w:val="single" w:sz="8" w:space="0" w:color="E0E0E0"/>
              <w:bottom w:val="single" w:sz="8" w:space="0" w:color="AEAEAE"/>
              <w:right w:val="single" w:sz="8" w:space="0" w:color="E0E0E0"/>
            </w:tcBorders>
            <w:shd w:val="clear" w:color="auto" w:fill="F9F9FB"/>
          </w:tcPr>
          <w:p w14:paraId="4F39121D" w14:textId="77777777" w:rsidR="009C3C86" w:rsidRPr="00A12B79" w:rsidRDefault="009C3C86" w:rsidP="00027769">
            <w:pPr>
              <w:rPr>
                <w:rFonts w:ascii="Arial" w:hAnsi="Arial" w:cs="Arial"/>
                <w:color w:val="010205"/>
              </w:rPr>
            </w:pPr>
            <w:r w:rsidRPr="00A12B79">
              <w:rPr>
                <w:rFonts w:ascii="Arial" w:hAnsi="Arial" w:cs="Arial"/>
                <w:color w:val="010205"/>
              </w:rPr>
              <w:t>5.680</w:t>
            </w:r>
          </w:p>
        </w:tc>
        <w:tc>
          <w:tcPr>
            <w:tcW w:w="1284" w:type="dxa"/>
            <w:tcBorders>
              <w:top w:val="single" w:sz="8" w:space="0" w:color="AEAEAE"/>
              <w:left w:val="single" w:sz="8" w:space="0" w:color="E0E0E0"/>
              <w:bottom w:val="single" w:sz="8" w:space="0" w:color="AEAEAE"/>
              <w:right w:val="single" w:sz="8" w:space="0" w:color="E0E0E0"/>
            </w:tcBorders>
            <w:shd w:val="clear" w:color="auto" w:fill="F9F9FB"/>
          </w:tcPr>
          <w:p w14:paraId="5B78C06B" w14:textId="77777777" w:rsidR="009C3C86" w:rsidRPr="00A12B79" w:rsidRDefault="009C3C86" w:rsidP="00027769">
            <w:pPr>
              <w:rPr>
                <w:rFonts w:ascii="Arial" w:hAnsi="Arial" w:cs="Arial"/>
                <w:color w:val="010205"/>
              </w:rPr>
            </w:pPr>
            <w:r w:rsidRPr="00A12B79">
              <w:rPr>
                <w:rFonts w:ascii="Arial" w:hAnsi="Arial" w:cs="Arial"/>
                <w:color w:val="010205"/>
              </w:rPr>
              <w:t>.395</w:t>
            </w:r>
          </w:p>
        </w:tc>
        <w:tc>
          <w:tcPr>
            <w:tcW w:w="1284" w:type="dxa"/>
            <w:tcBorders>
              <w:top w:val="single" w:sz="8" w:space="0" w:color="AEAEAE"/>
              <w:left w:val="single" w:sz="8" w:space="0" w:color="E0E0E0"/>
              <w:bottom w:val="single" w:sz="8" w:space="0" w:color="AEAEAE"/>
              <w:right w:val="single" w:sz="8" w:space="0" w:color="E0E0E0"/>
            </w:tcBorders>
            <w:shd w:val="clear" w:color="auto" w:fill="F9F9FB"/>
          </w:tcPr>
          <w:p w14:paraId="427AB990" w14:textId="77777777" w:rsidR="009C3C86" w:rsidRPr="00A12B79" w:rsidRDefault="009C3C86" w:rsidP="00027769">
            <w:pPr>
              <w:rPr>
                <w:rFonts w:ascii="Arial" w:hAnsi="Arial" w:cs="Arial"/>
                <w:color w:val="010205"/>
              </w:rPr>
            </w:pPr>
            <w:r w:rsidRPr="00A12B79">
              <w:rPr>
                <w:rFonts w:ascii="Arial" w:hAnsi="Arial" w:cs="Arial"/>
                <w:color w:val="010205"/>
              </w:rPr>
              <w:t>-21.063</w:t>
            </w:r>
          </w:p>
        </w:tc>
        <w:tc>
          <w:tcPr>
            <w:tcW w:w="1284" w:type="dxa"/>
            <w:tcBorders>
              <w:top w:val="single" w:sz="8" w:space="0" w:color="AEAEAE"/>
              <w:left w:val="single" w:sz="8" w:space="0" w:color="E0E0E0"/>
              <w:bottom w:val="single" w:sz="8" w:space="0" w:color="AEAEAE"/>
              <w:right w:val="nil"/>
            </w:tcBorders>
            <w:shd w:val="clear" w:color="auto" w:fill="F9F9FB"/>
          </w:tcPr>
          <w:p w14:paraId="792DAA57" w14:textId="77777777" w:rsidR="009C3C86" w:rsidRPr="00A12B79" w:rsidRDefault="009C3C86" w:rsidP="00027769">
            <w:pPr>
              <w:rPr>
                <w:rFonts w:ascii="Arial" w:hAnsi="Arial" w:cs="Arial"/>
                <w:color w:val="010205"/>
              </w:rPr>
            </w:pPr>
            <w:r w:rsidRPr="00A12B79">
              <w:rPr>
                <w:rFonts w:ascii="Arial" w:hAnsi="Arial" w:cs="Arial"/>
                <w:color w:val="010205"/>
              </w:rPr>
              <w:t>1.455</w:t>
            </w:r>
          </w:p>
        </w:tc>
      </w:tr>
      <w:tr w:rsidR="009C3C86" w:rsidRPr="00A12B79" w14:paraId="065C6706" w14:textId="77777777" w:rsidTr="009C3C86">
        <w:trPr>
          <w:gridAfter w:val="1"/>
          <w:wAfter w:w="6" w:type="dxa"/>
          <w:cantSplit/>
          <w:trHeight w:val="341"/>
        </w:trPr>
        <w:tc>
          <w:tcPr>
            <w:tcW w:w="721" w:type="dxa"/>
            <w:vMerge/>
            <w:tcBorders>
              <w:top w:val="single" w:sz="8" w:space="0" w:color="152935"/>
              <w:left w:val="nil"/>
              <w:bottom w:val="single" w:sz="8" w:space="0" w:color="152935"/>
              <w:right w:val="nil"/>
            </w:tcBorders>
            <w:shd w:val="clear" w:color="auto" w:fill="E0E0E0"/>
          </w:tcPr>
          <w:p w14:paraId="039E2727" w14:textId="77777777" w:rsidR="009C3C86" w:rsidRPr="00A12B79" w:rsidRDefault="009C3C86" w:rsidP="00027769">
            <w:pPr>
              <w:rPr>
                <w:rFonts w:ascii="Arial" w:hAnsi="Arial" w:cs="Arial"/>
                <w:color w:val="010205"/>
              </w:rPr>
            </w:pPr>
          </w:p>
        </w:tc>
        <w:tc>
          <w:tcPr>
            <w:tcW w:w="2287" w:type="dxa"/>
            <w:tcBorders>
              <w:top w:val="single" w:sz="8" w:space="0" w:color="AEAEAE"/>
              <w:left w:val="nil"/>
              <w:bottom w:val="single" w:sz="8" w:space="0" w:color="AEAEAE"/>
              <w:right w:val="nil"/>
            </w:tcBorders>
            <w:shd w:val="clear" w:color="auto" w:fill="E0E0E0"/>
          </w:tcPr>
          <w:p w14:paraId="6550B691" w14:textId="77777777" w:rsidR="009C3C86" w:rsidRPr="00A12B79" w:rsidRDefault="009C3C86" w:rsidP="00027769">
            <w:pPr>
              <w:rPr>
                <w:rFonts w:ascii="Arial" w:hAnsi="Arial" w:cs="Arial"/>
                <w:color w:val="264A60"/>
              </w:rPr>
            </w:pPr>
            <w:r w:rsidRPr="00A12B79">
              <w:rPr>
                <w:rFonts w:ascii="Arial" w:hAnsi="Arial" w:cs="Arial"/>
                <w:color w:val="264A60"/>
              </w:rPr>
              <w:t>Depression</w:t>
            </w:r>
          </w:p>
        </w:tc>
        <w:tc>
          <w:tcPr>
            <w:tcW w:w="1003" w:type="dxa"/>
            <w:tcBorders>
              <w:top w:val="single" w:sz="8" w:space="0" w:color="AEAEAE"/>
              <w:left w:val="nil"/>
              <w:bottom w:val="single" w:sz="8" w:space="0" w:color="AEAEAE"/>
              <w:right w:val="single" w:sz="8" w:space="0" w:color="E0E0E0"/>
            </w:tcBorders>
            <w:shd w:val="clear" w:color="auto" w:fill="F9F9FB"/>
          </w:tcPr>
          <w:p w14:paraId="6478C9BE" w14:textId="77777777" w:rsidR="009C3C86" w:rsidRPr="00A12B79" w:rsidRDefault="009C3C86" w:rsidP="00027769">
            <w:pPr>
              <w:rPr>
                <w:rFonts w:ascii="Arial" w:hAnsi="Arial" w:cs="Arial"/>
                <w:color w:val="010205"/>
              </w:rPr>
            </w:pPr>
            <w:r w:rsidRPr="00A12B79">
              <w:rPr>
                <w:rFonts w:ascii="Arial" w:hAnsi="Arial" w:cs="Arial"/>
                <w:color w:val="010205"/>
              </w:rPr>
              <w:t>5.733</w:t>
            </w:r>
          </w:p>
        </w:tc>
        <w:tc>
          <w:tcPr>
            <w:tcW w:w="1003" w:type="dxa"/>
            <w:tcBorders>
              <w:top w:val="single" w:sz="8" w:space="0" w:color="AEAEAE"/>
              <w:left w:val="single" w:sz="8" w:space="0" w:color="E0E0E0"/>
              <w:bottom w:val="single" w:sz="8" w:space="0" w:color="AEAEAE"/>
              <w:right w:val="single" w:sz="8" w:space="0" w:color="E0E0E0"/>
            </w:tcBorders>
            <w:shd w:val="clear" w:color="auto" w:fill="F9F9FB"/>
          </w:tcPr>
          <w:p w14:paraId="08E05B8A" w14:textId="77777777" w:rsidR="009C3C86" w:rsidRPr="00A12B79" w:rsidRDefault="009C3C86" w:rsidP="00027769">
            <w:pPr>
              <w:rPr>
                <w:rFonts w:ascii="Arial" w:hAnsi="Arial" w:cs="Arial"/>
                <w:color w:val="010205"/>
              </w:rPr>
            </w:pPr>
            <w:r w:rsidRPr="00A12B79">
              <w:rPr>
                <w:rFonts w:ascii="Arial" w:hAnsi="Arial" w:cs="Arial"/>
                <w:color w:val="010205"/>
              </w:rPr>
              <w:t>.039</w:t>
            </w:r>
          </w:p>
        </w:tc>
        <w:tc>
          <w:tcPr>
            <w:tcW w:w="1003" w:type="dxa"/>
            <w:tcBorders>
              <w:top w:val="single" w:sz="8" w:space="0" w:color="AEAEAE"/>
              <w:left w:val="single" w:sz="8" w:space="0" w:color="E0E0E0"/>
              <w:bottom w:val="single" w:sz="8" w:space="0" w:color="AEAEAE"/>
              <w:right w:val="single" w:sz="8" w:space="0" w:color="E0E0E0"/>
            </w:tcBorders>
            <w:shd w:val="clear" w:color="auto" w:fill="F9F9FB"/>
          </w:tcPr>
          <w:p w14:paraId="2224649F" w14:textId="77777777" w:rsidR="009C3C86" w:rsidRPr="00A12B79" w:rsidRDefault="009C3C86" w:rsidP="00027769">
            <w:pPr>
              <w:rPr>
                <w:rFonts w:ascii="Arial" w:hAnsi="Arial" w:cs="Arial"/>
                <w:color w:val="010205"/>
              </w:rPr>
            </w:pPr>
            <w:r w:rsidRPr="00A12B79">
              <w:rPr>
                <w:rFonts w:ascii="Arial" w:hAnsi="Arial" w:cs="Arial"/>
                <w:color w:val="010205"/>
              </w:rPr>
              <w:t>3.892</w:t>
            </w:r>
          </w:p>
        </w:tc>
        <w:tc>
          <w:tcPr>
            <w:tcW w:w="1284" w:type="dxa"/>
            <w:tcBorders>
              <w:top w:val="single" w:sz="8" w:space="0" w:color="AEAEAE"/>
              <w:left w:val="single" w:sz="8" w:space="0" w:color="E0E0E0"/>
              <w:bottom w:val="single" w:sz="8" w:space="0" w:color="AEAEAE"/>
              <w:right w:val="single" w:sz="8" w:space="0" w:color="E0E0E0"/>
            </w:tcBorders>
            <w:shd w:val="clear" w:color="auto" w:fill="F9F9FB"/>
          </w:tcPr>
          <w:p w14:paraId="6934F709" w14:textId="77777777" w:rsidR="009C3C86" w:rsidRPr="00A12B79" w:rsidRDefault="009C3C86" w:rsidP="00027769">
            <w:pPr>
              <w:rPr>
                <w:rFonts w:ascii="Arial" w:hAnsi="Arial" w:cs="Arial"/>
                <w:color w:val="010205"/>
              </w:rPr>
            </w:pPr>
            <w:r w:rsidRPr="00A12B79">
              <w:rPr>
                <w:rFonts w:ascii="Arial" w:hAnsi="Arial" w:cs="Arial"/>
                <w:color w:val="010205"/>
              </w:rPr>
              <w:t>.204</w:t>
            </w:r>
          </w:p>
        </w:tc>
        <w:tc>
          <w:tcPr>
            <w:tcW w:w="1284" w:type="dxa"/>
            <w:tcBorders>
              <w:top w:val="single" w:sz="8" w:space="0" w:color="AEAEAE"/>
              <w:left w:val="single" w:sz="8" w:space="0" w:color="E0E0E0"/>
              <w:bottom w:val="single" w:sz="8" w:space="0" w:color="AEAEAE"/>
              <w:right w:val="single" w:sz="8" w:space="0" w:color="E0E0E0"/>
            </w:tcBorders>
            <w:shd w:val="clear" w:color="auto" w:fill="F9F9FB"/>
          </w:tcPr>
          <w:p w14:paraId="2FF5F4DA" w14:textId="77777777" w:rsidR="009C3C86" w:rsidRPr="00A12B79" w:rsidRDefault="009C3C86" w:rsidP="00027769">
            <w:pPr>
              <w:rPr>
                <w:rFonts w:ascii="Arial" w:hAnsi="Arial" w:cs="Arial"/>
                <w:color w:val="010205"/>
              </w:rPr>
            </w:pPr>
            <w:r w:rsidRPr="00A12B79">
              <w:rPr>
                <w:rFonts w:ascii="Arial" w:hAnsi="Arial" w:cs="Arial"/>
                <w:color w:val="010205"/>
              </w:rPr>
              <w:t>.241</w:t>
            </w:r>
          </w:p>
        </w:tc>
        <w:tc>
          <w:tcPr>
            <w:tcW w:w="1284" w:type="dxa"/>
            <w:tcBorders>
              <w:top w:val="single" w:sz="8" w:space="0" w:color="AEAEAE"/>
              <w:left w:val="single" w:sz="8" w:space="0" w:color="E0E0E0"/>
              <w:bottom w:val="single" w:sz="8" w:space="0" w:color="AEAEAE"/>
              <w:right w:val="nil"/>
            </w:tcBorders>
            <w:shd w:val="clear" w:color="auto" w:fill="F9F9FB"/>
          </w:tcPr>
          <w:p w14:paraId="09BF2E35" w14:textId="77777777" w:rsidR="009C3C86" w:rsidRPr="00A12B79" w:rsidRDefault="009C3C86" w:rsidP="00027769">
            <w:pPr>
              <w:rPr>
                <w:rFonts w:ascii="Arial" w:hAnsi="Arial" w:cs="Arial"/>
                <w:color w:val="010205"/>
              </w:rPr>
            </w:pPr>
            <w:r w:rsidRPr="00A12B79">
              <w:rPr>
                <w:rFonts w:ascii="Arial" w:hAnsi="Arial" w:cs="Arial"/>
                <w:color w:val="010205"/>
              </w:rPr>
              <w:t>13.485</w:t>
            </w:r>
          </w:p>
        </w:tc>
      </w:tr>
      <w:tr w:rsidR="009C3C86" w:rsidRPr="00A12B79" w14:paraId="269AAF9D" w14:textId="77777777" w:rsidTr="009C3C86">
        <w:trPr>
          <w:gridAfter w:val="1"/>
          <w:wAfter w:w="6" w:type="dxa"/>
          <w:cantSplit/>
          <w:trHeight w:val="662"/>
        </w:trPr>
        <w:tc>
          <w:tcPr>
            <w:tcW w:w="721" w:type="dxa"/>
            <w:vMerge/>
            <w:tcBorders>
              <w:top w:val="single" w:sz="8" w:space="0" w:color="152935"/>
              <w:left w:val="nil"/>
              <w:bottom w:val="single" w:sz="8" w:space="0" w:color="152935"/>
              <w:right w:val="nil"/>
            </w:tcBorders>
            <w:shd w:val="clear" w:color="auto" w:fill="E0E0E0"/>
          </w:tcPr>
          <w:p w14:paraId="21E8F466" w14:textId="77777777" w:rsidR="009C3C86" w:rsidRPr="00A12B79" w:rsidRDefault="009C3C86" w:rsidP="00027769">
            <w:pPr>
              <w:rPr>
                <w:rFonts w:ascii="Arial" w:hAnsi="Arial" w:cs="Arial"/>
                <w:color w:val="010205"/>
              </w:rPr>
            </w:pPr>
          </w:p>
        </w:tc>
        <w:tc>
          <w:tcPr>
            <w:tcW w:w="2287" w:type="dxa"/>
            <w:tcBorders>
              <w:top w:val="single" w:sz="8" w:space="0" w:color="AEAEAE"/>
              <w:left w:val="nil"/>
              <w:bottom w:val="single" w:sz="8" w:space="0" w:color="152935"/>
              <w:right w:val="nil"/>
            </w:tcBorders>
            <w:shd w:val="clear" w:color="auto" w:fill="E0E0E0"/>
          </w:tcPr>
          <w:p w14:paraId="00F4AEC5" w14:textId="77777777" w:rsidR="009C3C86" w:rsidRPr="00A12B79" w:rsidRDefault="009C3C86" w:rsidP="00027769">
            <w:pPr>
              <w:rPr>
                <w:rFonts w:ascii="Arial" w:hAnsi="Arial" w:cs="Arial"/>
                <w:color w:val="264A60"/>
              </w:rPr>
            </w:pPr>
            <w:r w:rsidRPr="00A12B79">
              <w:rPr>
                <w:rFonts w:ascii="Arial" w:hAnsi="Arial" w:cs="Arial"/>
                <w:color w:val="264A60"/>
              </w:rPr>
              <w:t>DiagnosisofepilepsyorDS</w:t>
            </w:r>
          </w:p>
        </w:tc>
        <w:tc>
          <w:tcPr>
            <w:tcW w:w="1003" w:type="dxa"/>
            <w:tcBorders>
              <w:top w:val="single" w:sz="8" w:space="0" w:color="AEAEAE"/>
              <w:left w:val="nil"/>
              <w:bottom w:val="single" w:sz="8" w:space="0" w:color="152935"/>
              <w:right w:val="single" w:sz="8" w:space="0" w:color="E0E0E0"/>
            </w:tcBorders>
            <w:shd w:val="clear" w:color="auto" w:fill="F9F9FB"/>
          </w:tcPr>
          <w:p w14:paraId="45E17A82" w14:textId="77777777" w:rsidR="009C3C86" w:rsidRPr="00A12B79" w:rsidRDefault="009C3C86" w:rsidP="00027769">
            <w:pPr>
              <w:rPr>
                <w:rFonts w:ascii="Arial" w:hAnsi="Arial" w:cs="Arial"/>
                <w:color w:val="010205"/>
              </w:rPr>
            </w:pPr>
            <w:r w:rsidRPr="00A12B79">
              <w:rPr>
                <w:rFonts w:ascii="Arial" w:hAnsi="Arial" w:cs="Arial"/>
                <w:color w:val="010205"/>
              </w:rPr>
              <w:t>32.012</w:t>
            </w:r>
          </w:p>
        </w:tc>
        <w:tc>
          <w:tcPr>
            <w:tcW w:w="1003" w:type="dxa"/>
            <w:tcBorders>
              <w:top w:val="single" w:sz="8" w:space="0" w:color="AEAEAE"/>
              <w:left w:val="single" w:sz="8" w:space="0" w:color="E0E0E0"/>
              <w:bottom w:val="single" w:sz="8" w:space="0" w:color="152935"/>
              <w:right w:val="single" w:sz="8" w:space="0" w:color="E0E0E0"/>
            </w:tcBorders>
            <w:shd w:val="clear" w:color="auto" w:fill="F9F9FB"/>
          </w:tcPr>
          <w:p w14:paraId="762596E1" w14:textId="77777777" w:rsidR="009C3C86" w:rsidRPr="00A12B79" w:rsidRDefault="009C3C86" w:rsidP="00027769">
            <w:pPr>
              <w:rPr>
                <w:rFonts w:ascii="Arial" w:hAnsi="Arial" w:cs="Arial"/>
                <w:color w:val="010205"/>
              </w:rPr>
            </w:pPr>
            <w:r w:rsidRPr="00A12B79">
              <w:rPr>
                <w:rFonts w:ascii="Arial" w:hAnsi="Arial" w:cs="Arial"/>
                <w:color w:val="010205"/>
              </w:rPr>
              <w:t>-1.183</w:t>
            </w:r>
          </w:p>
        </w:tc>
        <w:tc>
          <w:tcPr>
            <w:tcW w:w="1003" w:type="dxa"/>
            <w:tcBorders>
              <w:top w:val="single" w:sz="8" w:space="0" w:color="AEAEAE"/>
              <w:left w:val="single" w:sz="8" w:space="0" w:color="E0E0E0"/>
              <w:bottom w:val="single" w:sz="8" w:space="0" w:color="152935"/>
              <w:right w:val="single" w:sz="8" w:space="0" w:color="E0E0E0"/>
            </w:tcBorders>
            <w:shd w:val="clear" w:color="auto" w:fill="F9F9FB"/>
          </w:tcPr>
          <w:p w14:paraId="1B1A3040" w14:textId="77777777" w:rsidR="009C3C86" w:rsidRPr="00A12B79" w:rsidRDefault="009C3C86" w:rsidP="00027769">
            <w:pPr>
              <w:rPr>
                <w:rFonts w:ascii="Arial" w:hAnsi="Arial" w:cs="Arial"/>
                <w:color w:val="010205"/>
              </w:rPr>
            </w:pPr>
            <w:r w:rsidRPr="00A12B79">
              <w:rPr>
                <w:rFonts w:ascii="Arial" w:hAnsi="Arial" w:cs="Arial"/>
                <w:color w:val="010205"/>
              </w:rPr>
              <w:t>21.512</w:t>
            </w:r>
          </w:p>
        </w:tc>
        <w:tc>
          <w:tcPr>
            <w:tcW w:w="1284" w:type="dxa"/>
            <w:tcBorders>
              <w:top w:val="single" w:sz="8" w:space="0" w:color="AEAEAE"/>
              <w:left w:val="single" w:sz="8" w:space="0" w:color="E0E0E0"/>
              <w:bottom w:val="single" w:sz="8" w:space="0" w:color="152935"/>
              <w:right w:val="single" w:sz="8" w:space="0" w:color="E0E0E0"/>
            </w:tcBorders>
            <w:shd w:val="clear" w:color="auto" w:fill="F9F9FB"/>
          </w:tcPr>
          <w:p w14:paraId="56B9BA20" w14:textId="77777777" w:rsidR="009C3C86" w:rsidRPr="00A12B79" w:rsidRDefault="009C3C86" w:rsidP="00027769">
            <w:pPr>
              <w:rPr>
                <w:rFonts w:ascii="Arial" w:hAnsi="Arial" w:cs="Arial"/>
                <w:color w:val="010205"/>
              </w:rPr>
            </w:pPr>
            <w:r w:rsidRPr="00A12B79">
              <w:rPr>
                <w:rFonts w:ascii="Arial" w:hAnsi="Arial" w:cs="Arial"/>
                <w:color w:val="010205"/>
              </w:rPr>
              <w:t>.206</w:t>
            </w:r>
          </w:p>
        </w:tc>
        <w:tc>
          <w:tcPr>
            <w:tcW w:w="1284" w:type="dxa"/>
            <w:tcBorders>
              <w:top w:val="single" w:sz="8" w:space="0" w:color="AEAEAE"/>
              <w:left w:val="single" w:sz="8" w:space="0" w:color="E0E0E0"/>
              <w:bottom w:val="single" w:sz="8" w:space="0" w:color="152935"/>
              <w:right w:val="single" w:sz="8" w:space="0" w:color="E0E0E0"/>
            </w:tcBorders>
            <w:shd w:val="clear" w:color="auto" w:fill="F9F9FB"/>
          </w:tcPr>
          <w:p w14:paraId="2E264447" w14:textId="77777777" w:rsidR="009C3C86" w:rsidRPr="00A12B79" w:rsidRDefault="009C3C86" w:rsidP="00027769">
            <w:pPr>
              <w:rPr>
                <w:rFonts w:ascii="Arial" w:hAnsi="Arial" w:cs="Arial"/>
                <w:color w:val="010205"/>
              </w:rPr>
            </w:pPr>
            <w:r w:rsidRPr="00A12B79">
              <w:rPr>
                <w:rFonts w:ascii="Arial" w:hAnsi="Arial" w:cs="Arial"/>
                <w:color w:val="010205"/>
              </w:rPr>
              <w:t>1.727</w:t>
            </w:r>
          </w:p>
        </w:tc>
        <w:tc>
          <w:tcPr>
            <w:tcW w:w="1284" w:type="dxa"/>
            <w:tcBorders>
              <w:top w:val="single" w:sz="8" w:space="0" w:color="AEAEAE"/>
              <w:left w:val="single" w:sz="8" w:space="0" w:color="E0E0E0"/>
              <w:bottom w:val="single" w:sz="8" w:space="0" w:color="152935"/>
              <w:right w:val="nil"/>
            </w:tcBorders>
            <w:shd w:val="clear" w:color="auto" w:fill="F9F9FB"/>
          </w:tcPr>
          <w:p w14:paraId="0D162BCB" w14:textId="77777777" w:rsidR="009C3C86" w:rsidRPr="00A12B79" w:rsidRDefault="009C3C86" w:rsidP="00027769">
            <w:pPr>
              <w:rPr>
                <w:rFonts w:ascii="Arial" w:hAnsi="Arial" w:cs="Arial"/>
                <w:color w:val="010205"/>
              </w:rPr>
            </w:pPr>
            <w:r w:rsidRPr="00A12B79">
              <w:rPr>
                <w:rFonts w:ascii="Arial" w:hAnsi="Arial" w:cs="Arial"/>
                <w:color w:val="010205"/>
              </w:rPr>
              <w:t>67.549</w:t>
            </w:r>
          </w:p>
        </w:tc>
      </w:tr>
      <w:tr w:rsidR="009C3C86" w:rsidRPr="00A12B79" w14:paraId="6DA853F2" w14:textId="77777777" w:rsidTr="009C3C86">
        <w:trPr>
          <w:cantSplit/>
          <w:trHeight w:val="321"/>
        </w:trPr>
        <w:tc>
          <w:tcPr>
            <w:tcW w:w="9875" w:type="dxa"/>
            <w:gridSpan w:val="9"/>
            <w:tcBorders>
              <w:top w:val="nil"/>
              <w:left w:val="nil"/>
              <w:bottom w:val="nil"/>
              <w:right w:val="nil"/>
            </w:tcBorders>
            <w:shd w:val="clear" w:color="auto" w:fill="FFFFFF"/>
          </w:tcPr>
          <w:p w14:paraId="174FDB9A" w14:textId="77777777" w:rsidR="009C3C86" w:rsidRPr="00A12B79" w:rsidRDefault="009C3C86" w:rsidP="00027769">
            <w:pPr>
              <w:rPr>
                <w:rFonts w:ascii="Arial" w:hAnsi="Arial" w:cs="Arial"/>
                <w:color w:val="010205"/>
              </w:rPr>
            </w:pPr>
            <w:r w:rsidRPr="00A12B79">
              <w:rPr>
                <w:rFonts w:ascii="Arial" w:hAnsi="Arial" w:cs="Arial"/>
                <w:color w:val="010205"/>
              </w:rPr>
              <w:t>a. Unless otherwise noted, bootstrap results are based on 1000 bootstrap samples</w:t>
            </w:r>
          </w:p>
        </w:tc>
      </w:tr>
    </w:tbl>
    <w:p w14:paraId="6DA9632C" w14:textId="77777777" w:rsidR="009C3C86" w:rsidRPr="00A12B79" w:rsidRDefault="009C3C86" w:rsidP="00027769"/>
    <w:p w14:paraId="164E7D5B" w14:textId="77777777" w:rsidR="009C3C86" w:rsidRDefault="009C3C86" w:rsidP="00027769"/>
    <w:p w14:paraId="5C2BD4F6" w14:textId="77777777" w:rsidR="009C3C86" w:rsidRPr="00A12B79" w:rsidRDefault="009C3C86" w:rsidP="00027769"/>
    <w:tbl>
      <w:tblPr>
        <w:tblW w:w="6886" w:type="dxa"/>
        <w:tblLayout w:type="fixed"/>
        <w:tblCellMar>
          <w:left w:w="0" w:type="dxa"/>
          <w:right w:w="0" w:type="dxa"/>
        </w:tblCellMar>
        <w:tblLook w:val="0000" w:firstRow="0" w:lastRow="0" w:firstColumn="0" w:lastColumn="0" w:noHBand="0" w:noVBand="0"/>
      </w:tblPr>
      <w:tblGrid>
        <w:gridCol w:w="1415"/>
        <w:gridCol w:w="1353"/>
        <w:gridCol w:w="1490"/>
        <w:gridCol w:w="1506"/>
        <w:gridCol w:w="1122"/>
      </w:tblGrid>
      <w:tr w:rsidR="009C3C86" w:rsidRPr="00A12B79" w14:paraId="4777612B" w14:textId="77777777" w:rsidTr="009C3C86">
        <w:trPr>
          <w:cantSplit/>
        </w:trPr>
        <w:tc>
          <w:tcPr>
            <w:tcW w:w="6884" w:type="dxa"/>
            <w:gridSpan w:val="5"/>
            <w:tcBorders>
              <w:top w:val="nil"/>
              <w:left w:val="nil"/>
              <w:bottom w:val="nil"/>
              <w:right w:val="nil"/>
            </w:tcBorders>
            <w:shd w:val="clear" w:color="auto" w:fill="FFFFFF"/>
            <w:vAlign w:val="center"/>
          </w:tcPr>
          <w:p w14:paraId="1895D775" w14:textId="77777777" w:rsidR="009C3C86" w:rsidRPr="00A12B79" w:rsidRDefault="009C3C86" w:rsidP="00027769">
            <w:pPr>
              <w:rPr>
                <w:rFonts w:ascii="Arial" w:hAnsi="Arial" w:cs="Arial"/>
                <w:color w:val="010205"/>
                <w:sz w:val="28"/>
                <w:szCs w:val="28"/>
              </w:rPr>
            </w:pPr>
            <w:r w:rsidRPr="00A12B79">
              <w:rPr>
                <w:rFonts w:ascii="Arial" w:hAnsi="Arial" w:cs="Arial"/>
                <w:b/>
                <w:bCs/>
                <w:color w:val="010205"/>
                <w:sz w:val="28"/>
                <w:szCs w:val="28"/>
              </w:rPr>
              <w:t>Casewise Diagnostics</w:t>
            </w:r>
            <w:r w:rsidRPr="00A12B79">
              <w:rPr>
                <w:rFonts w:ascii="Arial" w:hAnsi="Arial" w:cs="Arial"/>
                <w:b/>
                <w:bCs/>
                <w:color w:val="010205"/>
                <w:sz w:val="28"/>
                <w:szCs w:val="28"/>
                <w:vertAlign w:val="superscript"/>
              </w:rPr>
              <w:t>a</w:t>
            </w:r>
          </w:p>
        </w:tc>
      </w:tr>
      <w:tr w:rsidR="009C3C86" w:rsidRPr="00A12B79" w14:paraId="34938BC4" w14:textId="77777777" w:rsidTr="009C3C86">
        <w:trPr>
          <w:cantSplit/>
        </w:trPr>
        <w:tc>
          <w:tcPr>
            <w:tcW w:w="1414" w:type="dxa"/>
            <w:tcBorders>
              <w:top w:val="nil"/>
              <w:left w:val="nil"/>
              <w:bottom w:val="single" w:sz="8" w:space="0" w:color="152935"/>
              <w:right w:val="nil"/>
            </w:tcBorders>
            <w:shd w:val="clear" w:color="auto" w:fill="FFFFFF"/>
            <w:vAlign w:val="bottom"/>
          </w:tcPr>
          <w:p w14:paraId="49D79B44" w14:textId="77777777" w:rsidR="009C3C86" w:rsidRPr="00A12B79" w:rsidRDefault="009C3C86" w:rsidP="00027769">
            <w:pPr>
              <w:rPr>
                <w:rFonts w:ascii="Arial" w:hAnsi="Arial" w:cs="Arial"/>
                <w:color w:val="264A60"/>
              </w:rPr>
            </w:pPr>
            <w:r w:rsidRPr="00A12B79">
              <w:rPr>
                <w:rFonts w:ascii="Arial" w:hAnsi="Arial" w:cs="Arial"/>
                <w:color w:val="264A60"/>
              </w:rPr>
              <w:t>Case Number</w:t>
            </w:r>
          </w:p>
        </w:tc>
        <w:tc>
          <w:tcPr>
            <w:tcW w:w="1352" w:type="dxa"/>
            <w:tcBorders>
              <w:top w:val="nil"/>
              <w:left w:val="nil"/>
              <w:bottom w:val="single" w:sz="8" w:space="0" w:color="152935"/>
              <w:right w:val="single" w:sz="8" w:space="0" w:color="E0E0E0"/>
            </w:tcBorders>
            <w:shd w:val="clear" w:color="auto" w:fill="FFFFFF"/>
            <w:vAlign w:val="bottom"/>
          </w:tcPr>
          <w:p w14:paraId="6F6C6813" w14:textId="77777777" w:rsidR="009C3C86" w:rsidRPr="00A12B79" w:rsidRDefault="009C3C86" w:rsidP="00027769">
            <w:pPr>
              <w:rPr>
                <w:rFonts w:ascii="Arial" w:hAnsi="Arial" w:cs="Arial"/>
                <w:color w:val="264A60"/>
              </w:rPr>
            </w:pPr>
            <w:r w:rsidRPr="00A12B79">
              <w:rPr>
                <w:rFonts w:ascii="Arial" w:hAnsi="Arial" w:cs="Arial"/>
                <w:color w:val="264A60"/>
              </w:rPr>
              <w:t>Std. Residual</w:t>
            </w:r>
          </w:p>
        </w:tc>
        <w:tc>
          <w:tcPr>
            <w:tcW w:w="1490" w:type="dxa"/>
            <w:tcBorders>
              <w:top w:val="nil"/>
              <w:left w:val="single" w:sz="8" w:space="0" w:color="E0E0E0"/>
              <w:bottom w:val="single" w:sz="8" w:space="0" w:color="152935"/>
              <w:right w:val="single" w:sz="8" w:space="0" w:color="E0E0E0"/>
            </w:tcBorders>
            <w:shd w:val="clear" w:color="auto" w:fill="FFFFFF"/>
            <w:vAlign w:val="bottom"/>
          </w:tcPr>
          <w:p w14:paraId="2CE1A215" w14:textId="77777777" w:rsidR="009C3C86" w:rsidRPr="00A12B79" w:rsidRDefault="009C3C86" w:rsidP="00027769">
            <w:pPr>
              <w:rPr>
                <w:rFonts w:ascii="Arial" w:hAnsi="Arial" w:cs="Arial"/>
                <w:color w:val="264A60"/>
              </w:rPr>
            </w:pPr>
            <w:r w:rsidRPr="00A12B79">
              <w:rPr>
                <w:rFonts w:ascii="Arial" w:hAnsi="Arial" w:cs="Arial"/>
                <w:color w:val="264A60"/>
              </w:rPr>
              <w:t>seizurenumber</w:t>
            </w:r>
          </w:p>
        </w:tc>
        <w:tc>
          <w:tcPr>
            <w:tcW w:w="1506" w:type="dxa"/>
            <w:tcBorders>
              <w:top w:val="nil"/>
              <w:left w:val="single" w:sz="8" w:space="0" w:color="E0E0E0"/>
              <w:bottom w:val="single" w:sz="8" w:space="0" w:color="152935"/>
              <w:right w:val="single" w:sz="8" w:space="0" w:color="E0E0E0"/>
            </w:tcBorders>
            <w:shd w:val="clear" w:color="auto" w:fill="FFFFFF"/>
            <w:vAlign w:val="bottom"/>
          </w:tcPr>
          <w:p w14:paraId="6713B8CC" w14:textId="77777777" w:rsidR="009C3C86" w:rsidRPr="00A12B79" w:rsidRDefault="009C3C86" w:rsidP="00027769">
            <w:pPr>
              <w:rPr>
                <w:rFonts w:ascii="Arial" w:hAnsi="Arial" w:cs="Arial"/>
                <w:color w:val="264A60"/>
              </w:rPr>
            </w:pPr>
            <w:r w:rsidRPr="00A12B79">
              <w:rPr>
                <w:rFonts w:ascii="Arial" w:hAnsi="Arial" w:cs="Arial"/>
                <w:color w:val="264A60"/>
              </w:rPr>
              <w:t>Predicted Value</w:t>
            </w:r>
          </w:p>
        </w:tc>
        <w:tc>
          <w:tcPr>
            <w:tcW w:w="1122" w:type="dxa"/>
            <w:tcBorders>
              <w:top w:val="nil"/>
              <w:left w:val="single" w:sz="8" w:space="0" w:color="E0E0E0"/>
              <w:bottom w:val="single" w:sz="8" w:space="0" w:color="152935"/>
              <w:right w:val="nil"/>
            </w:tcBorders>
            <w:shd w:val="clear" w:color="auto" w:fill="FFFFFF"/>
            <w:vAlign w:val="bottom"/>
          </w:tcPr>
          <w:p w14:paraId="7AA55AA6" w14:textId="77777777" w:rsidR="009C3C86" w:rsidRPr="00A12B79" w:rsidRDefault="009C3C86" w:rsidP="00027769">
            <w:pPr>
              <w:rPr>
                <w:rFonts w:ascii="Arial" w:hAnsi="Arial" w:cs="Arial"/>
                <w:color w:val="264A60"/>
              </w:rPr>
            </w:pPr>
            <w:r w:rsidRPr="00A12B79">
              <w:rPr>
                <w:rFonts w:ascii="Arial" w:hAnsi="Arial" w:cs="Arial"/>
                <w:color w:val="264A60"/>
              </w:rPr>
              <w:t>Residual</w:t>
            </w:r>
          </w:p>
        </w:tc>
      </w:tr>
      <w:tr w:rsidR="009C3C86" w:rsidRPr="00A12B79" w14:paraId="6DEAABF2" w14:textId="77777777" w:rsidTr="009C3C86">
        <w:trPr>
          <w:cantSplit/>
        </w:trPr>
        <w:tc>
          <w:tcPr>
            <w:tcW w:w="1414" w:type="dxa"/>
            <w:tcBorders>
              <w:top w:val="single" w:sz="8" w:space="0" w:color="152935"/>
              <w:left w:val="nil"/>
              <w:bottom w:val="single" w:sz="8" w:space="0" w:color="AEAEAE"/>
              <w:right w:val="nil"/>
            </w:tcBorders>
            <w:shd w:val="clear" w:color="auto" w:fill="E0E0E0"/>
          </w:tcPr>
          <w:p w14:paraId="1B65A29D" w14:textId="77777777" w:rsidR="009C3C86" w:rsidRPr="00A12B79" w:rsidRDefault="009C3C86" w:rsidP="00027769">
            <w:pPr>
              <w:rPr>
                <w:rFonts w:ascii="Arial" w:hAnsi="Arial" w:cs="Arial"/>
                <w:color w:val="264A60"/>
              </w:rPr>
            </w:pPr>
            <w:r w:rsidRPr="00A12B79">
              <w:rPr>
                <w:rFonts w:ascii="Arial" w:hAnsi="Arial" w:cs="Arial"/>
                <w:color w:val="264A60"/>
              </w:rPr>
              <w:t>17</w:t>
            </w:r>
          </w:p>
        </w:tc>
        <w:tc>
          <w:tcPr>
            <w:tcW w:w="1352" w:type="dxa"/>
            <w:tcBorders>
              <w:top w:val="single" w:sz="8" w:space="0" w:color="152935"/>
              <w:left w:val="nil"/>
              <w:bottom w:val="single" w:sz="8" w:space="0" w:color="AEAEAE"/>
              <w:right w:val="single" w:sz="8" w:space="0" w:color="E0E0E0"/>
            </w:tcBorders>
            <w:shd w:val="clear" w:color="auto" w:fill="F9F9FB"/>
          </w:tcPr>
          <w:p w14:paraId="251C34A8" w14:textId="77777777" w:rsidR="009C3C86" w:rsidRPr="00A12B79" w:rsidRDefault="009C3C86" w:rsidP="00027769">
            <w:pPr>
              <w:rPr>
                <w:rFonts w:ascii="Arial" w:hAnsi="Arial" w:cs="Arial"/>
                <w:color w:val="010205"/>
              </w:rPr>
            </w:pPr>
            <w:r w:rsidRPr="00A12B79">
              <w:rPr>
                <w:rFonts w:ascii="Arial" w:hAnsi="Arial" w:cs="Arial"/>
                <w:color w:val="010205"/>
              </w:rPr>
              <w:t>5.370</w:t>
            </w:r>
          </w:p>
        </w:tc>
        <w:tc>
          <w:tcPr>
            <w:tcW w:w="1490" w:type="dxa"/>
            <w:tcBorders>
              <w:top w:val="single" w:sz="8" w:space="0" w:color="152935"/>
              <w:left w:val="single" w:sz="8" w:space="0" w:color="E0E0E0"/>
              <w:bottom w:val="single" w:sz="8" w:space="0" w:color="AEAEAE"/>
              <w:right w:val="single" w:sz="8" w:space="0" w:color="E0E0E0"/>
            </w:tcBorders>
            <w:shd w:val="clear" w:color="auto" w:fill="F9F9FB"/>
          </w:tcPr>
          <w:p w14:paraId="461CDFC8" w14:textId="77777777" w:rsidR="009C3C86" w:rsidRPr="00A12B79" w:rsidRDefault="009C3C86" w:rsidP="00027769">
            <w:pPr>
              <w:rPr>
                <w:rFonts w:ascii="Arial" w:hAnsi="Arial" w:cs="Arial"/>
                <w:color w:val="010205"/>
              </w:rPr>
            </w:pPr>
            <w:r w:rsidRPr="00A12B79">
              <w:rPr>
                <w:rFonts w:ascii="Arial" w:hAnsi="Arial" w:cs="Arial"/>
                <w:color w:val="010205"/>
              </w:rPr>
              <w:t>840.00</w:t>
            </w:r>
          </w:p>
        </w:tc>
        <w:tc>
          <w:tcPr>
            <w:tcW w:w="1506" w:type="dxa"/>
            <w:tcBorders>
              <w:top w:val="single" w:sz="8" w:space="0" w:color="152935"/>
              <w:left w:val="single" w:sz="8" w:space="0" w:color="E0E0E0"/>
              <w:bottom w:val="single" w:sz="8" w:space="0" w:color="AEAEAE"/>
              <w:right w:val="single" w:sz="8" w:space="0" w:color="E0E0E0"/>
            </w:tcBorders>
            <w:shd w:val="clear" w:color="auto" w:fill="F9F9FB"/>
          </w:tcPr>
          <w:p w14:paraId="5CC1D1D3" w14:textId="77777777" w:rsidR="009C3C86" w:rsidRPr="00A12B79" w:rsidRDefault="009C3C86" w:rsidP="00027769">
            <w:pPr>
              <w:rPr>
                <w:rFonts w:ascii="Arial" w:hAnsi="Arial" w:cs="Arial"/>
                <w:color w:val="010205"/>
              </w:rPr>
            </w:pPr>
            <w:r w:rsidRPr="00A12B79">
              <w:rPr>
                <w:rFonts w:ascii="Arial" w:hAnsi="Arial" w:cs="Arial"/>
                <w:color w:val="010205"/>
              </w:rPr>
              <w:t>106.8412</w:t>
            </w:r>
          </w:p>
        </w:tc>
        <w:tc>
          <w:tcPr>
            <w:tcW w:w="1122" w:type="dxa"/>
            <w:tcBorders>
              <w:top w:val="single" w:sz="8" w:space="0" w:color="152935"/>
              <w:left w:val="single" w:sz="8" w:space="0" w:color="E0E0E0"/>
              <w:bottom w:val="single" w:sz="8" w:space="0" w:color="AEAEAE"/>
              <w:right w:val="nil"/>
            </w:tcBorders>
            <w:shd w:val="clear" w:color="auto" w:fill="F9F9FB"/>
          </w:tcPr>
          <w:p w14:paraId="129B6126" w14:textId="77777777" w:rsidR="009C3C86" w:rsidRPr="00A12B79" w:rsidRDefault="009C3C86" w:rsidP="00027769">
            <w:pPr>
              <w:rPr>
                <w:rFonts w:ascii="Arial" w:hAnsi="Arial" w:cs="Arial"/>
                <w:color w:val="010205"/>
              </w:rPr>
            </w:pPr>
            <w:r w:rsidRPr="00A12B79">
              <w:rPr>
                <w:rFonts w:ascii="Arial" w:hAnsi="Arial" w:cs="Arial"/>
                <w:color w:val="010205"/>
              </w:rPr>
              <w:t>733.15882</w:t>
            </w:r>
          </w:p>
        </w:tc>
      </w:tr>
      <w:tr w:rsidR="009C3C86" w:rsidRPr="00A12B79" w14:paraId="47150C92" w14:textId="77777777" w:rsidTr="009C3C86">
        <w:trPr>
          <w:cantSplit/>
        </w:trPr>
        <w:tc>
          <w:tcPr>
            <w:tcW w:w="1414" w:type="dxa"/>
            <w:tcBorders>
              <w:top w:val="single" w:sz="8" w:space="0" w:color="AEAEAE"/>
              <w:left w:val="nil"/>
              <w:bottom w:val="single" w:sz="8" w:space="0" w:color="152935"/>
              <w:right w:val="nil"/>
            </w:tcBorders>
            <w:shd w:val="clear" w:color="auto" w:fill="E0E0E0"/>
          </w:tcPr>
          <w:p w14:paraId="5ED34525" w14:textId="77777777" w:rsidR="009C3C86" w:rsidRPr="00A12B79" w:rsidRDefault="009C3C86" w:rsidP="00027769">
            <w:pPr>
              <w:rPr>
                <w:rFonts w:ascii="Arial" w:hAnsi="Arial" w:cs="Arial"/>
                <w:color w:val="264A60"/>
              </w:rPr>
            </w:pPr>
            <w:r w:rsidRPr="00A12B79">
              <w:rPr>
                <w:rFonts w:ascii="Arial" w:hAnsi="Arial" w:cs="Arial"/>
                <w:color w:val="264A60"/>
              </w:rPr>
              <w:t>20</w:t>
            </w:r>
          </w:p>
        </w:tc>
        <w:tc>
          <w:tcPr>
            <w:tcW w:w="1352" w:type="dxa"/>
            <w:tcBorders>
              <w:top w:val="single" w:sz="8" w:space="0" w:color="AEAEAE"/>
              <w:left w:val="nil"/>
              <w:bottom w:val="single" w:sz="8" w:space="0" w:color="152935"/>
              <w:right w:val="single" w:sz="8" w:space="0" w:color="E0E0E0"/>
            </w:tcBorders>
            <w:shd w:val="clear" w:color="auto" w:fill="F9F9FB"/>
          </w:tcPr>
          <w:p w14:paraId="6A107B60" w14:textId="77777777" w:rsidR="009C3C86" w:rsidRPr="00A12B79" w:rsidRDefault="009C3C86" w:rsidP="00027769">
            <w:pPr>
              <w:rPr>
                <w:rFonts w:ascii="Arial" w:hAnsi="Arial" w:cs="Arial"/>
                <w:color w:val="010205"/>
              </w:rPr>
            </w:pPr>
            <w:r w:rsidRPr="00A12B79">
              <w:rPr>
                <w:rFonts w:ascii="Arial" w:hAnsi="Arial" w:cs="Arial"/>
                <w:color w:val="010205"/>
              </w:rPr>
              <w:t>6.358</w:t>
            </w:r>
          </w:p>
        </w:tc>
        <w:tc>
          <w:tcPr>
            <w:tcW w:w="1490" w:type="dxa"/>
            <w:tcBorders>
              <w:top w:val="single" w:sz="8" w:space="0" w:color="AEAEAE"/>
              <w:left w:val="single" w:sz="8" w:space="0" w:color="E0E0E0"/>
              <w:bottom w:val="single" w:sz="8" w:space="0" w:color="152935"/>
              <w:right w:val="single" w:sz="8" w:space="0" w:color="E0E0E0"/>
            </w:tcBorders>
            <w:shd w:val="clear" w:color="auto" w:fill="F9F9FB"/>
          </w:tcPr>
          <w:p w14:paraId="1559F109" w14:textId="77777777" w:rsidR="009C3C86" w:rsidRPr="00A12B79" w:rsidRDefault="009C3C86" w:rsidP="00027769">
            <w:pPr>
              <w:rPr>
                <w:rFonts w:ascii="Arial" w:hAnsi="Arial" w:cs="Arial"/>
                <w:color w:val="010205"/>
              </w:rPr>
            </w:pPr>
            <w:r w:rsidRPr="00A12B79">
              <w:rPr>
                <w:rFonts w:ascii="Arial" w:hAnsi="Arial" w:cs="Arial"/>
                <w:color w:val="010205"/>
              </w:rPr>
              <w:t>1000.00</w:t>
            </w:r>
          </w:p>
        </w:tc>
        <w:tc>
          <w:tcPr>
            <w:tcW w:w="1506" w:type="dxa"/>
            <w:tcBorders>
              <w:top w:val="single" w:sz="8" w:space="0" w:color="AEAEAE"/>
              <w:left w:val="single" w:sz="8" w:space="0" w:color="E0E0E0"/>
              <w:bottom w:val="single" w:sz="8" w:space="0" w:color="152935"/>
              <w:right w:val="single" w:sz="8" w:space="0" w:color="E0E0E0"/>
            </w:tcBorders>
            <w:shd w:val="clear" w:color="auto" w:fill="F9F9FB"/>
          </w:tcPr>
          <w:p w14:paraId="3680B3F9" w14:textId="77777777" w:rsidR="009C3C86" w:rsidRPr="00A12B79" w:rsidRDefault="009C3C86" w:rsidP="00027769">
            <w:pPr>
              <w:rPr>
                <w:rFonts w:ascii="Arial" w:hAnsi="Arial" w:cs="Arial"/>
                <w:color w:val="010205"/>
              </w:rPr>
            </w:pPr>
            <w:r w:rsidRPr="00A12B79">
              <w:rPr>
                <w:rFonts w:ascii="Arial" w:hAnsi="Arial" w:cs="Arial"/>
                <w:color w:val="010205"/>
              </w:rPr>
              <w:t>131.8466</w:t>
            </w:r>
          </w:p>
        </w:tc>
        <w:tc>
          <w:tcPr>
            <w:tcW w:w="1122" w:type="dxa"/>
            <w:tcBorders>
              <w:top w:val="single" w:sz="8" w:space="0" w:color="AEAEAE"/>
              <w:left w:val="single" w:sz="8" w:space="0" w:color="E0E0E0"/>
              <w:bottom w:val="single" w:sz="8" w:space="0" w:color="152935"/>
              <w:right w:val="nil"/>
            </w:tcBorders>
            <w:shd w:val="clear" w:color="auto" w:fill="F9F9FB"/>
          </w:tcPr>
          <w:p w14:paraId="028518CC" w14:textId="77777777" w:rsidR="009C3C86" w:rsidRPr="00A12B79" w:rsidRDefault="009C3C86" w:rsidP="00027769">
            <w:pPr>
              <w:rPr>
                <w:rFonts w:ascii="Arial" w:hAnsi="Arial" w:cs="Arial"/>
                <w:color w:val="010205"/>
              </w:rPr>
            </w:pPr>
            <w:r w:rsidRPr="00A12B79">
              <w:rPr>
                <w:rFonts w:ascii="Arial" w:hAnsi="Arial" w:cs="Arial"/>
                <w:color w:val="010205"/>
              </w:rPr>
              <w:t>868.15341</w:t>
            </w:r>
          </w:p>
        </w:tc>
      </w:tr>
      <w:tr w:rsidR="009C3C86" w:rsidRPr="00A12B79" w14:paraId="6C7436C8" w14:textId="77777777" w:rsidTr="009C3C86">
        <w:trPr>
          <w:cantSplit/>
        </w:trPr>
        <w:tc>
          <w:tcPr>
            <w:tcW w:w="6884" w:type="dxa"/>
            <w:gridSpan w:val="5"/>
            <w:tcBorders>
              <w:top w:val="nil"/>
              <w:left w:val="nil"/>
              <w:bottom w:val="nil"/>
              <w:right w:val="nil"/>
            </w:tcBorders>
            <w:shd w:val="clear" w:color="auto" w:fill="FFFFFF"/>
          </w:tcPr>
          <w:p w14:paraId="0D901B4E" w14:textId="77777777" w:rsidR="009C3C86" w:rsidRPr="00A12B79" w:rsidRDefault="009C3C86" w:rsidP="00027769">
            <w:pPr>
              <w:rPr>
                <w:rFonts w:ascii="Arial" w:hAnsi="Arial" w:cs="Arial"/>
                <w:color w:val="010205"/>
              </w:rPr>
            </w:pPr>
            <w:r w:rsidRPr="00A12B79">
              <w:rPr>
                <w:rFonts w:ascii="Arial" w:hAnsi="Arial" w:cs="Arial"/>
                <w:color w:val="010205"/>
              </w:rPr>
              <w:t>a. Dependent Variable: seizurenumber</w:t>
            </w:r>
          </w:p>
        </w:tc>
      </w:tr>
    </w:tbl>
    <w:p w14:paraId="41668061" w14:textId="77777777" w:rsidR="009C3C86" w:rsidRPr="00A12B79" w:rsidRDefault="009C3C86" w:rsidP="00027769"/>
    <w:p w14:paraId="1457EE78" w14:textId="77777777" w:rsidR="009C3C86" w:rsidRPr="00A12B79" w:rsidRDefault="009C3C86" w:rsidP="00027769"/>
    <w:tbl>
      <w:tblPr>
        <w:tblW w:w="9254" w:type="dxa"/>
        <w:tblLayout w:type="fixed"/>
        <w:tblCellMar>
          <w:left w:w="0" w:type="dxa"/>
          <w:right w:w="0" w:type="dxa"/>
        </w:tblCellMar>
        <w:tblLook w:val="0000" w:firstRow="0" w:lastRow="0" w:firstColumn="0" w:lastColumn="0" w:noHBand="0" w:noVBand="0"/>
      </w:tblPr>
      <w:tblGrid>
        <w:gridCol w:w="1907"/>
        <w:gridCol w:w="1369"/>
        <w:gridCol w:w="1183"/>
        <w:gridCol w:w="1076"/>
        <w:gridCol w:w="1045"/>
        <w:gridCol w:w="1337"/>
        <w:gridCol w:w="1337"/>
      </w:tblGrid>
      <w:tr w:rsidR="009C3C86" w:rsidRPr="00A12B79" w14:paraId="7B367AF4" w14:textId="77777777" w:rsidTr="009C3C86">
        <w:trPr>
          <w:cantSplit/>
        </w:trPr>
        <w:tc>
          <w:tcPr>
            <w:tcW w:w="9252" w:type="dxa"/>
            <w:gridSpan w:val="7"/>
            <w:tcBorders>
              <w:top w:val="nil"/>
              <w:left w:val="nil"/>
              <w:bottom w:val="nil"/>
              <w:right w:val="nil"/>
            </w:tcBorders>
            <w:shd w:val="clear" w:color="auto" w:fill="FFFFFF"/>
            <w:vAlign w:val="center"/>
          </w:tcPr>
          <w:p w14:paraId="0C643449" w14:textId="77777777" w:rsidR="009C3C86" w:rsidRPr="00A12B79" w:rsidRDefault="009C3C86" w:rsidP="00027769">
            <w:pPr>
              <w:rPr>
                <w:rFonts w:ascii="Arial" w:hAnsi="Arial" w:cs="Arial"/>
                <w:color w:val="010205"/>
                <w:sz w:val="28"/>
                <w:szCs w:val="28"/>
              </w:rPr>
            </w:pPr>
            <w:r w:rsidRPr="00A12B79">
              <w:rPr>
                <w:rFonts w:ascii="Arial" w:hAnsi="Arial" w:cs="Arial"/>
                <w:b/>
                <w:bCs/>
                <w:color w:val="010205"/>
                <w:sz w:val="28"/>
                <w:szCs w:val="28"/>
              </w:rPr>
              <w:t>Residuals Statistics</w:t>
            </w:r>
            <w:r w:rsidRPr="00A12B79">
              <w:rPr>
                <w:rFonts w:ascii="Arial" w:hAnsi="Arial" w:cs="Arial"/>
                <w:b/>
                <w:bCs/>
                <w:color w:val="010205"/>
                <w:sz w:val="28"/>
                <w:szCs w:val="28"/>
                <w:vertAlign w:val="superscript"/>
              </w:rPr>
              <w:t>a</w:t>
            </w:r>
          </w:p>
        </w:tc>
      </w:tr>
      <w:tr w:rsidR="009C3C86" w:rsidRPr="00A12B79" w14:paraId="0EA16C8D" w14:textId="77777777" w:rsidTr="009C3C86">
        <w:trPr>
          <w:cantSplit/>
        </w:trPr>
        <w:tc>
          <w:tcPr>
            <w:tcW w:w="3274" w:type="dxa"/>
            <w:gridSpan w:val="2"/>
            <w:vMerge w:val="restart"/>
            <w:tcBorders>
              <w:top w:val="nil"/>
              <w:left w:val="nil"/>
              <w:bottom w:val="nil"/>
              <w:right w:val="nil"/>
            </w:tcBorders>
            <w:shd w:val="clear" w:color="auto" w:fill="FFFFFF"/>
            <w:vAlign w:val="bottom"/>
          </w:tcPr>
          <w:p w14:paraId="7417E9CF" w14:textId="77777777" w:rsidR="009C3C86" w:rsidRPr="00A12B79" w:rsidRDefault="009C3C86" w:rsidP="00027769"/>
        </w:tc>
        <w:tc>
          <w:tcPr>
            <w:tcW w:w="1183" w:type="dxa"/>
            <w:vMerge w:val="restart"/>
            <w:tcBorders>
              <w:top w:val="nil"/>
              <w:left w:val="nil"/>
              <w:bottom w:val="nil"/>
              <w:right w:val="single" w:sz="8" w:space="0" w:color="E0E0E0"/>
            </w:tcBorders>
            <w:shd w:val="clear" w:color="auto" w:fill="FFFFFF"/>
            <w:vAlign w:val="bottom"/>
          </w:tcPr>
          <w:p w14:paraId="54719E1D" w14:textId="77777777" w:rsidR="009C3C86" w:rsidRPr="00A12B79" w:rsidRDefault="009C3C86" w:rsidP="00027769">
            <w:pPr>
              <w:rPr>
                <w:rFonts w:ascii="Arial" w:hAnsi="Arial" w:cs="Arial"/>
                <w:color w:val="264A60"/>
              </w:rPr>
            </w:pPr>
            <w:r w:rsidRPr="00A12B79">
              <w:rPr>
                <w:rFonts w:ascii="Arial" w:hAnsi="Arial" w:cs="Arial"/>
                <w:color w:val="264A60"/>
              </w:rPr>
              <w:t>Statistic</w:t>
            </w:r>
          </w:p>
        </w:tc>
        <w:tc>
          <w:tcPr>
            <w:tcW w:w="4795" w:type="dxa"/>
            <w:gridSpan w:val="4"/>
            <w:tcBorders>
              <w:top w:val="nil"/>
              <w:left w:val="single" w:sz="8" w:space="0" w:color="E0E0E0"/>
              <w:bottom w:val="nil"/>
              <w:right w:val="nil"/>
            </w:tcBorders>
            <w:shd w:val="clear" w:color="auto" w:fill="FFFFFF"/>
            <w:vAlign w:val="bottom"/>
          </w:tcPr>
          <w:p w14:paraId="25CB9860" w14:textId="77777777" w:rsidR="009C3C86" w:rsidRPr="00A12B79" w:rsidRDefault="009C3C86" w:rsidP="00027769">
            <w:pPr>
              <w:rPr>
                <w:rFonts w:ascii="Arial" w:hAnsi="Arial" w:cs="Arial"/>
                <w:color w:val="264A60"/>
              </w:rPr>
            </w:pPr>
            <w:r w:rsidRPr="00A12B79">
              <w:rPr>
                <w:rFonts w:ascii="Arial" w:hAnsi="Arial" w:cs="Arial"/>
                <w:color w:val="264A60"/>
              </w:rPr>
              <w:t>Bootstrap</w:t>
            </w:r>
            <w:r w:rsidRPr="00A12B79">
              <w:rPr>
                <w:rFonts w:ascii="Arial" w:hAnsi="Arial" w:cs="Arial"/>
                <w:color w:val="264A60"/>
                <w:vertAlign w:val="superscript"/>
              </w:rPr>
              <w:t>b</w:t>
            </w:r>
          </w:p>
        </w:tc>
      </w:tr>
      <w:tr w:rsidR="009C3C86" w:rsidRPr="00A12B79" w14:paraId="57A94D48" w14:textId="77777777" w:rsidTr="009C3C86">
        <w:trPr>
          <w:cantSplit/>
        </w:trPr>
        <w:tc>
          <w:tcPr>
            <w:tcW w:w="3274" w:type="dxa"/>
            <w:gridSpan w:val="2"/>
            <w:vMerge/>
            <w:tcBorders>
              <w:top w:val="nil"/>
              <w:left w:val="nil"/>
              <w:bottom w:val="nil"/>
              <w:right w:val="nil"/>
            </w:tcBorders>
            <w:shd w:val="clear" w:color="auto" w:fill="FFFFFF"/>
            <w:vAlign w:val="bottom"/>
          </w:tcPr>
          <w:p w14:paraId="61CE103F" w14:textId="77777777" w:rsidR="009C3C86" w:rsidRPr="00A12B79" w:rsidRDefault="009C3C86" w:rsidP="00027769">
            <w:pPr>
              <w:rPr>
                <w:rFonts w:ascii="Arial" w:hAnsi="Arial" w:cs="Arial"/>
                <w:color w:val="264A60"/>
              </w:rPr>
            </w:pPr>
          </w:p>
        </w:tc>
        <w:tc>
          <w:tcPr>
            <w:tcW w:w="1183" w:type="dxa"/>
            <w:vMerge/>
            <w:tcBorders>
              <w:top w:val="nil"/>
              <w:left w:val="nil"/>
              <w:bottom w:val="nil"/>
              <w:right w:val="single" w:sz="8" w:space="0" w:color="E0E0E0"/>
            </w:tcBorders>
            <w:shd w:val="clear" w:color="auto" w:fill="FFFFFF"/>
            <w:vAlign w:val="bottom"/>
          </w:tcPr>
          <w:p w14:paraId="3952357A" w14:textId="77777777" w:rsidR="009C3C86" w:rsidRPr="00A12B79" w:rsidRDefault="009C3C86" w:rsidP="00027769">
            <w:pPr>
              <w:rPr>
                <w:rFonts w:ascii="Arial" w:hAnsi="Arial" w:cs="Arial"/>
                <w:color w:val="264A60"/>
              </w:rPr>
            </w:pPr>
          </w:p>
        </w:tc>
        <w:tc>
          <w:tcPr>
            <w:tcW w:w="1076" w:type="dxa"/>
            <w:vMerge w:val="restart"/>
            <w:tcBorders>
              <w:top w:val="nil"/>
              <w:left w:val="single" w:sz="8" w:space="0" w:color="E0E0E0"/>
              <w:bottom w:val="nil"/>
              <w:right w:val="single" w:sz="8" w:space="0" w:color="E0E0E0"/>
            </w:tcBorders>
            <w:shd w:val="clear" w:color="auto" w:fill="FFFFFF"/>
            <w:vAlign w:val="bottom"/>
          </w:tcPr>
          <w:p w14:paraId="21DA5513" w14:textId="77777777" w:rsidR="009C3C86" w:rsidRPr="00A12B79" w:rsidRDefault="009C3C86" w:rsidP="00027769">
            <w:pPr>
              <w:rPr>
                <w:rFonts w:ascii="Arial" w:hAnsi="Arial" w:cs="Arial"/>
                <w:color w:val="264A60"/>
              </w:rPr>
            </w:pPr>
            <w:r w:rsidRPr="00A12B79">
              <w:rPr>
                <w:rFonts w:ascii="Arial" w:hAnsi="Arial" w:cs="Arial"/>
                <w:color w:val="264A60"/>
              </w:rPr>
              <w:t>Bias</w:t>
            </w:r>
          </w:p>
        </w:tc>
        <w:tc>
          <w:tcPr>
            <w:tcW w:w="1045" w:type="dxa"/>
            <w:vMerge w:val="restart"/>
            <w:tcBorders>
              <w:top w:val="nil"/>
              <w:left w:val="single" w:sz="8" w:space="0" w:color="E0E0E0"/>
              <w:bottom w:val="nil"/>
              <w:right w:val="single" w:sz="8" w:space="0" w:color="E0E0E0"/>
            </w:tcBorders>
            <w:shd w:val="clear" w:color="auto" w:fill="FFFFFF"/>
            <w:vAlign w:val="bottom"/>
          </w:tcPr>
          <w:p w14:paraId="4FFE85E1" w14:textId="77777777" w:rsidR="009C3C86" w:rsidRPr="00A12B79" w:rsidRDefault="009C3C86" w:rsidP="00027769">
            <w:pPr>
              <w:rPr>
                <w:rFonts w:ascii="Arial" w:hAnsi="Arial" w:cs="Arial"/>
                <w:color w:val="264A60"/>
              </w:rPr>
            </w:pPr>
            <w:r w:rsidRPr="00A12B79">
              <w:rPr>
                <w:rFonts w:ascii="Arial" w:hAnsi="Arial" w:cs="Arial"/>
                <w:color w:val="264A60"/>
              </w:rPr>
              <w:t>Std. Error</w:t>
            </w:r>
          </w:p>
        </w:tc>
        <w:tc>
          <w:tcPr>
            <w:tcW w:w="2674" w:type="dxa"/>
            <w:gridSpan w:val="2"/>
            <w:tcBorders>
              <w:top w:val="nil"/>
              <w:left w:val="single" w:sz="8" w:space="0" w:color="E0E0E0"/>
              <w:bottom w:val="nil"/>
              <w:right w:val="nil"/>
            </w:tcBorders>
            <w:shd w:val="clear" w:color="auto" w:fill="FFFFFF"/>
            <w:vAlign w:val="bottom"/>
          </w:tcPr>
          <w:p w14:paraId="7262E99E" w14:textId="77777777" w:rsidR="009C3C86" w:rsidRPr="00A12B79" w:rsidRDefault="009C3C86" w:rsidP="00027769">
            <w:pPr>
              <w:rPr>
                <w:rFonts w:ascii="Arial" w:hAnsi="Arial" w:cs="Arial"/>
                <w:color w:val="264A60"/>
              </w:rPr>
            </w:pPr>
            <w:r w:rsidRPr="00A12B79">
              <w:rPr>
                <w:rFonts w:ascii="Arial" w:hAnsi="Arial" w:cs="Arial"/>
                <w:color w:val="264A60"/>
              </w:rPr>
              <w:t>BCa 95% Confidence Interval</w:t>
            </w:r>
          </w:p>
        </w:tc>
      </w:tr>
      <w:tr w:rsidR="009C3C86" w:rsidRPr="00A12B79" w14:paraId="70F8847F" w14:textId="77777777" w:rsidTr="009C3C86">
        <w:trPr>
          <w:cantSplit/>
        </w:trPr>
        <w:tc>
          <w:tcPr>
            <w:tcW w:w="3274" w:type="dxa"/>
            <w:gridSpan w:val="2"/>
            <w:vMerge/>
            <w:tcBorders>
              <w:top w:val="nil"/>
              <w:left w:val="nil"/>
              <w:bottom w:val="nil"/>
              <w:right w:val="nil"/>
            </w:tcBorders>
            <w:shd w:val="clear" w:color="auto" w:fill="FFFFFF"/>
            <w:vAlign w:val="bottom"/>
          </w:tcPr>
          <w:p w14:paraId="150698CD" w14:textId="77777777" w:rsidR="009C3C86" w:rsidRPr="00A12B79" w:rsidRDefault="009C3C86" w:rsidP="00027769">
            <w:pPr>
              <w:rPr>
                <w:rFonts w:ascii="Arial" w:hAnsi="Arial" w:cs="Arial"/>
                <w:color w:val="264A60"/>
              </w:rPr>
            </w:pPr>
          </w:p>
        </w:tc>
        <w:tc>
          <w:tcPr>
            <w:tcW w:w="1183" w:type="dxa"/>
            <w:vMerge/>
            <w:tcBorders>
              <w:top w:val="nil"/>
              <w:left w:val="nil"/>
              <w:bottom w:val="nil"/>
              <w:right w:val="single" w:sz="8" w:space="0" w:color="E0E0E0"/>
            </w:tcBorders>
            <w:shd w:val="clear" w:color="auto" w:fill="FFFFFF"/>
            <w:vAlign w:val="bottom"/>
          </w:tcPr>
          <w:p w14:paraId="3920BB8D" w14:textId="77777777" w:rsidR="009C3C86" w:rsidRPr="00A12B79" w:rsidRDefault="009C3C86" w:rsidP="00027769">
            <w:pPr>
              <w:rPr>
                <w:rFonts w:ascii="Arial" w:hAnsi="Arial" w:cs="Arial"/>
                <w:color w:val="264A60"/>
              </w:rPr>
            </w:pPr>
          </w:p>
        </w:tc>
        <w:tc>
          <w:tcPr>
            <w:tcW w:w="1076" w:type="dxa"/>
            <w:vMerge/>
            <w:tcBorders>
              <w:top w:val="nil"/>
              <w:left w:val="single" w:sz="8" w:space="0" w:color="E0E0E0"/>
              <w:bottom w:val="nil"/>
              <w:right w:val="single" w:sz="8" w:space="0" w:color="E0E0E0"/>
            </w:tcBorders>
            <w:shd w:val="clear" w:color="auto" w:fill="FFFFFF"/>
            <w:vAlign w:val="bottom"/>
          </w:tcPr>
          <w:p w14:paraId="37C7EA36" w14:textId="77777777" w:rsidR="009C3C86" w:rsidRPr="00A12B79" w:rsidRDefault="009C3C86" w:rsidP="00027769">
            <w:pPr>
              <w:rPr>
                <w:rFonts w:ascii="Arial" w:hAnsi="Arial" w:cs="Arial"/>
                <w:color w:val="264A60"/>
              </w:rPr>
            </w:pPr>
          </w:p>
        </w:tc>
        <w:tc>
          <w:tcPr>
            <w:tcW w:w="1045" w:type="dxa"/>
            <w:vMerge/>
            <w:tcBorders>
              <w:top w:val="nil"/>
              <w:left w:val="single" w:sz="8" w:space="0" w:color="E0E0E0"/>
              <w:bottom w:val="nil"/>
              <w:right w:val="single" w:sz="8" w:space="0" w:color="E0E0E0"/>
            </w:tcBorders>
            <w:shd w:val="clear" w:color="auto" w:fill="FFFFFF"/>
            <w:vAlign w:val="bottom"/>
          </w:tcPr>
          <w:p w14:paraId="0B70F93B" w14:textId="77777777" w:rsidR="009C3C86" w:rsidRPr="00A12B79" w:rsidRDefault="009C3C86" w:rsidP="00027769">
            <w:pPr>
              <w:rPr>
                <w:rFonts w:ascii="Arial" w:hAnsi="Arial" w:cs="Arial"/>
                <w:color w:val="264A60"/>
              </w:rPr>
            </w:pPr>
          </w:p>
        </w:tc>
        <w:tc>
          <w:tcPr>
            <w:tcW w:w="1337" w:type="dxa"/>
            <w:tcBorders>
              <w:top w:val="nil"/>
              <w:left w:val="single" w:sz="8" w:space="0" w:color="E0E0E0"/>
              <w:bottom w:val="single" w:sz="8" w:space="0" w:color="152935"/>
              <w:right w:val="single" w:sz="8" w:space="0" w:color="E0E0E0"/>
            </w:tcBorders>
            <w:shd w:val="clear" w:color="auto" w:fill="FFFFFF"/>
            <w:vAlign w:val="bottom"/>
          </w:tcPr>
          <w:p w14:paraId="0815F739" w14:textId="77777777" w:rsidR="009C3C86" w:rsidRPr="00A12B79" w:rsidRDefault="009C3C86" w:rsidP="00027769">
            <w:pPr>
              <w:rPr>
                <w:rFonts w:ascii="Arial" w:hAnsi="Arial" w:cs="Arial"/>
                <w:color w:val="264A60"/>
              </w:rPr>
            </w:pPr>
            <w:r w:rsidRPr="00A12B79">
              <w:rPr>
                <w:rFonts w:ascii="Arial" w:hAnsi="Arial" w:cs="Arial"/>
                <w:color w:val="264A60"/>
              </w:rPr>
              <w:t>Lower</w:t>
            </w:r>
          </w:p>
        </w:tc>
        <w:tc>
          <w:tcPr>
            <w:tcW w:w="1337" w:type="dxa"/>
            <w:tcBorders>
              <w:top w:val="nil"/>
              <w:left w:val="single" w:sz="8" w:space="0" w:color="E0E0E0"/>
              <w:bottom w:val="single" w:sz="8" w:space="0" w:color="152935"/>
              <w:right w:val="nil"/>
            </w:tcBorders>
            <w:shd w:val="clear" w:color="auto" w:fill="FFFFFF"/>
            <w:vAlign w:val="bottom"/>
          </w:tcPr>
          <w:p w14:paraId="4DB9EE51" w14:textId="77777777" w:rsidR="009C3C86" w:rsidRPr="00A12B79" w:rsidRDefault="009C3C86" w:rsidP="00027769">
            <w:pPr>
              <w:rPr>
                <w:rFonts w:ascii="Arial" w:hAnsi="Arial" w:cs="Arial"/>
                <w:color w:val="264A60"/>
              </w:rPr>
            </w:pPr>
            <w:r w:rsidRPr="00A12B79">
              <w:rPr>
                <w:rFonts w:ascii="Arial" w:hAnsi="Arial" w:cs="Arial"/>
                <w:color w:val="264A60"/>
              </w:rPr>
              <w:t>Upper</w:t>
            </w:r>
          </w:p>
        </w:tc>
      </w:tr>
      <w:tr w:rsidR="009C3C86" w:rsidRPr="00A12B79" w14:paraId="4DA717B1" w14:textId="77777777" w:rsidTr="009C3C86">
        <w:trPr>
          <w:cantSplit/>
        </w:trPr>
        <w:tc>
          <w:tcPr>
            <w:tcW w:w="1906" w:type="dxa"/>
            <w:vMerge w:val="restart"/>
            <w:tcBorders>
              <w:top w:val="single" w:sz="8" w:space="0" w:color="152935"/>
              <w:left w:val="nil"/>
              <w:bottom w:val="nil"/>
              <w:right w:val="nil"/>
            </w:tcBorders>
            <w:shd w:val="clear" w:color="auto" w:fill="E0E0E0"/>
          </w:tcPr>
          <w:p w14:paraId="08FFEBA2" w14:textId="77777777" w:rsidR="009C3C86" w:rsidRPr="00A12B79" w:rsidRDefault="009C3C86" w:rsidP="00027769">
            <w:pPr>
              <w:rPr>
                <w:rFonts w:ascii="Arial" w:hAnsi="Arial" w:cs="Arial"/>
                <w:color w:val="264A60"/>
              </w:rPr>
            </w:pPr>
            <w:r w:rsidRPr="00A12B79">
              <w:rPr>
                <w:rFonts w:ascii="Arial" w:hAnsi="Arial" w:cs="Arial"/>
                <w:color w:val="264A60"/>
              </w:rPr>
              <w:t>Predicted Value</w:t>
            </w:r>
          </w:p>
        </w:tc>
        <w:tc>
          <w:tcPr>
            <w:tcW w:w="1368" w:type="dxa"/>
            <w:tcBorders>
              <w:top w:val="single" w:sz="8" w:space="0" w:color="152935"/>
              <w:left w:val="nil"/>
              <w:bottom w:val="single" w:sz="8" w:space="0" w:color="AEAEAE"/>
              <w:right w:val="nil"/>
            </w:tcBorders>
            <w:shd w:val="clear" w:color="auto" w:fill="E0E0E0"/>
          </w:tcPr>
          <w:p w14:paraId="5CFF641E" w14:textId="77777777" w:rsidR="009C3C86" w:rsidRPr="00A12B79" w:rsidRDefault="009C3C86" w:rsidP="00027769">
            <w:pPr>
              <w:rPr>
                <w:rFonts w:ascii="Arial" w:hAnsi="Arial" w:cs="Arial"/>
                <w:color w:val="264A60"/>
              </w:rPr>
            </w:pPr>
            <w:r w:rsidRPr="00A12B79">
              <w:rPr>
                <w:rFonts w:ascii="Arial" w:hAnsi="Arial" w:cs="Arial"/>
                <w:color w:val="264A60"/>
              </w:rPr>
              <w:t>Minimum</w:t>
            </w:r>
          </w:p>
        </w:tc>
        <w:tc>
          <w:tcPr>
            <w:tcW w:w="1183" w:type="dxa"/>
            <w:tcBorders>
              <w:top w:val="single" w:sz="8" w:space="0" w:color="152935"/>
              <w:left w:val="nil"/>
              <w:bottom w:val="single" w:sz="8" w:space="0" w:color="AEAEAE"/>
              <w:right w:val="single" w:sz="8" w:space="0" w:color="E0E0E0"/>
            </w:tcBorders>
            <w:shd w:val="clear" w:color="auto" w:fill="F9F9FB"/>
          </w:tcPr>
          <w:p w14:paraId="4CB0AA90" w14:textId="77777777" w:rsidR="009C3C86" w:rsidRPr="00A12B79" w:rsidRDefault="009C3C86" w:rsidP="00027769">
            <w:pPr>
              <w:rPr>
                <w:rFonts w:ascii="Arial" w:hAnsi="Arial" w:cs="Arial"/>
                <w:color w:val="010205"/>
              </w:rPr>
            </w:pPr>
            <w:r w:rsidRPr="00A12B79">
              <w:rPr>
                <w:rFonts w:ascii="Arial" w:hAnsi="Arial" w:cs="Arial"/>
                <w:color w:val="010205"/>
              </w:rPr>
              <w:t>-76.4449</w:t>
            </w:r>
          </w:p>
        </w:tc>
        <w:tc>
          <w:tcPr>
            <w:tcW w:w="1076"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308C4415" w14:textId="77777777" w:rsidR="009C3C86" w:rsidRPr="00A12B79" w:rsidRDefault="009C3C86" w:rsidP="00027769"/>
        </w:tc>
        <w:tc>
          <w:tcPr>
            <w:tcW w:w="1045"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101CB771" w14:textId="77777777" w:rsidR="009C3C86" w:rsidRPr="00A12B79" w:rsidRDefault="009C3C86" w:rsidP="00027769"/>
        </w:tc>
        <w:tc>
          <w:tcPr>
            <w:tcW w:w="1337"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38B62D69" w14:textId="77777777" w:rsidR="009C3C86" w:rsidRPr="00A12B79" w:rsidRDefault="009C3C86" w:rsidP="00027769"/>
        </w:tc>
        <w:tc>
          <w:tcPr>
            <w:tcW w:w="1337" w:type="dxa"/>
            <w:tcBorders>
              <w:top w:val="single" w:sz="8" w:space="0" w:color="152935"/>
              <w:left w:val="single" w:sz="8" w:space="0" w:color="E0E0E0"/>
              <w:bottom w:val="single" w:sz="8" w:space="0" w:color="AEAEAE"/>
              <w:right w:val="nil"/>
            </w:tcBorders>
            <w:shd w:val="clear" w:color="auto" w:fill="F9F9FB"/>
            <w:vAlign w:val="center"/>
          </w:tcPr>
          <w:p w14:paraId="3FF8FA4C" w14:textId="77777777" w:rsidR="009C3C86" w:rsidRPr="00A12B79" w:rsidRDefault="009C3C86" w:rsidP="00027769"/>
        </w:tc>
      </w:tr>
      <w:tr w:rsidR="009C3C86" w:rsidRPr="00A12B79" w14:paraId="7D0A4182" w14:textId="77777777" w:rsidTr="009C3C86">
        <w:trPr>
          <w:cantSplit/>
        </w:trPr>
        <w:tc>
          <w:tcPr>
            <w:tcW w:w="1906" w:type="dxa"/>
            <w:vMerge/>
            <w:tcBorders>
              <w:top w:val="single" w:sz="8" w:space="0" w:color="152935"/>
              <w:left w:val="nil"/>
              <w:bottom w:val="nil"/>
              <w:right w:val="nil"/>
            </w:tcBorders>
            <w:shd w:val="clear" w:color="auto" w:fill="E0E0E0"/>
          </w:tcPr>
          <w:p w14:paraId="1E44B23A" w14:textId="77777777" w:rsidR="009C3C86" w:rsidRPr="00A12B79" w:rsidRDefault="009C3C86" w:rsidP="00027769"/>
        </w:tc>
        <w:tc>
          <w:tcPr>
            <w:tcW w:w="1368" w:type="dxa"/>
            <w:tcBorders>
              <w:top w:val="single" w:sz="8" w:space="0" w:color="AEAEAE"/>
              <w:left w:val="nil"/>
              <w:bottom w:val="single" w:sz="8" w:space="0" w:color="AEAEAE"/>
              <w:right w:val="nil"/>
            </w:tcBorders>
            <w:shd w:val="clear" w:color="auto" w:fill="E0E0E0"/>
          </w:tcPr>
          <w:p w14:paraId="4C761524" w14:textId="77777777" w:rsidR="009C3C86" w:rsidRPr="00A12B79" w:rsidRDefault="009C3C86" w:rsidP="00027769">
            <w:pPr>
              <w:rPr>
                <w:rFonts w:ascii="Arial" w:hAnsi="Arial" w:cs="Arial"/>
                <w:color w:val="264A60"/>
              </w:rPr>
            </w:pPr>
            <w:r w:rsidRPr="00A12B79">
              <w:rPr>
                <w:rFonts w:ascii="Arial" w:hAnsi="Arial" w:cs="Arial"/>
                <w:color w:val="264A60"/>
              </w:rPr>
              <w:t>Maximum</w:t>
            </w:r>
          </w:p>
        </w:tc>
        <w:tc>
          <w:tcPr>
            <w:tcW w:w="1183" w:type="dxa"/>
            <w:tcBorders>
              <w:top w:val="single" w:sz="8" w:space="0" w:color="AEAEAE"/>
              <w:left w:val="nil"/>
              <w:bottom w:val="single" w:sz="8" w:space="0" w:color="AEAEAE"/>
              <w:right w:val="single" w:sz="8" w:space="0" w:color="E0E0E0"/>
            </w:tcBorders>
            <w:shd w:val="clear" w:color="auto" w:fill="F9F9FB"/>
          </w:tcPr>
          <w:p w14:paraId="6915D726" w14:textId="77777777" w:rsidR="009C3C86" w:rsidRPr="00A12B79" w:rsidRDefault="009C3C86" w:rsidP="00027769">
            <w:pPr>
              <w:rPr>
                <w:rFonts w:ascii="Arial" w:hAnsi="Arial" w:cs="Arial"/>
                <w:color w:val="010205"/>
              </w:rPr>
            </w:pPr>
            <w:r w:rsidRPr="00A12B79">
              <w:rPr>
                <w:rFonts w:ascii="Arial" w:hAnsi="Arial" w:cs="Arial"/>
                <w:color w:val="010205"/>
              </w:rPr>
              <w:t>134.0915</w:t>
            </w:r>
          </w:p>
        </w:tc>
        <w:tc>
          <w:tcPr>
            <w:tcW w:w="1076"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05EBBB2E" w14:textId="77777777" w:rsidR="009C3C86" w:rsidRPr="00A12B79" w:rsidRDefault="009C3C86" w:rsidP="00027769"/>
        </w:tc>
        <w:tc>
          <w:tcPr>
            <w:tcW w:w="104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3F78762E" w14:textId="77777777" w:rsidR="009C3C86" w:rsidRPr="00A12B79" w:rsidRDefault="009C3C86" w:rsidP="00027769"/>
        </w:tc>
        <w:tc>
          <w:tcPr>
            <w:tcW w:w="133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0B5A8B78" w14:textId="77777777" w:rsidR="009C3C86" w:rsidRPr="00A12B79" w:rsidRDefault="009C3C86" w:rsidP="00027769"/>
        </w:tc>
        <w:tc>
          <w:tcPr>
            <w:tcW w:w="1337" w:type="dxa"/>
            <w:tcBorders>
              <w:top w:val="single" w:sz="8" w:space="0" w:color="AEAEAE"/>
              <w:left w:val="single" w:sz="8" w:space="0" w:color="E0E0E0"/>
              <w:bottom w:val="single" w:sz="8" w:space="0" w:color="AEAEAE"/>
              <w:right w:val="nil"/>
            </w:tcBorders>
            <w:shd w:val="clear" w:color="auto" w:fill="F9F9FB"/>
            <w:vAlign w:val="center"/>
          </w:tcPr>
          <w:p w14:paraId="2BA53C62" w14:textId="77777777" w:rsidR="009C3C86" w:rsidRPr="00A12B79" w:rsidRDefault="009C3C86" w:rsidP="00027769"/>
        </w:tc>
      </w:tr>
      <w:tr w:rsidR="009C3C86" w:rsidRPr="00A12B79" w14:paraId="3F2EAA69" w14:textId="77777777" w:rsidTr="009C3C86">
        <w:trPr>
          <w:cantSplit/>
        </w:trPr>
        <w:tc>
          <w:tcPr>
            <w:tcW w:w="1906" w:type="dxa"/>
            <w:vMerge/>
            <w:tcBorders>
              <w:top w:val="single" w:sz="8" w:space="0" w:color="152935"/>
              <w:left w:val="nil"/>
              <w:bottom w:val="nil"/>
              <w:right w:val="nil"/>
            </w:tcBorders>
            <w:shd w:val="clear" w:color="auto" w:fill="E0E0E0"/>
          </w:tcPr>
          <w:p w14:paraId="0D800420" w14:textId="77777777" w:rsidR="009C3C86" w:rsidRPr="00A12B79" w:rsidRDefault="009C3C86" w:rsidP="00027769"/>
        </w:tc>
        <w:tc>
          <w:tcPr>
            <w:tcW w:w="1368" w:type="dxa"/>
            <w:tcBorders>
              <w:top w:val="single" w:sz="8" w:space="0" w:color="AEAEAE"/>
              <w:left w:val="nil"/>
              <w:bottom w:val="single" w:sz="8" w:space="0" w:color="AEAEAE"/>
              <w:right w:val="nil"/>
            </w:tcBorders>
            <w:shd w:val="clear" w:color="auto" w:fill="E0E0E0"/>
          </w:tcPr>
          <w:p w14:paraId="032B08AF" w14:textId="77777777" w:rsidR="009C3C86" w:rsidRPr="00A12B79" w:rsidRDefault="009C3C86" w:rsidP="00027769">
            <w:pPr>
              <w:rPr>
                <w:rFonts w:ascii="Arial" w:hAnsi="Arial" w:cs="Arial"/>
                <w:color w:val="264A60"/>
              </w:rPr>
            </w:pPr>
            <w:r w:rsidRPr="00A12B79">
              <w:rPr>
                <w:rFonts w:ascii="Arial" w:hAnsi="Arial" w:cs="Arial"/>
                <w:color w:val="264A60"/>
              </w:rPr>
              <w:t>Mean</w:t>
            </w:r>
          </w:p>
        </w:tc>
        <w:tc>
          <w:tcPr>
            <w:tcW w:w="1183" w:type="dxa"/>
            <w:tcBorders>
              <w:top w:val="single" w:sz="8" w:space="0" w:color="AEAEAE"/>
              <w:left w:val="nil"/>
              <w:bottom w:val="single" w:sz="8" w:space="0" w:color="AEAEAE"/>
              <w:right w:val="single" w:sz="8" w:space="0" w:color="E0E0E0"/>
            </w:tcBorders>
            <w:shd w:val="clear" w:color="auto" w:fill="F9F9FB"/>
          </w:tcPr>
          <w:p w14:paraId="24F8D8E0" w14:textId="77777777" w:rsidR="009C3C86" w:rsidRPr="00A12B79" w:rsidRDefault="009C3C86" w:rsidP="00027769">
            <w:pPr>
              <w:rPr>
                <w:rFonts w:ascii="Arial" w:hAnsi="Arial" w:cs="Arial"/>
                <w:color w:val="010205"/>
              </w:rPr>
            </w:pPr>
            <w:r w:rsidRPr="00A12B79">
              <w:rPr>
                <w:rFonts w:ascii="Arial" w:hAnsi="Arial" w:cs="Arial"/>
                <w:color w:val="010205"/>
              </w:rPr>
              <w:t>34.3372</w:t>
            </w:r>
          </w:p>
        </w:tc>
        <w:tc>
          <w:tcPr>
            <w:tcW w:w="1076" w:type="dxa"/>
            <w:tcBorders>
              <w:top w:val="single" w:sz="8" w:space="0" w:color="AEAEAE"/>
              <w:left w:val="single" w:sz="8" w:space="0" w:color="E0E0E0"/>
              <w:bottom w:val="single" w:sz="8" w:space="0" w:color="AEAEAE"/>
              <w:right w:val="single" w:sz="8" w:space="0" w:color="E0E0E0"/>
            </w:tcBorders>
            <w:shd w:val="clear" w:color="auto" w:fill="F9F9FB"/>
          </w:tcPr>
          <w:p w14:paraId="79A4BECC" w14:textId="77777777" w:rsidR="009C3C86" w:rsidRPr="00A12B79" w:rsidRDefault="009C3C86" w:rsidP="00027769">
            <w:pPr>
              <w:rPr>
                <w:rFonts w:ascii="Arial" w:hAnsi="Arial" w:cs="Arial"/>
                <w:color w:val="010205"/>
              </w:rPr>
            </w:pPr>
            <w:r w:rsidRPr="00A12B79">
              <w:rPr>
                <w:rFonts w:ascii="Arial" w:hAnsi="Arial" w:cs="Arial"/>
                <w:color w:val="010205"/>
              </w:rPr>
              <w:t>-.2876</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40389C82" w14:textId="77777777" w:rsidR="009C3C86" w:rsidRPr="00A12B79" w:rsidRDefault="009C3C86" w:rsidP="00027769">
            <w:pPr>
              <w:rPr>
                <w:rFonts w:ascii="Arial" w:hAnsi="Arial" w:cs="Arial"/>
                <w:color w:val="010205"/>
              </w:rPr>
            </w:pPr>
            <w:r w:rsidRPr="00A12B79">
              <w:rPr>
                <w:rFonts w:ascii="Arial" w:hAnsi="Arial" w:cs="Arial"/>
                <w:color w:val="010205"/>
              </w:rPr>
              <w:t>14.7958</w:t>
            </w:r>
          </w:p>
        </w:tc>
        <w:tc>
          <w:tcPr>
            <w:tcW w:w="1337" w:type="dxa"/>
            <w:tcBorders>
              <w:top w:val="single" w:sz="8" w:space="0" w:color="AEAEAE"/>
              <w:left w:val="single" w:sz="8" w:space="0" w:color="E0E0E0"/>
              <w:bottom w:val="single" w:sz="8" w:space="0" w:color="AEAEAE"/>
              <w:right w:val="single" w:sz="8" w:space="0" w:color="E0E0E0"/>
            </w:tcBorders>
            <w:shd w:val="clear" w:color="auto" w:fill="F9F9FB"/>
          </w:tcPr>
          <w:p w14:paraId="56D8FF91" w14:textId="77777777" w:rsidR="009C3C86" w:rsidRPr="00A12B79" w:rsidRDefault="009C3C86" w:rsidP="00027769">
            <w:pPr>
              <w:rPr>
                <w:rFonts w:ascii="Arial" w:hAnsi="Arial" w:cs="Arial"/>
                <w:color w:val="010205"/>
              </w:rPr>
            </w:pPr>
            <w:r w:rsidRPr="00A12B79">
              <w:rPr>
                <w:rFonts w:ascii="Arial" w:hAnsi="Arial" w:cs="Arial"/>
                <w:color w:val="010205"/>
              </w:rPr>
              <w:t>12.1833</w:t>
            </w:r>
          </w:p>
        </w:tc>
        <w:tc>
          <w:tcPr>
            <w:tcW w:w="1337" w:type="dxa"/>
            <w:tcBorders>
              <w:top w:val="single" w:sz="8" w:space="0" w:color="AEAEAE"/>
              <w:left w:val="single" w:sz="8" w:space="0" w:color="E0E0E0"/>
              <w:bottom w:val="single" w:sz="8" w:space="0" w:color="AEAEAE"/>
              <w:right w:val="nil"/>
            </w:tcBorders>
            <w:shd w:val="clear" w:color="auto" w:fill="F9F9FB"/>
          </w:tcPr>
          <w:p w14:paraId="5DD13D6F" w14:textId="77777777" w:rsidR="009C3C86" w:rsidRPr="00A12B79" w:rsidRDefault="009C3C86" w:rsidP="00027769">
            <w:pPr>
              <w:rPr>
                <w:rFonts w:ascii="Arial" w:hAnsi="Arial" w:cs="Arial"/>
                <w:color w:val="010205"/>
              </w:rPr>
            </w:pPr>
            <w:r w:rsidRPr="00A12B79">
              <w:rPr>
                <w:rFonts w:ascii="Arial" w:hAnsi="Arial" w:cs="Arial"/>
                <w:color w:val="010205"/>
              </w:rPr>
              <w:t>59.9937</w:t>
            </w:r>
          </w:p>
        </w:tc>
      </w:tr>
      <w:tr w:rsidR="009C3C86" w:rsidRPr="00A12B79" w14:paraId="6769967B" w14:textId="77777777" w:rsidTr="009C3C86">
        <w:trPr>
          <w:cantSplit/>
        </w:trPr>
        <w:tc>
          <w:tcPr>
            <w:tcW w:w="1906" w:type="dxa"/>
            <w:vMerge/>
            <w:tcBorders>
              <w:top w:val="single" w:sz="8" w:space="0" w:color="152935"/>
              <w:left w:val="nil"/>
              <w:bottom w:val="nil"/>
              <w:right w:val="nil"/>
            </w:tcBorders>
            <w:shd w:val="clear" w:color="auto" w:fill="E0E0E0"/>
          </w:tcPr>
          <w:p w14:paraId="7C4C44E0" w14:textId="77777777" w:rsidR="009C3C86" w:rsidRPr="00A12B79" w:rsidRDefault="009C3C86" w:rsidP="00027769">
            <w:pPr>
              <w:rPr>
                <w:rFonts w:ascii="Arial" w:hAnsi="Arial" w:cs="Arial"/>
                <w:color w:val="010205"/>
              </w:rPr>
            </w:pPr>
          </w:p>
        </w:tc>
        <w:tc>
          <w:tcPr>
            <w:tcW w:w="1368" w:type="dxa"/>
            <w:tcBorders>
              <w:top w:val="single" w:sz="8" w:space="0" w:color="AEAEAE"/>
              <w:left w:val="nil"/>
              <w:bottom w:val="single" w:sz="8" w:space="0" w:color="AEAEAE"/>
              <w:right w:val="nil"/>
            </w:tcBorders>
            <w:shd w:val="clear" w:color="auto" w:fill="E0E0E0"/>
          </w:tcPr>
          <w:p w14:paraId="14FB3133" w14:textId="77777777" w:rsidR="009C3C86" w:rsidRPr="00A12B79" w:rsidRDefault="009C3C86" w:rsidP="00027769">
            <w:pPr>
              <w:rPr>
                <w:rFonts w:ascii="Arial" w:hAnsi="Arial" w:cs="Arial"/>
                <w:color w:val="264A60"/>
              </w:rPr>
            </w:pPr>
            <w:r w:rsidRPr="00A12B79">
              <w:rPr>
                <w:rFonts w:ascii="Arial" w:hAnsi="Arial" w:cs="Arial"/>
                <w:color w:val="264A60"/>
              </w:rPr>
              <w:t>Std. Deviation</w:t>
            </w:r>
          </w:p>
        </w:tc>
        <w:tc>
          <w:tcPr>
            <w:tcW w:w="1183" w:type="dxa"/>
            <w:tcBorders>
              <w:top w:val="single" w:sz="8" w:space="0" w:color="AEAEAE"/>
              <w:left w:val="nil"/>
              <w:bottom w:val="single" w:sz="8" w:space="0" w:color="AEAEAE"/>
              <w:right w:val="single" w:sz="8" w:space="0" w:color="E0E0E0"/>
            </w:tcBorders>
            <w:shd w:val="clear" w:color="auto" w:fill="F9F9FB"/>
          </w:tcPr>
          <w:p w14:paraId="039B33B1" w14:textId="77777777" w:rsidR="009C3C86" w:rsidRPr="00A12B79" w:rsidRDefault="009C3C86" w:rsidP="00027769">
            <w:pPr>
              <w:rPr>
                <w:rFonts w:ascii="Arial" w:hAnsi="Arial" w:cs="Arial"/>
                <w:color w:val="010205"/>
              </w:rPr>
            </w:pPr>
            <w:r w:rsidRPr="00A12B79">
              <w:rPr>
                <w:rFonts w:ascii="Arial" w:hAnsi="Arial" w:cs="Arial"/>
                <w:color w:val="010205"/>
              </w:rPr>
              <w:t>43.75494</w:t>
            </w:r>
          </w:p>
        </w:tc>
        <w:tc>
          <w:tcPr>
            <w:tcW w:w="1076" w:type="dxa"/>
            <w:tcBorders>
              <w:top w:val="single" w:sz="8" w:space="0" w:color="AEAEAE"/>
              <w:left w:val="single" w:sz="8" w:space="0" w:color="E0E0E0"/>
              <w:bottom w:val="single" w:sz="8" w:space="0" w:color="AEAEAE"/>
              <w:right w:val="single" w:sz="8" w:space="0" w:color="E0E0E0"/>
            </w:tcBorders>
            <w:shd w:val="clear" w:color="auto" w:fill="F9F9FB"/>
          </w:tcPr>
          <w:p w14:paraId="741ACFAF" w14:textId="77777777" w:rsidR="009C3C86" w:rsidRPr="00A12B79" w:rsidRDefault="009C3C86" w:rsidP="00027769">
            <w:pPr>
              <w:rPr>
                <w:rFonts w:ascii="Arial" w:hAnsi="Arial" w:cs="Arial"/>
                <w:color w:val="010205"/>
              </w:rPr>
            </w:pPr>
            <w:r w:rsidRPr="00A12B79">
              <w:rPr>
                <w:rFonts w:ascii="Arial" w:hAnsi="Arial" w:cs="Arial"/>
                <w:color w:val="010205"/>
              </w:rPr>
              <w:t>2.00208</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439E6A3B" w14:textId="77777777" w:rsidR="009C3C86" w:rsidRPr="00A12B79" w:rsidRDefault="009C3C86" w:rsidP="00027769">
            <w:pPr>
              <w:rPr>
                <w:rFonts w:ascii="Arial" w:hAnsi="Arial" w:cs="Arial"/>
                <w:color w:val="010205"/>
              </w:rPr>
            </w:pPr>
            <w:r w:rsidRPr="00A12B79">
              <w:rPr>
                <w:rFonts w:ascii="Arial" w:hAnsi="Arial" w:cs="Arial"/>
                <w:color w:val="010205"/>
              </w:rPr>
              <w:t>27.78068</w:t>
            </w:r>
          </w:p>
        </w:tc>
        <w:tc>
          <w:tcPr>
            <w:tcW w:w="1337" w:type="dxa"/>
            <w:tcBorders>
              <w:top w:val="single" w:sz="8" w:space="0" w:color="AEAEAE"/>
              <w:left w:val="single" w:sz="8" w:space="0" w:color="E0E0E0"/>
              <w:bottom w:val="single" w:sz="8" w:space="0" w:color="AEAEAE"/>
              <w:right w:val="single" w:sz="8" w:space="0" w:color="E0E0E0"/>
            </w:tcBorders>
            <w:shd w:val="clear" w:color="auto" w:fill="F9F9FB"/>
          </w:tcPr>
          <w:p w14:paraId="2F5E2470" w14:textId="77777777" w:rsidR="009C3C86" w:rsidRPr="00A12B79" w:rsidRDefault="009C3C86" w:rsidP="00027769">
            <w:pPr>
              <w:rPr>
                <w:rFonts w:ascii="Arial" w:hAnsi="Arial" w:cs="Arial"/>
                <w:color w:val="010205"/>
              </w:rPr>
            </w:pPr>
            <w:r w:rsidRPr="00A12B79">
              <w:rPr>
                <w:rFonts w:ascii="Arial" w:hAnsi="Arial" w:cs="Arial"/>
                <w:color w:val="010205"/>
              </w:rPr>
              <w:t>4.24262</w:t>
            </w:r>
          </w:p>
        </w:tc>
        <w:tc>
          <w:tcPr>
            <w:tcW w:w="1337" w:type="dxa"/>
            <w:tcBorders>
              <w:top w:val="single" w:sz="8" w:space="0" w:color="AEAEAE"/>
              <w:left w:val="single" w:sz="8" w:space="0" w:color="E0E0E0"/>
              <w:bottom w:val="single" w:sz="8" w:space="0" w:color="AEAEAE"/>
              <w:right w:val="nil"/>
            </w:tcBorders>
            <w:shd w:val="clear" w:color="auto" w:fill="F9F9FB"/>
          </w:tcPr>
          <w:p w14:paraId="49A8AFB5" w14:textId="77777777" w:rsidR="009C3C86" w:rsidRPr="00A12B79" w:rsidRDefault="009C3C86" w:rsidP="00027769">
            <w:pPr>
              <w:rPr>
                <w:rFonts w:ascii="Arial" w:hAnsi="Arial" w:cs="Arial"/>
                <w:color w:val="010205"/>
              </w:rPr>
            </w:pPr>
            <w:r w:rsidRPr="00A12B79">
              <w:rPr>
                <w:rFonts w:ascii="Arial" w:hAnsi="Arial" w:cs="Arial"/>
                <w:color w:val="010205"/>
              </w:rPr>
              <w:t>103.99151</w:t>
            </w:r>
          </w:p>
        </w:tc>
      </w:tr>
      <w:tr w:rsidR="009C3C86" w:rsidRPr="00A12B79" w14:paraId="5ECAED54" w14:textId="77777777" w:rsidTr="009C3C86">
        <w:trPr>
          <w:cantSplit/>
        </w:trPr>
        <w:tc>
          <w:tcPr>
            <w:tcW w:w="1906" w:type="dxa"/>
            <w:vMerge/>
            <w:tcBorders>
              <w:top w:val="single" w:sz="8" w:space="0" w:color="152935"/>
              <w:left w:val="nil"/>
              <w:bottom w:val="nil"/>
              <w:right w:val="nil"/>
            </w:tcBorders>
            <w:shd w:val="clear" w:color="auto" w:fill="E0E0E0"/>
          </w:tcPr>
          <w:p w14:paraId="58BEE3D2" w14:textId="77777777" w:rsidR="009C3C86" w:rsidRPr="00A12B79" w:rsidRDefault="009C3C86" w:rsidP="00027769">
            <w:pPr>
              <w:rPr>
                <w:rFonts w:ascii="Arial" w:hAnsi="Arial" w:cs="Arial"/>
                <w:color w:val="010205"/>
              </w:rPr>
            </w:pPr>
          </w:p>
        </w:tc>
        <w:tc>
          <w:tcPr>
            <w:tcW w:w="1368" w:type="dxa"/>
            <w:tcBorders>
              <w:top w:val="single" w:sz="8" w:space="0" w:color="AEAEAE"/>
              <w:left w:val="nil"/>
              <w:bottom w:val="nil"/>
              <w:right w:val="nil"/>
            </w:tcBorders>
            <w:shd w:val="clear" w:color="auto" w:fill="E0E0E0"/>
          </w:tcPr>
          <w:p w14:paraId="2E36C1C9" w14:textId="77777777" w:rsidR="009C3C86" w:rsidRPr="00A12B79" w:rsidRDefault="009C3C86" w:rsidP="00027769">
            <w:pPr>
              <w:rPr>
                <w:rFonts w:ascii="Arial" w:hAnsi="Arial" w:cs="Arial"/>
                <w:color w:val="264A60"/>
              </w:rPr>
            </w:pPr>
            <w:r w:rsidRPr="00A12B79">
              <w:rPr>
                <w:rFonts w:ascii="Arial" w:hAnsi="Arial" w:cs="Arial"/>
                <w:color w:val="264A60"/>
              </w:rPr>
              <w:t>N</w:t>
            </w:r>
          </w:p>
        </w:tc>
        <w:tc>
          <w:tcPr>
            <w:tcW w:w="1183" w:type="dxa"/>
            <w:tcBorders>
              <w:top w:val="single" w:sz="8" w:space="0" w:color="AEAEAE"/>
              <w:left w:val="nil"/>
              <w:bottom w:val="nil"/>
              <w:right w:val="single" w:sz="8" w:space="0" w:color="E0E0E0"/>
            </w:tcBorders>
            <w:shd w:val="clear" w:color="auto" w:fill="F9F9FB"/>
          </w:tcPr>
          <w:p w14:paraId="05B51557" w14:textId="77777777" w:rsidR="009C3C86" w:rsidRPr="00A12B79" w:rsidRDefault="009C3C86" w:rsidP="00027769">
            <w:pPr>
              <w:rPr>
                <w:rFonts w:ascii="Arial" w:hAnsi="Arial" w:cs="Arial"/>
                <w:color w:val="010205"/>
              </w:rPr>
            </w:pPr>
            <w:r w:rsidRPr="00A12B79">
              <w:rPr>
                <w:rFonts w:ascii="Arial" w:hAnsi="Arial" w:cs="Arial"/>
                <w:color w:val="010205"/>
              </w:rPr>
              <w:t>86</w:t>
            </w:r>
          </w:p>
        </w:tc>
        <w:tc>
          <w:tcPr>
            <w:tcW w:w="1076" w:type="dxa"/>
            <w:tcBorders>
              <w:top w:val="single" w:sz="8" w:space="0" w:color="AEAEAE"/>
              <w:left w:val="single" w:sz="8" w:space="0" w:color="E0E0E0"/>
              <w:bottom w:val="nil"/>
              <w:right w:val="single" w:sz="8" w:space="0" w:color="E0E0E0"/>
            </w:tcBorders>
            <w:shd w:val="clear" w:color="auto" w:fill="F9F9FB"/>
          </w:tcPr>
          <w:p w14:paraId="0F004B81" w14:textId="77777777" w:rsidR="009C3C86" w:rsidRPr="00A12B79" w:rsidRDefault="009C3C86" w:rsidP="00027769">
            <w:pPr>
              <w:rPr>
                <w:rFonts w:ascii="Arial" w:hAnsi="Arial" w:cs="Arial"/>
                <w:color w:val="010205"/>
              </w:rPr>
            </w:pPr>
            <w:r w:rsidRPr="00A12B79">
              <w:rPr>
                <w:rFonts w:ascii="Arial" w:hAnsi="Arial" w:cs="Arial"/>
                <w:color w:val="010205"/>
              </w:rPr>
              <w:t>0</w:t>
            </w:r>
          </w:p>
        </w:tc>
        <w:tc>
          <w:tcPr>
            <w:tcW w:w="1045" w:type="dxa"/>
            <w:tcBorders>
              <w:top w:val="single" w:sz="8" w:space="0" w:color="AEAEAE"/>
              <w:left w:val="single" w:sz="8" w:space="0" w:color="E0E0E0"/>
              <w:bottom w:val="nil"/>
              <w:right w:val="single" w:sz="8" w:space="0" w:color="E0E0E0"/>
            </w:tcBorders>
            <w:shd w:val="clear" w:color="auto" w:fill="F9F9FB"/>
          </w:tcPr>
          <w:p w14:paraId="195D3D60" w14:textId="77777777" w:rsidR="009C3C86" w:rsidRPr="00A12B79" w:rsidRDefault="009C3C86" w:rsidP="00027769">
            <w:pPr>
              <w:rPr>
                <w:rFonts w:ascii="Arial" w:hAnsi="Arial" w:cs="Arial"/>
                <w:color w:val="010205"/>
              </w:rPr>
            </w:pPr>
            <w:r w:rsidRPr="00A12B79">
              <w:rPr>
                <w:rFonts w:ascii="Arial" w:hAnsi="Arial" w:cs="Arial"/>
                <w:color w:val="010205"/>
              </w:rPr>
              <w:t>0</w:t>
            </w:r>
          </w:p>
        </w:tc>
        <w:tc>
          <w:tcPr>
            <w:tcW w:w="1337" w:type="dxa"/>
            <w:tcBorders>
              <w:top w:val="single" w:sz="8" w:space="0" w:color="AEAEAE"/>
              <w:left w:val="single" w:sz="8" w:space="0" w:color="E0E0E0"/>
              <w:bottom w:val="nil"/>
              <w:right w:val="single" w:sz="8" w:space="0" w:color="E0E0E0"/>
            </w:tcBorders>
            <w:shd w:val="clear" w:color="auto" w:fill="F9F9FB"/>
          </w:tcPr>
          <w:p w14:paraId="2908577B" w14:textId="77777777" w:rsidR="009C3C86" w:rsidRPr="00A12B79" w:rsidRDefault="009C3C86" w:rsidP="00027769">
            <w:pPr>
              <w:rPr>
                <w:rFonts w:ascii="Arial" w:hAnsi="Arial" w:cs="Arial"/>
                <w:color w:val="010205"/>
              </w:rPr>
            </w:pPr>
            <w:r w:rsidRPr="00A12B79">
              <w:rPr>
                <w:rFonts w:ascii="Arial" w:hAnsi="Arial" w:cs="Arial"/>
                <w:color w:val="010205"/>
              </w:rPr>
              <w:t>.</w:t>
            </w:r>
          </w:p>
        </w:tc>
        <w:tc>
          <w:tcPr>
            <w:tcW w:w="1337" w:type="dxa"/>
            <w:tcBorders>
              <w:top w:val="single" w:sz="8" w:space="0" w:color="AEAEAE"/>
              <w:left w:val="single" w:sz="8" w:space="0" w:color="E0E0E0"/>
              <w:bottom w:val="nil"/>
              <w:right w:val="nil"/>
            </w:tcBorders>
            <w:shd w:val="clear" w:color="auto" w:fill="F9F9FB"/>
          </w:tcPr>
          <w:p w14:paraId="4010C7B9" w14:textId="77777777" w:rsidR="009C3C86" w:rsidRPr="00A12B79" w:rsidRDefault="009C3C86" w:rsidP="00027769">
            <w:pPr>
              <w:rPr>
                <w:rFonts w:ascii="Arial" w:hAnsi="Arial" w:cs="Arial"/>
                <w:color w:val="010205"/>
              </w:rPr>
            </w:pPr>
            <w:r w:rsidRPr="00A12B79">
              <w:rPr>
                <w:rFonts w:ascii="Arial" w:hAnsi="Arial" w:cs="Arial"/>
                <w:color w:val="010205"/>
              </w:rPr>
              <w:t>.</w:t>
            </w:r>
          </w:p>
        </w:tc>
      </w:tr>
      <w:tr w:rsidR="009C3C86" w:rsidRPr="00A12B79" w14:paraId="472DA8BA" w14:textId="77777777" w:rsidTr="009C3C86">
        <w:trPr>
          <w:cantSplit/>
        </w:trPr>
        <w:tc>
          <w:tcPr>
            <w:tcW w:w="1906" w:type="dxa"/>
            <w:vMerge w:val="restart"/>
            <w:tcBorders>
              <w:top w:val="single" w:sz="8" w:space="0" w:color="AEAEAE"/>
              <w:left w:val="nil"/>
              <w:bottom w:val="nil"/>
              <w:right w:val="nil"/>
            </w:tcBorders>
            <w:shd w:val="clear" w:color="auto" w:fill="E0E0E0"/>
          </w:tcPr>
          <w:p w14:paraId="29FFA9A7" w14:textId="77777777" w:rsidR="009C3C86" w:rsidRPr="00A12B79" w:rsidRDefault="009C3C86" w:rsidP="00027769">
            <w:pPr>
              <w:rPr>
                <w:rFonts w:ascii="Arial" w:hAnsi="Arial" w:cs="Arial"/>
                <w:color w:val="264A60"/>
              </w:rPr>
            </w:pPr>
            <w:r w:rsidRPr="00A12B79">
              <w:rPr>
                <w:rFonts w:ascii="Arial" w:hAnsi="Arial" w:cs="Arial"/>
                <w:color w:val="264A60"/>
              </w:rPr>
              <w:t>Residual</w:t>
            </w:r>
          </w:p>
        </w:tc>
        <w:tc>
          <w:tcPr>
            <w:tcW w:w="1368" w:type="dxa"/>
            <w:tcBorders>
              <w:top w:val="single" w:sz="8" w:space="0" w:color="AEAEAE"/>
              <w:left w:val="nil"/>
              <w:bottom w:val="single" w:sz="8" w:space="0" w:color="AEAEAE"/>
              <w:right w:val="nil"/>
            </w:tcBorders>
            <w:shd w:val="clear" w:color="auto" w:fill="E0E0E0"/>
          </w:tcPr>
          <w:p w14:paraId="501C21FE" w14:textId="77777777" w:rsidR="009C3C86" w:rsidRPr="00A12B79" w:rsidRDefault="009C3C86" w:rsidP="00027769">
            <w:pPr>
              <w:rPr>
                <w:rFonts w:ascii="Arial" w:hAnsi="Arial" w:cs="Arial"/>
                <w:color w:val="264A60"/>
              </w:rPr>
            </w:pPr>
            <w:r w:rsidRPr="00A12B79">
              <w:rPr>
                <w:rFonts w:ascii="Arial" w:hAnsi="Arial" w:cs="Arial"/>
                <w:color w:val="264A60"/>
              </w:rPr>
              <w:t>Minimum</w:t>
            </w:r>
          </w:p>
        </w:tc>
        <w:tc>
          <w:tcPr>
            <w:tcW w:w="1183" w:type="dxa"/>
            <w:tcBorders>
              <w:top w:val="single" w:sz="8" w:space="0" w:color="AEAEAE"/>
              <w:left w:val="nil"/>
              <w:bottom w:val="single" w:sz="8" w:space="0" w:color="AEAEAE"/>
              <w:right w:val="single" w:sz="8" w:space="0" w:color="E0E0E0"/>
            </w:tcBorders>
            <w:shd w:val="clear" w:color="auto" w:fill="F9F9FB"/>
          </w:tcPr>
          <w:p w14:paraId="6250DB32" w14:textId="77777777" w:rsidR="009C3C86" w:rsidRPr="00A12B79" w:rsidRDefault="009C3C86" w:rsidP="00027769">
            <w:pPr>
              <w:rPr>
                <w:rFonts w:ascii="Arial" w:hAnsi="Arial" w:cs="Arial"/>
                <w:color w:val="010205"/>
              </w:rPr>
            </w:pPr>
            <w:r w:rsidRPr="00A12B79">
              <w:rPr>
                <w:rFonts w:ascii="Arial" w:hAnsi="Arial" w:cs="Arial"/>
                <w:color w:val="010205"/>
              </w:rPr>
              <w:t>-119.09148</w:t>
            </w:r>
          </w:p>
        </w:tc>
        <w:tc>
          <w:tcPr>
            <w:tcW w:w="1076"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52F609C5" w14:textId="77777777" w:rsidR="009C3C86" w:rsidRPr="00A12B79" w:rsidRDefault="009C3C86" w:rsidP="00027769"/>
        </w:tc>
        <w:tc>
          <w:tcPr>
            <w:tcW w:w="104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43E1A707" w14:textId="77777777" w:rsidR="009C3C86" w:rsidRPr="00A12B79" w:rsidRDefault="009C3C86" w:rsidP="00027769"/>
        </w:tc>
        <w:tc>
          <w:tcPr>
            <w:tcW w:w="133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42D196ED" w14:textId="77777777" w:rsidR="009C3C86" w:rsidRPr="00A12B79" w:rsidRDefault="009C3C86" w:rsidP="00027769"/>
        </w:tc>
        <w:tc>
          <w:tcPr>
            <w:tcW w:w="1337" w:type="dxa"/>
            <w:tcBorders>
              <w:top w:val="single" w:sz="8" w:space="0" w:color="AEAEAE"/>
              <w:left w:val="single" w:sz="8" w:space="0" w:color="E0E0E0"/>
              <w:bottom w:val="single" w:sz="8" w:space="0" w:color="AEAEAE"/>
              <w:right w:val="nil"/>
            </w:tcBorders>
            <w:shd w:val="clear" w:color="auto" w:fill="F9F9FB"/>
            <w:vAlign w:val="center"/>
          </w:tcPr>
          <w:p w14:paraId="7D97E4B3" w14:textId="77777777" w:rsidR="009C3C86" w:rsidRPr="00A12B79" w:rsidRDefault="009C3C86" w:rsidP="00027769"/>
        </w:tc>
      </w:tr>
      <w:tr w:rsidR="009C3C86" w:rsidRPr="00A12B79" w14:paraId="385030EE" w14:textId="77777777" w:rsidTr="009C3C86">
        <w:trPr>
          <w:cantSplit/>
        </w:trPr>
        <w:tc>
          <w:tcPr>
            <w:tcW w:w="1906" w:type="dxa"/>
            <w:vMerge/>
            <w:tcBorders>
              <w:top w:val="single" w:sz="8" w:space="0" w:color="AEAEAE"/>
              <w:left w:val="nil"/>
              <w:bottom w:val="nil"/>
              <w:right w:val="nil"/>
            </w:tcBorders>
            <w:shd w:val="clear" w:color="auto" w:fill="E0E0E0"/>
          </w:tcPr>
          <w:p w14:paraId="3DAED198" w14:textId="77777777" w:rsidR="009C3C86" w:rsidRPr="00A12B79" w:rsidRDefault="009C3C86" w:rsidP="00027769"/>
        </w:tc>
        <w:tc>
          <w:tcPr>
            <w:tcW w:w="1368" w:type="dxa"/>
            <w:tcBorders>
              <w:top w:val="single" w:sz="8" w:space="0" w:color="AEAEAE"/>
              <w:left w:val="nil"/>
              <w:bottom w:val="single" w:sz="8" w:space="0" w:color="AEAEAE"/>
              <w:right w:val="nil"/>
            </w:tcBorders>
            <w:shd w:val="clear" w:color="auto" w:fill="E0E0E0"/>
          </w:tcPr>
          <w:p w14:paraId="76AB8EE1" w14:textId="77777777" w:rsidR="009C3C86" w:rsidRPr="00A12B79" w:rsidRDefault="009C3C86" w:rsidP="00027769">
            <w:pPr>
              <w:rPr>
                <w:rFonts w:ascii="Arial" w:hAnsi="Arial" w:cs="Arial"/>
                <w:color w:val="264A60"/>
              </w:rPr>
            </w:pPr>
            <w:r w:rsidRPr="00A12B79">
              <w:rPr>
                <w:rFonts w:ascii="Arial" w:hAnsi="Arial" w:cs="Arial"/>
                <w:color w:val="264A60"/>
              </w:rPr>
              <w:t>Maximum</w:t>
            </w:r>
          </w:p>
        </w:tc>
        <w:tc>
          <w:tcPr>
            <w:tcW w:w="1183" w:type="dxa"/>
            <w:tcBorders>
              <w:top w:val="single" w:sz="8" w:space="0" w:color="AEAEAE"/>
              <w:left w:val="nil"/>
              <w:bottom w:val="single" w:sz="8" w:space="0" w:color="AEAEAE"/>
              <w:right w:val="single" w:sz="8" w:space="0" w:color="E0E0E0"/>
            </w:tcBorders>
            <w:shd w:val="clear" w:color="auto" w:fill="F9F9FB"/>
          </w:tcPr>
          <w:p w14:paraId="2E9545B3" w14:textId="77777777" w:rsidR="009C3C86" w:rsidRPr="00A12B79" w:rsidRDefault="009C3C86" w:rsidP="00027769">
            <w:pPr>
              <w:rPr>
                <w:rFonts w:ascii="Arial" w:hAnsi="Arial" w:cs="Arial"/>
                <w:color w:val="010205"/>
              </w:rPr>
            </w:pPr>
            <w:r w:rsidRPr="00A12B79">
              <w:rPr>
                <w:rFonts w:ascii="Arial" w:hAnsi="Arial" w:cs="Arial"/>
                <w:color w:val="010205"/>
              </w:rPr>
              <w:t>868.15344</w:t>
            </w:r>
          </w:p>
        </w:tc>
        <w:tc>
          <w:tcPr>
            <w:tcW w:w="1076"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2F9FB686" w14:textId="77777777" w:rsidR="009C3C86" w:rsidRPr="00A12B79" w:rsidRDefault="009C3C86" w:rsidP="00027769"/>
        </w:tc>
        <w:tc>
          <w:tcPr>
            <w:tcW w:w="104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1D2A0BFF" w14:textId="77777777" w:rsidR="009C3C86" w:rsidRPr="00A12B79" w:rsidRDefault="009C3C86" w:rsidP="00027769"/>
        </w:tc>
        <w:tc>
          <w:tcPr>
            <w:tcW w:w="133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711AFCE4" w14:textId="77777777" w:rsidR="009C3C86" w:rsidRPr="00A12B79" w:rsidRDefault="009C3C86" w:rsidP="00027769"/>
        </w:tc>
        <w:tc>
          <w:tcPr>
            <w:tcW w:w="1337" w:type="dxa"/>
            <w:tcBorders>
              <w:top w:val="single" w:sz="8" w:space="0" w:color="AEAEAE"/>
              <w:left w:val="single" w:sz="8" w:space="0" w:color="E0E0E0"/>
              <w:bottom w:val="single" w:sz="8" w:space="0" w:color="AEAEAE"/>
              <w:right w:val="nil"/>
            </w:tcBorders>
            <w:shd w:val="clear" w:color="auto" w:fill="F9F9FB"/>
            <w:vAlign w:val="center"/>
          </w:tcPr>
          <w:p w14:paraId="3364AD11" w14:textId="77777777" w:rsidR="009C3C86" w:rsidRPr="00A12B79" w:rsidRDefault="009C3C86" w:rsidP="00027769"/>
        </w:tc>
      </w:tr>
      <w:tr w:rsidR="009C3C86" w:rsidRPr="00A12B79" w14:paraId="563F46EE" w14:textId="77777777" w:rsidTr="009C3C86">
        <w:trPr>
          <w:cantSplit/>
        </w:trPr>
        <w:tc>
          <w:tcPr>
            <w:tcW w:w="1906" w:type="dxa"/>
            <w:vMerge/>
            <w:tcBorders>
              <w:top w:val="single" w:sz="8" w:space="0" w:color="AEAEAE"/>
              <w:left w:val="nil"/>
              <w:bottom w:val="nil"/>
              <w:right w:val="nil"/>
            </w:tcBorders>
            <w:shd w:val="clear" w:color="auto" w:fill="E0E0E0"/>
          </w:tcPr>
          <w:p w14:paraId="7771E66F" w14:textId="77777777" w:rsidR="009C3C86" w:rsidRPr="00A12B79" w:rsidRDefault="009C3C86" w:rsidP="00027769"/>
        </w:tc>
        <w:tc>
          <w:tcPr>
            <w:tcW w:w="1368" w:type="dxa"/>
            <w:tcBorders>
              <w:top w:val="single" w:sz="8" w:space="0" w:color="AEAEAE"/>
              <w:left w:val="nil"/>
              <w:bottom w:val="single" w:sz="8" w:space="0" w:color="AEAEAE"/>
              <w:right w:val="nil"/>
            </w:tcBorders>
            <w:shd w:val="clear" w:color="auto" w:fill="E0E0E0"/>
          </w:tcPr>
          <w:p w14:paraId="67A23791" w14:textId="77777777" w:rsidR="009C3C86" w:rsidRPr="00A12B79" w:rsidRDefault="009C3C86" w:rsidP="00027769">
            <w:pPr>
              <w:rPr>
                <w:rFonts w:ascii="Arial" w:hAnsi="Arial" w:cs="Arial"/>
                <w:color w:val="264A60"/>
              </w:rPr>
            </w:pPr>
            <w:r w:rsidRPr="00A12B79">
              <w:rPr>
                <w:rFonts w:ascii="Arial" w:hAnsi="Arial" w:cs="Arial"/>
                <w:color w:val="264A60"/>
              </w:rPr>
              <w:t>Mean</w:t>
            </w:r>
          </w:p>
        </w:tc>
        <w:tc>
          <w:tcPr>
            <w:tcW w:w="1183" w:type="dxa"/>
            <w:tcBorders>
              <w:top w:val="single" w:sz="8" w:space="0" w:color="AEAEAE"/>
              <w:left w:val="nil"/>
              <w:bottom w:val="single" w:sz="8" w:space="0" w:color="AEAEAE"/>
              <w:right w:val="single" w:sz="8" w:space="0" w:color="E0E0E0"/>
            </w:tcBorders>
            <w:shd w:val="clear" w:color="auto" w:fill="F9F9FB"/>
          </w:tcPr>
          <w:p w14:paraId="553AB0A2" w14:textId="77777777" w:rsidR="009C3C86" w:rsidRPr="00A12B79" w:rsidRDefault="009C3C86" w:rsidP="00027769">
            <w:pPr>
              <w:rPr>
                <w:rFonts w:ascii="Arial" w:hAnsi="Arial" w:cs="Arial"/>
                <w:color w:val="010205"/>
              </w:rPr>
            </w:pPr>
            <w:r w:rsidRPr="00A12B79">
              <w:rPr>
                <w:rFonts w:ascii="Arial" w:hAnsi="Arial" w:cs="Arial"/>
                <w:color w:val="010205"/>
              </w:rPr>
              <w:t>.00000</w:t>
            </w:r>
          </w:p>
        </w:tc>
        <w:tc>
          <w:tcPr>
            <w:tcW w:w="1076" w:type="dxa"/>
            <w:tcBorders>
              <w:top w:val="single" w:sz="8" w:space="0" w:color="AEAEAE"/>
              <w:left w:val="single" w:sz="8" w:space="0" w:color="E0E0E0"/>
              <w:bottom w:val="single" w:sz="8" w:space="0" w:color="AEAEAE"/>
              <w:right w:val="single" w:sz="8" w:space="0" w:color="E0E0E0"/>
            </w:tcBorders>
            <w:shd w:val="clear" w:color="auto" w:fill="F9F9FB"/>
          </w:tcPr>
          <w:p w14:paraId="47971376" w14:textId="77777777" w:rsidR="009C3C86" w:rsidRPr="00A12B79" w:rsidRDefault="009C3C86" w:rsidP="00027769">
            <w:pPr>
              <w:rPr>
                <w:rFonts w:ascii="Arial" w:hAnsi="Arial" w:cs="Arial"/>
                <w:color w:val="010205"/>
              </w:rPr>
            </w:pPr>
            <w:r w:rsidRPr="00A12B79">
              <w:rPr>
                <w:rFonts w:ascii="Arial" w:hAnsi="Arial" w:cs="Arial"/>
                <w:color w:val="010205"/>
              </w:rPr>
              <w:t>.00000</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09D28331" w14:textId="77777777" w:rsidR="009C3C86" w:rsidRPr="00A12B79" w:rsidRDefault="009C3C86" w:rsidP="00027769">
            <w:pPr>
              <w:rPr>
                <w:rFonts w:ascii="Arial" w:hAnsi="Arial" w:cs="Arial"/>
                <w:color w:val="010205"/>
              </w:rPr>
            </w:pPr>
            <w:r w:rsidRPr="00A12B79">
              <w:rPr>
                <w:rFonts w:ascii="Arial" w:hAnsi="Arial" w:cs="Arial"/>
                <w:color w:val="010205"/>
              </w:rPr>
              <w:t>.00000</w:t>
            </w:r>
          </w:p>
        </w:tc>
        <w:tc>
          <w:tcPr>
            <w:tcW w:w="1337" w:type="dxa"/>
            <w:tcBorders>
              <w:top w:val="single" w:sz="8" w:space="0" w:color="AEAEAE"/>
              <w:left w:val="single" w:sz="8" w:space="0" w:color="E0E0E0"/>
              <w:bottom w:val="single" w:sz="8" w:space="0" w:color="AEAEAE"/>
              <w:right w:val="single" w:sz="8" w:space="0" w:color="E0E0E0"/>
            </w:tcBorders>
            <w:shd w:val="clear" w:color="auto" w:fill="F9F9FB"/>
          </w:tcPr>
          <w:p w14:paraId="6BFFA2CC" w14:textId="77777777" w:rsidR="009C3C86" w:rsidRPr="00A12B79" w:rsidRDefault="009C3C86" w:rsidP="00027769">
            <w:pPr>
              <w:rPr>
                <w:rFonts w:ascii="Arial" w:hAnsi="Arial" w:cs="Arial"/>
                <w:color w:val="010205"/>
              </w:rPr>
            </w:pPr>
            <w:r w:rsidRPr="00A12B79">
              <w:rPr>
                <w:rFonts w:ascii="Arial" w:hAnsi="Arial" w:cs="Arial"/>
                <w:color w:val="010205"/>
              </w:rPr>
              <w:t>.</w:t>
            </w:r>
          </w:p>
        </w:tc>
        <w:tc>
          <w:tcPr>
            <w:tcW w:w="1337" w:type="dxa"/>
            <w:tcBorders>
              <w:top w:val="single" w:sz="8" w:space="0" w:color="AEAEAE"/>
              <w:left w:val="single" w:sz="8" w:space="0" w:color="E0E0E0"/>
              <w:bottom w:val="single" w:sz="8" w:space="0" w:color="AEAEAE"/>
              <w:right w:val="nil"/>
            </w:tcBorders>
            <w:shd w:val="clear" w:color="auto" w:fill="F9F9FB"/>
          </w:tcPr>
          <w:p w14:paraId="49156E8F" w14:textId="77777777" w:rsidR="009C3C86" w:rsidRPr="00A12B79" w:rsidRDefault="009C3C86" w:rsidP="00027769">
            <w:pPr>
              <w:rPr>
                <w:rFonts w:ascii="Arial" w:hAnsi="Arial" w:cs="Arial"/>
                <w:color w:val="010205"/>
              </w:rPr>
            </w:pPr>
            <w:r w:rsidRPr="00A12B79">
              <w:rPr>
                <w:rFonts w:ascii="Arial" w:hAnsi="Arial" w:cs="Arial"/>
                <w:color w:val="010205"/>
              </w:rPr>
              <w:t>.</w:t>
            </w:r>
          </w:p>
        </w:tc>
      </w:tr>
      <w:tr w:rsidR="009C3C86" w:rsidRPr="00A12B79" w14:paraId="157573AC" w14:textId="77777777" w:rsidTr="009C3C86">
        <w:trPr>
          <w:cantSplit/>
        </w:trPr>
        <w:tc>
          <w:tcPr>
            <w:tcW w:w="1906" w:type="dxa"/>
            <w:vMerge/>
            <w:tcBorders>
              <w:top w:val="single" w:sz="8" w:space="0" w:color="AEAEAE"/>
              <w:left w:val="nil"/>
              <w:bottom w:val="nil"/>
              <w:right w:val="nil"/>
            </w:tcBorders>
            <w:shd w:val="clear" w:color="auto" w:fill="E0E0E0"/>
          </w:tcPr>
          <w:p w14:paraId="5490F047" w14:textId="77777777" w:rsidR="009C3C86" w:rsidRPr="00A12B79" w:rsidRDefault="009C3C86" w:rsidP="00027769">
            <w:pPr>
              <w:rPr>
                <w:rFonts w:ascii="Arial" w:hAnsi="Arial" w:cs="Arial"/>
                <w:color w:val="010205"/>
              </w:rPr>
            </w:pPr>
          </w:p>
        </w:tc>
        <w:tc>
          <w:tcPr>
            <w:tcW w:w="1368" w:type="dxa"/>
            <w:tcBorders>
              <w:top w:val="single" w:sz="8" w:space="0" w:color="AEAEAE"/>
              <w:left w:val="nil"/>
              <w:bottom w:val="single" w:sz="8" w:space="0" w:color="AEAEAE"/>
              <w:right w:val="nil"/>
            </w:tcBorders>
            <w:shd w:val="clear" w:color="auto" w:fill="E0E0E0"/>
          </w:tcPr>
          <w:p w14:paraId="575EA923" w14:textId="77777777" w:rsidR="009C3C86" w:rsidRPr="00A12B79" w:rsidRDefault="009C3C86" w:rsidP="00027769">
            <w:pPr>
              <w:rPr>
                <w:rFonts w:ascii="Arial" w:hAnsi="Arial" w:cs="Arial"/>
                <w:color w:val="264A60"/>
              </w:rPr>
            </w:pPr>
            <w:r w:rsidRPr="00A12B79">
              <w:rPr>
                <w:rFonts w:ascii="Arial" w:hAnsi="Arial" w:cs="Arial"/>
                <w:color w:val="264A60"/>
              </w:rPr>
              <w:t>Std. Deviation</w:t>
            </w:r>
          </w:p>
        </w:tc>
        <w:tc>
          <w:tcPr>
            <w:tcW w:w="1183" w:type="dxa"/>
            <w:tcBorders>
              <w:top w:val="single" w:sz="8" w:space="0" w:color="AEAEAE"/>
              <w:left w:val="nil"/>
              <w:bottom w:val="single" w:sz="8" w:space="0" w:color="AEAEAE"/>
              <w:right w:val="single" w:sz="8" w:space="0" w:color="E0E0E0"/>
            </w:tcBorders>
            <w:shd w:val="clear" w:color="auto" w:fill="F9F9FB"/>
          </w:tcPr>
          <w:p w14:paraId="658B7948" w14:textId="77777777" w:rsidR="009C3C86" w:rsidRPr="00A12B79" w:rsidRDefault="009C3C86" w:rsidP="00027769">
            <w:pPr>
              <w:rPr>
                <w:rFonts w:ascii="Arial" w:hAnsi="Arial" w:cs="Arial"/>
                <w:color w:val="010205"/>
              </w:rPr>
            </w:pPr>
            <w:r w:rsidRPr="00A12B79">
              <w:rPr>
                <w:rFonts w:ascii="Arial" w:hAnsi="Arial" w:cs="Arial"/>
                <w:color w:val="010205"/>
              </w:rPr>
              <w:t>132.45843</w:t>
            </w:r>
          </w:p>
        </w:tc>
        <w:tc>
          <w:tcPr>
            <w:tcW w:w="1076" w:type="dxa"/>
            <w:tcBorders>
              <w:top w:val="single" w:sz="8" w:space="0" w:color="AEAEAE"/>
              <w:left w:val="single" w:sz="8" w:space="0" w:color="E0E0E0"/>
              <w:bottom w:val="single" w:sz="8" w:space="0" w:color="AEAEAE"/>
              <w:right w:val="single" w:sz="8" w:space="0" w:color="E0E0E0"/>
            </w:tcBorders>
            <w:shd w:val="clear" w:color="auto" w:fill="F9F9FB"/>
          </w:tcPr>
          <w:p w14:paraId="32B8A9A1" w14:textId="77777777" w:rsidR="009C3C86" w:rsidRPr="00A12B79" w:rsidRDefault="009C3C86" w:rsidP="00027769">
            <w:pPr>
              <w:rPr>
                <w:rFonts w:ascii="Arial" w:hAnsi="Arial" w:cs="Arial"/>
                <w:color w:val="010205"/>
              </w:rPr>
            </w:pPr>
            <w:r w:rsidRPr="00A12B79">
              <w:rPr>
                <w:rFonts w:ascii="Arial" w:hAnsi="Arial" w:cs="Arial"/>
                <w:color w:val="010205"/>
              </w:rPr>
              <w:t>-15.17647</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71506398" w14:textId="77777777" w:rsidR="009C3C86" w:rsidRPr="00A12B79" w:rsidRDefault="009C3C86" w:rsidP="00027769">
            <w:pPr>
              <w:rPr>
                <w:rFonts w:ascii="Arial" w:hAnsi="Arial" w:cs="Arial"/>
                <w:color w:val="010205"/>
              </w:rPr>
            </w:pPr>
            <w:r w:rsidRPr="00A12B79">
              <w:rPr>
                <w:rFonts w:ascii="Arial" w:hAnsi="Arial" w:cs="Arial"/>
                <w:color w:val="010205"/>
              </w:rPr>
              <w:t>48.39407</w:t>
            </w:r>
          </w:p>
        </w:tc>
        <w:tc>
          <w:tcPr>
            <w:tcW w:w="1337" w:type="dxa"/>
            <w:tcBorders>
              <w:top w:val="single" w:sz="8" w:space="0" w:color="AEAEAE"/>
              <w:left w:val="single" w:sz="8" w:space="0" w:color="E0E0E0"/>
              <w:bottom w:val="single" w:sz="8" w:space="0" w:color="AEAEAE"/>
              <w:right w:val="single" w:sz="8" w:space="0" w:color="E0E0E0"/>
            </w:tcBorders>
            <w:shd w:val="clear" w:color="auto" w:fill="F9F9FB"/>
          </w:tcPr>
          <w:p w14:paraId="3409C3D1" w14:textId="77777777" w:rsidR="009C3C86" w:rsidRPr="00A12B79" w:rsidRDefault="009C3C86" w:rsidP="00027769">
            <w:pPr>
              <w:rPr>
                <w:rFonts w:ascii="Arial" w:hAnsi="Arial" w:cs="Arial"/>
                <w:color w:val="010205"/>
              </w:rPr>
            </w:pPr>
            <w:r w:rsidRPr="00A12B79">
              <w:rPr>
                <w:rFonts w:ascii="Arial" w:hAnsi="Arial" w:cs="Arial"/>
                <w:color w:val="010205"/>
              </w:rPr>
              <w:t>18.11280</w:t>
            </w:r>
          </w:p>
        </w:tc>
        <w:tc>
          <w:tcPr>
            <w:tcW w:w="1337" w:type="dxa"/>
            <w:tcBorders>
              <w:top w:val="single" w:sz="8" w:space="0" w:color="AEAEAE"/>
              <w:left w:val="single" w:sz="8" w:space="0" w:color="E0E0E0"/>
              <w:bottom w:val="single" w:sz="8" w:space="0" w:color="AEAEAE"/>
              <w:right w:val="nil"/>
            </w:tcBorders>
            <w:shd w:val="clear" w:color="auto" w:fill="F9F9FB"/>
          </w:tcPr>
          <w:p w14:paraId="75A9FDAB" w14:textId="77777777" w:rsidR="009C3C86" w:rsidRPr="00A12B79" w:rsidRDefault="009C3C86" w:rsidP="00027769">
            <w:pPr>
              <w:rPr>
                <w:rFonts w:ascii="Arial" w:hAnsi="Arial" w:cs="Arial"/>
                <w:color w:val="010205"/>
              </w:rPr>
            </w:pPr>
            <w:r w:rsidRPr="00A12B79">
              <w:rPr>
                <w:rFonts w:ascii="Arial" w:hAnsi="Arial" w:cs="Arial"/>
                <w:color w:val="010205"/>
              </w:rPr>
              <w:t>179.48360</w:t>
            </w:r>
          </w:p>
        </w:tc>
      </w:tr>
      <w:tr w:rsidR="009C3C86" w:rsidRPr="00A12B79" w14:paraId="78EF17E5" w14:textId="77777777" w:rsidTr="009C3C86">
        <w:trPr>
          <w:cantSplit/>
        </w:trPr>
        <w:tc>
          <w:tcPr>
            <w:tcW w:w="1906" w:type="dxa"/>
            <w:vMerge/>
            <w:tcBorders>
              <w:top w:val="single" w:sz="8" w:space="0" w:color="AEAEAE"/>
              <w:left w:val="nil"/>
              <w:bottom w:val="nil"/>
              <w:right w:val="nil"/>
            </w:tcBorders>
            <w:shd w:val="clear" w:color="auto" w:fill="E0E0E0"/>
          </w:tcPr>
          <w:p w14:paraId="55E34C59" w14:textId="77777777" w:rsidR="009C3C86" w:rsidRPr="00A12B79" w:rsidRDefault="009C3C86" w:rsidP="00027769">
            <w:pPr>
              <w:rPr>
                <w:rFonts w:ascii="Arial" w:hAnsi="Arial" w:cs="Arial"/>
                <w:color w:val="010205"/>
              </w:rPr>
            </w:pPr>
          </w:p>
        </w:tc>
        <w:tc>
          <w:tcPr>
            <w:tcW w:w="1368" w:type="dxa"/>
            <w:tcBorders>
              <w:top w:val="single" w:sz="8" w:space="0" w:color="AEAEAE"/>
              <w:left w:val="nil"/>
              <w:bottom w:val="nil"/>
              <w:right w:val="nil"/>
            </w:tcBorders>
            <w:shd w:val="clear" w:color="auto" w:fill="E0E0E0"/>
          </w:tcPr>
          <w:p w14:paraId="0BF4DB63" w14:textId="77777777" w:rsidR="009C3C86" w:rsidRPr="00A12B79" w:rsidRDefault="009C3C86" w:rsidP="00027769">
            <w:pPr>
              <w:rPr>
                <w:rFonts w:ascii="Arial" w:hAnsi="Arial" w:cs="Arial"/>
                <w:color w:val="264A60"/>
              </w:rPr>
            </w:pPr>
            <w:r w:rsidRPr="00A12B79">
              <w:rPr>
                <w:rFonts w:ascii="Arial" w:hAnsi="Arial" w:cs="Arial"/>
                <w:color w:val="264A60"/>
              </w:rPr>
              <w:t>N</w:t>
            </w:r>
          </w:p>
        </w:tc>
        <w:tc>
          <w:tcPr>
            <w:tcW w:w="1183" w:type="dxa"/>
            <w:tcBorders>
              <w:top w:val="single" w:sz="8" w:space="0" w:color="AEAEAE"/>
              <w:left w:val="nil"/>
              <w:bottom w:val="nil"/>
              <w:right w:val="single" w:sz="8" w:space="0" w:color="E0E0E0"/>
            </w:tcBorders>
            <w:shd w:val="clear" w:color="auto" w:fill="F9F9FB"/>
          </w:tcPr>
          <w:p w14:paraId="4B910B67" w14:textId="77777777" w:rsidR="009C3C86" w:rsidRPr="00A12B79" w:rsidRDefault="009C3C86" w:rsidP="00027769">
            <w:pPr>
              <w:rPr>
                <w:rFonts w:ascii="Arial" w:hAnsi="Arial" w:cs="Arial"/>
                <w:color w:val="010205"/>
              </w:rPr>
            </w:pPr>
            <w:r w:rsidRPr="00A12B79">
              <w:rPr>
                <w:rFonts w:ascii="Arial" w:hAnsi="Arial" w:cs="Arial"/>
                <w:color w:val="010205"/>
              </w:rPr>
              <w:t>86</w:t>
            </w:r>
          </w:p>
        </w:tc>
        <w:tc>
          <w:tcPr>
            <w:tcW w:w="1076" w:type="dxa"/>
            <w:tcBorders>
              <w:top w:val="single" w:sz="8" w:space="0" w:color="AEAEAE"/>
              <w:left w:val="single" w:sz="8" w:space="0" w:color="E0E0E0"/>
              <w:bottom w:val="nil"/>
              <w:right w:val="single" w:sz="8" w:space="0" w:color="E0E0E0"/>
            </w:tcBorders>
            <w:shd w:val="clear" w:color="auto" w:fill="F9F9FB"/>
          </w:tcPr>
          <w:p w14:paraId="166F4F3A" w14:textId="77777777" w:rsidR="009C3C86" w:rsidRPr="00A12B79" w:rsidRDefault="009C3C86" w:rsidP="00027769">
            <w:pPr>
              <w:rPr>
                <w:rFonts w:ascii="Arial" w:hAnsi="Arial" w:cs="Arial"/>
                <w:color w:val="010205"/>
              </w:rPr>
            </w:pPr>
            <w:r w:rsidRPr="00A12B79">
              <w:rPr>
                <w:rFonts w:ascii="Arial" w:hAnsi="Arial" w:cs="Arial"/>
                <w:color w:val="010205"/>
              </w:rPr>
              <w:t>0</w:t>
            </w:r>
          </w:p>
        </w:tc>
        <w:tc>
          <w:tcPr>
            <w:tcW w:w="1045" w:type="dxa"/>
            <w:tcBorders>
              <w:top w:val="single" w:sz="8" w:space="0" w:color="AEAEAE"/>
              <w:left w:val="single" w:sz="8" w:space="0" w:color="E0E0E0"/>
              <w:bottom w:val="nil"/>
              <w:right w:val="single" w:sz="8" w:space="0" w:color="E0E0E0"/>
            </w:tcBorders>
            <w:shd w:val="clear" w:color="auto" w:fill="F9F9FB"/>
          </w:tcPr>
          <w:p w14:paraId="473F319F" w14:textId="77777777" w:rsidR="009C3C86" w:rsidRPr="00A12B79" w:rsidRDefault="009C3C86" w:rsidP="00027769">
            <w:pPr>
              <w:rPr>
                <w:rFonts w:ascii="Arial" w:hAnsi="Arial" w:cs="Arial"/>
                <w:color w:val="010205"/>
              </w:rPr>
            </w:pPr>
            <w:r w:rsidRPr="00A12B79">
              <w:rPr>
                <w:rFonts w:ascii="Arial" w:hAnsi="Arial" w:cs="Arial"/>
                <w:color w:val="010205"/>
              </w:rPr>
              <w:t>0</w:t>
            </w:r>
          </w:p>
        </w:tc>
        <w:tc>
          <w:tcPr>
            <w:tcW w:w="1337" w:type="dxa"/>
            <w:tcBorders>
              <w:top w:val="single" w:sz="8" w:space="0" w:color="AEAEAE"/>
              <w:left w:val="single" w:sz="8" w:space="0" w:color="E0E0E0"/>
              <w:bottom w:val="nil"/>
              <w:right w:val="single" w:sz="8" w:space="0" w:color="E0E0E0"/>
            </w:tcBorders>
            <w:shd w:val="clear" w:color="auto" w:fill="F9F9FB"/>
          </w:tcPr>
          <w:p w14:paraId="5E5F7A86" w14:textId="77777777" w:rsidR="009C3C86" w:rsidRPr="00A12B79" w:rsidRDefault="009C3C86" w:rsidP="00027769">
            <w:pPr>
              <w:rPr>
                <w:rFonts w:ascii="Arial" w:hAnsi="Arial" w:cs="Arial"/>
                <w:color w:val="010205"/>
              </w:rPr>
            </w:pPr>
            <w:r w:rsidRPr="00A12B79">
              <w:rPr>
                <w:rFonts w:ascii="Arial" w:hAnsi="Arial" w:cs="Arial"/>
                <w:color w:val="010205"/>
              </w:rPr>
              <w:t>.</w:t>
            </w:r>
          </w:p>
        </w:tc>
        <w:tc>
          <w:tcPr>
            <w:tcW w:w="1337" w:type="dxa"/>
            <w:tcBorders>
              <w:top w:val="single" w:sz="8" w:space="0" w:color="AEAEAE"/>
              <w:left w:val="single" w:sz="8" w:space="0" w:color="E0E0E0"/>
              <w:bottom w:val="nil"/>
              <w:right w:val="nil"/>
            </w:tcBorders>
            <w:shd w:val="clear" w:color="auto" w:fill="F9F9FB"/>
          </w:tcPr>
          <w:p w14:paraId="0FEC57C0" w14:textId="77777777" w:rsidR="009C3C86" w:rsidRPr="00A12B79" w:rsidRDefault="009C3C86" w:rsidP="00027769">
            <w:pPr>
              <w:rPr>
                <w:rFonts w:ascii="Arial" w:hAnsi="Arial" w:cs="Arial"/>
                <w:color w:val="010205"/>
              </w:rPr>
            </w:pPr>
            <w:r w:rsidRPr="00A12B79">
              <w:rPr>
                <w:rFonts w:ascii="Arial" w:hAnsi="Arial" w:cs="Arial"/>
                <w:color w:val="010205"/>
              </w:rPr>
              <w:t>.</w:t>
            </w:r>
          </w:p>
        </w:tc>
      </w:tr>
      <w:tr w:rsidR="009C3C86" w:rsidRPr="00A12B79" w14:paraId="4E8D7140" w14:textId="77777777" w:rsidTr="009C3C86">
        <w:trPr>
          <w:cantSplit/>
        </w:trPr>
        <w:tc>
          <w:tcPr>
            <w:tcW w:w="1906" w:type="dxa"/>
            <w:vMerge w:val="restart"/>
            <w:tcBorders>
              <w:top w:val="single" w:sz="8" w:space="0" w:color="AEAEAE"/>
              <w:left w:val="nil"/>
              <w:bottom w:val="nil"/>
              <w:right w:val="nil"/>
            </w:tcBorders>
            <w:shd w:val="clear" w:color="auto" w:fill="E0E0E0"/>
          </w:tcPr>
          <w:p w14:paraId="0774A069" w14:textId="77777777" w:rsidR="009C3C86" w:rsidRPr="00A12B79" w:rsidRDefault="009C3C86" w:rsidP="00027769">
            <w:pPr>
              <w:rPr>
                <w:rFonts w:ascii="Arial" w:hAnsi="Arial" w:cs="Arial"/>
                <w:color w:val="264A60"/>
              </w:rPr>
            </w:pPr>
            <w:r w:rsidRPr="00A12B79">
              <w:rPr>
                <w:rFonts w:ascii="Arial" w:hAnsi="Arial" w:cs="Arial"/>
                <w:color w:val="264A60"/>
              </w:rPr>
              <w:t>Std. Predicted Value</w:t>
            </w:r>
          </w:p>
        </w:tc>
        <w:tc>
          <w:tcPr>
            <w:tcW w:w="1368" w:type="dxa"/>
            <w:tcBorders>
              <w:top w:val="single" w:sz="8" w:space="0" w:color="AEAEAE"/>
              <w:left w:val="nil"/>
              <w:bottom w:val="single" w:sz="8" w:space="0" w:color="AEAEAE"/>
              <w:right w:val="nil"/>
            </w:tcBorders>
            <w:shd w:val="clear" w:color="auto" w:fill="E0E0E0"/>
          </w:tcPr>
          <w:p w14:paraId="203A8522" w14:textId="77777777" w:rsidR="009C3C86" w:rsidRPr="00A12B79" w:rsidRDefault="009C3C86" w:rsidP="00027769">
            <w:pPr>
              <w:rPr>
                <w:rFonts w:ascii="Arial" w:hAnsi="Arial" w:cs="Arial"/>
                <w:color w:val="264A60"/>
              </w:rPr>
            </w:pPr>
            <w:r w:rsidRPr="00A12B79">
              <w:rPr>
                <w:rFonts w:ascii="Arial" w:hAnsi="Arial" w:cs="Arial"/>
                <w:color w:val="264A60"/>
              </w:rPr>
              <w:t>Minimum</w:t>
            </w:r>
          </w:p>
        </w:tc>
        <w:tc>
          <w:tcPr>
            <w:tcW w:w="1183" w:type="dxa"/>
            <w:tcBorders>
              <w:top w:val="single" w:sz="8" w:space="0" w:color="AEAEAE"/>
              <w:left w:val="nil"/>
              <w:bottom w:val="single" w:sz="8" w:space="0" w:color="AEAEAE"/>
              <w:right w:val="single" w:sz="8" w:space="0" w:color="E0E0E0"/>
            </w:tcBorders>
            <w:shd w:val="clear" w:color="auto" w:fill="F9F9FB"/>
          </w:tcPr>
          <w:p w14:paraId="00122A8B" w14:textId="77777777" w:rsidR="009C3C86" w:rsidRPr="00A12B79" w:rsidRDefault="009C3C86" w:rsidP="00027769">
            <w:pPr>
              <w:rPr>
                <w:rFonts w:ascii="Arial" w:hAnsi="Arial" w:cs="Arial"/>
                <w:color w:val="010205"/>
              </w:rPr>
            </w:pPr>
            <w:r w:rsidRPr="00A12B79">
              <w:rPr>
                <w:rFonts w:ascii="Arial" w:hAnsi="Arial" w:cs="Arial"/>
                <w:color w:val="010205"/>
              </w:rPr>
              <w:t>-2.532</w:t>
            </w:r>
          </w:p>
        </w:tc>
        <w:tc>
          <w:tcPr>
            <w:tcW w:w="1076"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53F6CB05" w14:textId="77777777" w:rsidR="009C3C86" w:rsidRPr="00A12B79" w:rsidRDefault="009C3C86" w:rsidP="00027769"/>
        </w:tc>
        <w:tc>
          <w:tcPr>
            <w:tcW w:w="104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3DD76552" w14:textId="77777777" w:rsidR="009C3C86" w:rsidRPr="00A12B79" w:rsidRDefault="009C3C86" w:rsidP="00027769"/>
        </w:tc>
        <w:tc>
          <w:tcPr>
            <w:tcW w:w="133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0B56CE7D" w14:textId="77777777" w:rsidR="009C3C86" w:rsidRPr="00A12B79" w:rsidRDefault="009C3C86" w:rsidP="00027769"/>
        </w:tc>
        <w:tc>
          <w:tcPr>
            <w:tcW w:w="1337" w:type="dxa"/>
            <w:tcBorders>
              <w:top w:val="single" w:sz="8" w:space="0" w:color="AEAEAE"/>
              <w:left w:val="single" w:sz="8" w:space="0" w:color="E0E0E0"/>
              <w:bottom w:val="single" w:sz="8" w:space="0" w:color="AEAEAE"/>
              <w:right w:val="nil"/>
            </w:tcBorders>
            <w:shd w:val="clear" w:color="auto" w:fill="F9F9FB"/>
            <w:vAlign w:val="center"/>
          </w:tcPr>
          <w:p w14:paraId="1C3C40C4" w14:textId="77777777" w:rsidR="009C3C86" w:rsidRPr="00A12B79" w:rsidRDefault="009C3C86" w:rsidP="00027769"/>
        </w:tc>
      </w:tr>
      <w:tr w:rsidR="009C3C86" w:rsidRPr="00A12B79" w14:paraId="373AD15E" w14:textId="77777777" w:rsidTr="009C3C86">
        <w:trPr>
          <w:cantSplit/>
        </w:trPr>
        <w:tc>
          <w:tcPr>
            <w:tcW w:w="1906" w:type="dxa"/>
            <w:vMerge/>
            <w:tcBorders>
              <w:top w:val="single" w:sz="8" w:space="0" w:color="AEAEAE"/>
              <w:left w:val="nil"/>
              <w:bottom w:val="nil"/>
              <w:right w:val="nil"/>
            </w:tcBorders>
            <w:shd w:val="clear" w:color="auto" w:fill="E0E0E0"/>
          </w:tcPr>
          <w:p w14:paraId="233E7A1F" w14:textId="77777777" w:rsidR="009C3C86" w:rsidRPr="00A12B79" w:rsidRDefault="009C3C86" w:rsidP="00027769"/>
        </w:tc>
        <w:tc>
          <w:tcPr>
            <w:tcW w:w="1368" w:type="dxa"/>
            <w:tcBorders>
              <w:top w:val="single" w:sz="8" w:space="0" w:color="AEAEAE"/>
              <w:left w:val="nil"/>
              <w:bottom w:val="single" w:sz="8" w:space="0" w:color="AEAEAE"/>
              <w:right w:val="nil"/>
            </w:tcBorders>
            <w:shd w:val="clear" w:color="auto" w:fill="E0E0E0"/>
          </w:tcPr>
          <w:p w14:paraId="2EDFB0E2" w14:textId="77777777" w:rsidR="009C3C86" w:rsidRPr="00A12B79" w:rsidRDefault="009C3C86" w:rsidP="00027769">
            <w:pPr>
              <w:rPr>
                <w:rFonts w:ascii="Arial" w:hAnsi="Arial" w:cs="Arial"/>
                <w:color w:val="264A60"/>
              </w:rPr>
            </w:pPr>
            <w:r w:rsidRPr="00A12B79">
              <w:rPr>
                <w:rFonts w:ascii="Arial" w:hAnsi="Arial" w:cs="Arial"/>
                <w:color w:val="264A60"/>
              </w:rPr>
              <w:t>Maximum</w:t>
            </w:r>
          </w:p>
        </w:tc>
        <w:tc>
          <w:tcPr>
            <w:tcW w:w="1183" w:type="dxa"/>
            <w:tcBorders>
              <w:top w:val="single" w:sz="8" w:space="0" w:color="AEAEAE"/>
              <w:left w:val="nil"/>
              <w:bottom w:val="single" w:sz="8" w:space="0" w:color="AEAEAE"/>
              <w:right w:val="single" w:sz="8" w:space="0" w:color="E0E0E0"/>
            </w:tcBorders>
            <w:shd w:val="clear" w:color="auto" w:fill="F9F9FB"/>
          </w:tcPr>
          <w:p w14:paraId="56919BBA" w14:textId="77777777" w:rsidR="009C3C86" w:rsidRPr="00A12B79" w:rsidRDefault="009C3C86" w:rsidP="00027769">
            <w:pPr>
              <w:rPr>
                <w:rFonts w:ascii="Arial" w:hAnsi="Arial" w:cs="Arial"/>
                <w:color w:val="010205"/>
              </w:rPr>
            </w:pPr>
            <w:r w:rsidRPr="00A12B79">
              <w:rPr>
                <w:rFonts w:ascii="Arial" w:hAnsi="Arial" w:cs="Arial"/>
                <w:color w:val="010205"/>
              </w:rPr>
              <w:t>2.280</w:t>
            </w:r>
          </w:p>
        </w:tc>
        <w:tc>
          <w:tcPr>
            <w:tcW w:w="1076"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2B100F4E" w14:textId="77777777" w:rsidR="009C3C86" w:rsidRPr="00A12B79" w:rsidRDefault="009C3C86" w:rsidP="00027769"/>
        </w:tc>
        <w:tc>
          <w:tcPr>
            <w:tcW w:w="104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2227E9EC" w14:textId="77777777" w:rsidR="009C3C86" w:rsidRPr="00A12B79" w:rsidRDefault="009C3C86" w:rsidP="00027769"/>
        </w:tc>
        <w:tc>
          <w:tcPr>
            <w:tcW w:w="133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7045BA41" w14:textId="77777777" w:rsidR="009C3C86" w:rsidRPr="00A12B79" w:rsidRDefault="009C3C86" w:rsidP="00027769"/>
        </w:tc>
        <w:tc>
          <w:tcPr>
            <w:tcW w:w="1337" w:type="dxa"/>
            <w:tcBorders>
              <w:top w:val="single" w:sz="8" w:space="0" w:color="AEAEAE"/>
              <w:left w:val="single" w:sz="8" w:space="0" w:color="E0E0E0"/>
              <w:bottom w:val="single" w:sz="8" w:space="0" w:color="AEAEAE"/>
              <w:right w:val="nil"/>
            </w:tcBorders>
            <w:shd w:val="clear" w:color="auto" w:fill="F9F9FB"/>
            <w:vAlign w:val="center"/>
          </w:tcPr>
          <w:p w14:paraId="3E07404E" w14:textId="77777777" w:rsidR="009C3C86" w:rsidRPr="00A12B79" w:rsidRDefault="009C3C86" w:rsidP="00027769"/>
        </w:tc>
      </w:tr>
      <w:tr w:rsidR="009C3C86" w:rsidRPr="00A12B79" w14:paraId="00A1E31A" w14:textId="77777777" w:rsidTr="009C3C86">
        <w:trPr>
          <w:cantSplit/>
        </w:trPr>
        <w:tc>
          <w:tcPr>
            <w:tcW w:w="1906" w:type="dxa"/>
            <w:vMerge/>
            <w:tcBorders>
              <w:top w:val="single" w:sz="8" w:space="0" w:color="AEAEAE"/>
              <w:left w:val="nil"/>
              <w:bottom w:val="nil"/>
              <w:right w:val="nil"/>
            </w:tcBorders>
            <w:shd w:val="clear" w:color="auto" w:fill="E0E0E0"/>
          </w:tcPr>
          <w:p w14:paraId="667EE59A" w14:textId="77777777" w:rsidR="009C3C86" w:rsidRPr="00A12B79" w:rsidRDefault="009C3C86" w:rsidP="00027769"/>
        </w:tc>
        <w:tc>
          <w:tcPr>
            <w:tcW w:w="1368" w:type="dxa"/>
            <w:tcBorders>
              <w:top w:val="single" w:sz="8" w:space="0" w:color="AEAEAE"/>
              <w:left w:val="nil"/>
              <w:bottom w:val="single" w:sz="8" w:space="0" w:color="AEAEAE"/>
              <w:right w:val="nil"/>
            </w:tcBorders>
            <w:shd w:val="clear" w:color="auto" w:fill="E0E0E0"/>
          </w:tcPr>
          <w:p w14:paraId="2D3B38B6" w14:textId="77777777" w:rsidR="009C3C86" w:rsidRPr="00A12B79" w:rsidRDefault="009C3C86" w:rsidP="00027769">
            <w:pPr>
              <w:rPr>
                <w:rFonts w:ascii="Arial" w:hAnsi="Arial" w:cs="Arial"/>
                <w:color w:val="264A60"/>
              </w:rPr>
            </w:pPr>
            <w:r w:rsidRPr="00A12B79">
              <w:rPr>
                <w:rFonts w:ascii="Arial" w:hAnsi="Arial" w:cs="Arial"/>
                <w:color w:val="264A60"/>
              </w:rPr>
              <w:t>Mean</w:t>
            </w:r>
          </w:p>
        </w:tc>
        <w:tc>
          <w:tcPr>
            <w:tcW w:w="1183" w:type="dxa"/>
            <w:tcBorders>
              <w:top w:val="single" w:sz="8" w:space="0" w:color="AEAEAE"/>
              <w:left w:val="nil"/>
              <w:bottom w:val="single" w:sz="8" w:space="0" w:color="AEAEAE"/>
              <w:right w:val="single" w:sz="8" w:space="0" w:color="E0E0E0"/>
            </w:tcBorders>
            <w:shd w:val="clear" w:color="auto" w:fill="F9F9FB"/>
          </w:tcPr>
          <w:p w14:paraId="53FB69F2" w14:textId="77777777" w:rsidR="009C3C86" w:rsidRPr="00A12B79" w:rsidRDefault="009C3C86" w:rsidP="00027769">
            <w:pPr>
              <w:rPr>
                <w:rFonts w:ascii="Arial" w:hAnsi="Arial" w:cs="Arial"/>
                <w:color w:val="010205"/>
              </w:rPr>
            </w:pPr>
            <w:r w:rsidRPr="00A12B79">
              <w:rPr>
                <w:rFonts w:ascii="Arial" w:hAnsi="Arial" w:cs="Arial"/>
                <w:color w:val="010205"/>
              </w:rPr>
              <w:t>.000</w:t>
            </w:r>
          </w:p>
        </w:tc>
        <w:tc>
          <w:tcPr>
            <w:tcW w:w="1076" w:type="dxa"/>
            <w:tcBorders>
              <w:top w:val="single" w:sz="8" w:space="0" w:color="AEAEAE"/>
              <w:left w:val="single" w:sz="8" w:space="0" w:color="E0E0E0"/>
              <w:bottom w:val="single" w:sz="8" w:space="0" w:color="AEAEAE"/>
              <w:right w:val="single" w:sz="8" w:space="0" w:color="E0E0E0"/>
            </w:tcBorders>
            <w:shd w:val="clear" w:color="auto" w:fill="F9F9FB"/>
          </w:tcPr>
          <w:p w14:paraId="6F1C3BDB" w14:textId="77777777" w:rsidR="009C3C86" w:rsidRPr="00A12B79" w:rsidRDefault="009C3C86" w:rsidP="00027769">
            <w:pPr>
              <w:rPr>
                <w:rFonts w:ascii="Arial" w:hAnsi="Arial" w:cs="Arial"/>
                <w:color w:val="010205"/>
              </w:rPr>
            </w:pPr>
            <w:r w:rsidRPr="00A12B79">
              <w:rPr>
                <w:rFonts w:ascii="Arial" w:hAnsi="Arial" w:cs="Arial"/>
                <w:color w:val="010205"/>
              </w:rPr>
              <w:t>.000</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293143AF" w14:textId="77777777" w:rsidR="009C3C86" w:rsidRPr="00A12B79" w:rsidRDefault="009C3C86" w:rsidP="00027769">
            <w:pPr>
              <w:rPr>
                <w:rFonts w:ascii="Arial" w:hAnsi="Arial" w:cs="Arial"/>
                <w:color w:val="010205"/>
              </w:rPr>
            </w:pPr>
            <w:r w:rsidRPr="00A12B79">
              <w:rPr>
                <w:rFonts w:ascii="Arial" w:hAnsi="Arial" w:cs="Arial"/>
                <w:color w:val="010205"/>
              </w:rPr>
              <w:t>.000</w:t>
            </w:r>
          </w:p>
        </w:tc>
        <w:tc>
          <w:tcPr>
            <w:tcW w:w="1337" w:type="dxa"/>
            <w:tcBorders>
              <w:top w:val="single" w:sz="8" w:space="0" w:color="AEAEAE"/>
              <w:left w:val="single" w:sz="8" w:space="0" w:color="E0E0E0"/>
              <w:bottom w:val="single" w:sz="8" w:space="0" w:color="AEAEAE"/>
              <w:right w:val="single" w:sz="8" w:space="0" w:color="E0E0E0"/>
            </w:tcBorders>
            <w:shd w:val="clear" w:color="auto" w:fill="F9F9FB"/>
          </w:tcPr>
          <w:p w14:paraId="61FE659E" w14:textId="77777777" w:rsidR="009C3C86" w:rsidRPr="00A12B79" w:rsidRDefault="009C3C86" w:rsidP="00027769">
            <w:pPr>
              <w:rPr>
                <w:rFonts w:ascii="Arial" w:hAnsi="Arial" w:cs="Arial"/>
                <w:color w:val="010205"/>
              </w:rPr>
            </w:pPr>
            <w:r w:rsidRPr="00A12B79">
              <w:rPr>
                <w:rFonts w:ascii="Arial" w:hAnsi="Arial" w:cs="Arial"/>
                <w:color w:val="010205"/>
              </w:rPr>
              <w:t>.000</w:t>
            </w:r>
          </w:p>
        </w:tc>
        <w:tc>
          <w:tcPr>
            <w:tcW w:w="1337" w:type="dxa"/>
            <w:tcBorders>
              <w:top w:val="single" w:sz="8" w:space="0" w:color="AEAEAE"/>
              <w:left w:val="single" w:sz="8" w:space="0" w:color="E0E0E0"/>
              <w:bottom w:val="single" w:sz="8" w:space="0" w:color="AEAEAE"/>
              <w:right w:val="nil"/>
            </w:tcBorders>
            <w:shd w:val="clear" w:color="auto" w:fill="F9F9FB"/>
          </w:tcPr>
          <w:p w14:paraId="778D3E74" w14:textId="77777777" w:rsidR="009C3C86" w:rsidRPr="00A12B79" w:rsidRDefault="009C3C86" w:rsidP="00027769">
            <w:pPr>
              <w:rPr>
                <w:rFonts w:ascii="Arial" w:hAnsi="Arial" w:cs="Arial"/>
                <w:color w:val="010205"/>
              </w:rPr>
            </w:pPr>
            <w:r w:rsidRPr="00A12B79">
              <w:rPr>
                <w:rFonts w:ascii="Arial" w:hAnsi="Arial" w:cs="Arial"/>
                <w:color w:val="010205"/>
              </w:rPr>
              <w:t>.000</w:t>
            </w:r>
          </w:p>
        </w:tc>
      </w:tr>
      <w:tr w:rsidR="009C3C86" w:rsidRPr="00A12B79" w14:paraId="36D9B19F" w14:textId="77777777" w:rsidTr="009C3C86">
        <w:trPr>
          <w:cantSplit/>
        </w:trPr>
        <w:tc>
          <w:tcPr>
            <w:tcW w:w="1906" w:type="dxa"/>
            <w:vMerge/>
            <w:tcBorders>
              <w:top w:val="single" w:sz="8" w:space="0" w:color="AEAEAE"/>
              <w:left w:val="nil"/>
              <w:bottom w:val="nil"/>
              <w:right w:val="nil"/>
            </w:tcBorders>
            <w:shd w:val="clear" w:color="auto" w:fill="E0E0E0"/>
          </w:tcPr>
          <w:p w14:paraId="5D9212C4" w14:textId="77777777" w:rsidR="009C3C86" w:rsidRPr="00A12B79" w:rsidRDefault="009C3C86" w:rsidP="00027769">
            <w:pPr>
              <w:rPr>
                <w:rFonts w:ascii="Arial" w:hAnsi="Arial" w:cs="Arial"/>
                <w:color w:val="010205"/>
              </w:rPr>
            </w:pPr>
          </w:p>
        </w:tc>
        <w:tc>
          <w:tcPr>
            <w:tcW w:w="1368" w:type="dxa"/>
            <w:tcBorders>
              <w:top w:val="single" w:sz="8" w:space="0" w:color="AEAEAE"/>
              <w:left w:val="nil"/>
              <w:bottom w:val="single" w:sz="8" w:space="0" w:color="AEAEAE"/>
              <w:right w:val="nil"/>
            </w:tcBorders>
            <w:shd w:val="clear" w:color="auto" w:fill="E0E0E0"/>
          </w:tcPr>
          <w:p w14:paraId="47E6DD7E" w14:textId="77777777" w:rsidR="009C3C86" w:rsidRPr="00A12B79" w:rsidRDefault="009C3C86" w:rsidP="00027769">
            <w:pPr>
              <w:rPr>
                <w:rFonts w:ascii="Arial" w:hAnsi="Arial" w:cs="Arial"/>
                <w:color w:val="264A60"/>
              </w:rPr>
            </w:pPr>
            <w:r w:rsidRPr="00A12B79">
              <w:rPr>
                <w:rFonts w:ascii="Arial" w:hAnsi="Arial" w:cs="Arial"/>
                <w:color w:val="264A60"/>
              </w:rPr>
              <w:t>Std. Deviation</w:t>
            </w:r>
          </w:p>
        </w:tc>
        <w:tc>
          <w:tcPr>
            <w:tcW w:w="1183" w:type="dxa"/>
            <w:tcBorders>
              <w:top w:val="single" w:sz="8" w:space="0" w:color="AEAEAE"/>
              <w:left w:val="nil"/>
              <w:bottom w:val="single" w:sz="8" w:space="0" w:color="AEAEAE"/>
              <w:right w:val="single" w:sz="8" w:space="0" w:color="E0E0E0"/>
            </w:tcBorders>
            <w:shd w:val="clear" w:color="auto" w:fill="F9F9FB"/>
          </w:tcPr>
          <w:p w14:paraId="7ECC0C7A" w14:textId="77777777" w:rsidR="009C3C86" w:rsidRPr="00A12B79" w:rsidRDefault="009C3C86" w:rsidP="00027769">
            <w:pPr>
              <w:rPr>
                <w:rFonts w:ascii="Arial" w:hAnsi="Arial" w:cs="Arial"/>
                <w:color w:val="010205"/>
              </w:rPr>
            </w:pPr>
            <w:r w:rsidRPr="00A12B79">
              <w:rPr>
                <w:rFonts w:ascii="Arial" w:hAnsi="Arial" w:cs="Arial"/>
                <w:color w:val="010205"/>
              </w:rPr>
              <w:t>1.000</w:t>
            </w:r>
          </w:p>
        </w:tc>
        <w:tc>
          <w:tcPr>
            <w:tcW w:w="1076" w:type="dxa"/>
            <w:tcBorders>
              <w:top w:val="single" w:sz="8" w:space="0" w:color="AEAEAE"/>
              <w:left w:val="single" w:sz="8" w:space="0" w:color="E0E0E0"/>
              <w:bottom w:val="single" w:sz="8" w:space="0" w:color="AEAEAE"/>
              <w:right w:val="single" w:sz="8" w:space="0" w:color="E0E0E0"/>
            </w:tcBorders>
            <w:shd w:val="clear" w:color="auto" w:fill="F9F9FB"/>
          </w:tcPr>
          <w:p w14:paraId="75079F20" w14:textId="77777777" w:rsidR="009C3C86" w:rsidRPr="00A12B79" w:rsidRDefault="009C3C86" w:rsidP="00027769">
            <w:pPr>
              <w:rPr>
                <w:rFonts w:ascii="Arial" w:hAnsi="Arial" w:cs="Arial"/>
                <w:color w:val="010205"/>
              </w:rPr>
            </w:pPr>
            <w:r w:rsidRPr="00A12B79">
              <w:rPr>
                <w:rFonts w:ascii="Arial" w:hAnsi="Arial" w:cs="Arial"/>
                <w:color w:val="010205"/>
              </w:rPr>
              <w:t>.000</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407083BD" w14:textId="77777777" w:rsidR="009C3C86" w:rsidRPr="00A12B79" w:rsidRDefault="009C3C86" w:rsidP="00027769">
            <w:pPr>
              <w:rPr>
                <w:rFonts w:ascii="Arial" w:hAnsi="Arial" w:cs="Arial"/>
                <w:color w:val="010205"/>
              </w:rPr>
            </w:pPr>
            <w:r w:rsidRPr="00A12B79">
              <w:rPr>
                <w:rFonts w:ascii="Arial" w:hAnsi="Arial" w:cs="Arial"/>
                <w:color w:val="010205"/>
              </w:rPr>
              <w:t>.000</w:t>
            </w:r>
          </w:p>
        </w:tc>
        <w:tc>
          <w:tcPr>
            <w:tcW w:w="1337" w:type="dxa"/>
            <w:tcBorders>
              <w:top w:val="single" w:sz="8" w:space="0" w:color="AEAEAE"/>
              <w:left w:val="single" w:sz="8" w:space="0" w:color="E0E0E0"/>
              <w:bottom w:val="single" w:sz="8" w:space="0" w:color="AEAEAE"/>
              <w:right w:val="single" w:sz="8" w:space="0" w:color="E0E0E0"/>
            </w:tcBorders>
            <w:shd w:val="clear" w:color="auto" w:fill="F9F9FB"/>
          </w:tcPr>
          <w:p w14:paraId="377ABFE7" w14:textId="77777777" w:rsidR="009C3C86" w:rsidRPr="00A12B79" w:rsidRDefault="009C3C86" w:rsidP="00027769">
            <w:pPr>
              <w:rPr>
                <w:rFonts w:ascii="Arial" w:hAnsi="Arial" w:cs="Arial"/>
                <w:color w:val="010205"/>
              </w:rPr>
            </w:pPr>
            <w:r w:rsidRPr="00A12B79">
              <w:rPr>
                <w:rFonts w:ascii="Arial" w:hAnsi="Arial" w:cs="Arial"/>
                <w:color w:val="010205"/>
              </w:rPr>
              <w:t>1.000</w:t>
            </w:r>
          </w:p>
        </w:tc>
        <w:tc>
          <w:tcPr>
            <w:tcW w:w="1337" w:type="dxa"/>
            <w:tcBorders>
              <w:top w:val="single" w:sz="8" w:space="0" w:color="AEAEAE"/>
              <w:left w:val="single" w:sz="8" w:space="0" w:color="E0E0E0"/>
              <w:bottom w:val="single" w:sz="8" w:space="0" w:color="AEAEAE"/>
              <w:right w:val="nil"/>
            </w:tcBorders>
            <w:shd w:val="clear" w:color="auto" w:fill="F9F9FB"/>
          </w:tcPr>
          <w:p w14:paraId="7B20DD60" w14:textId="77777777" w:rsidR="009C3C86" w:rsidRPr="00A12B79" w:rsidRDefault="009C3C86" w:rsidP="00027769">
            <w:pPr>
              <w:rPr>
                <w:rFonts w:ascii="Arial" w:hAnsi="Arial" w:cs="Arial"/>
                <w:color w:val="010205"/>
              </w:rPr>
            </w:pPr>
            <w:r w:rsidRPr="00A12B79">
              <w:rPr>
                <w:rFonts w:ascii="Arial" w:hAnsi="Arial" w:cs="Arial"/>
                <w:color w:val="010205"/>
              </w:rPr>
              <w:t>1.000</w:t>
            </w:r>
          </w:p>
        </w:tc>
      </w:tr>
      <w:tr w:rsidR="009C3C86" w:rsidRPr="00A12B79" w14:paraId="2AFEF6F7" w14:textId="77777777" w:rsidTr="009C3C86">
        <w:trPr>
          <w:cantSplit/>
        </w:trPr>
        <w:tc>
          <w:tcPr>
            <w:tcW w:w="1906" w:type="dxa"/>
            <w:vMerge/>
            <w:tcBorders>
              <w:top w:val="single" w:sz="8" w:space="0" w:color="AEAEAE"/>
              <w:left w:val="nil"/>
              <w:bottom w:val="nil"/>
              <w:right w:val="nil"/>
            </w:tcBorders>
            <w:shd w:val="clear" w:color="auto" w:fill="E0E0E0"/>
          </w:tcPr>
          <w:p w14:paraId="58800371" w14:textId="77777777" w:rsidR="009C3C86" w:rsidRPr="00A12B79" w:rsidRDefault="009C3C86" w:rsidP="00027769">
            <w:pPr>
              <w:rPr>
                <w:rFonts w:ascii="Arial" w:hAnsi="Arial" w:cs="Arial"/>
                <w:color w:val="010205"/>
              </w:rPr>
            </w:pPr>
          </w:p>
        </w:tc>
        <w:tc>
          <w:tcPr>
            <w:tcW w:w="1368" w:type="dxa"/>
            <w:tcBorders>
              <w:top w:val="single" w:sz="8" w:space="0" w:color="AEAEAE"/>
              <w:left w:val="nil"/>
              <w:bottom w:val="nil"/>
              <w:right w:val="nil"/>
            </w:tcBorders>
            <w:shd w:val="clear" w:color="auto" w:fill="E0E0E0"/>
          </w:tcPr>
          <w:p w14:paraId="4210E85B" w14:textId="77777777" w:rsidR="009C3C86" w:rsidRPr="00A12B79" w:rsidRDefault="009C3C86" w:rsidP="00027769">
            <w:pPr>
              <w:rPr>
                <w:rFonts w:ascii="Arial" w:hAnsi="Arial" w:cs="Arial"/>
                <w:color w:val="264A60"/>
              </w:rPr>
            </w:pPr>
            <w:r w:rsidRPr="00A12B79">
              <w:rPr>
                <w:rFonts w:ascii="Arial" w:hAnsi="Arial" w:cs="Arial"/>
                <w:color w:val="264A60"/>
              </w:rPr>
              <w:t>N</w:t>
            </w:r>
          </w:p>
        </w:tc>
        <w:tc>
          <w:tcPr>
            <w:tcW w:w="1183" w:type="dxa"/>
            <w:tcBorders>
              <w:top w:val="single" w:sz="8" w:space="0" w:color="AEAEAE"/>
              <w:left w:val="nil"/>
              <w:bottom w:val="nil"/>
              <w:right w:val="single" w:sz="8" w:space="0" w:color="E0E0E0"/>
            </w:tcBorders>
            <w:shd w:val="clear" w:color="auto" w:fill="F9F9FB"/>
          </w:tcPr>
          <w:p w14:paraId="1DAED0E3" w14:textId="77777777" w:rsidR="009C3C86" w:rsidRPr="00A12B79" w:rsidRDefault="009C3C86" w:rsidP="00027769">
            <w:pPr>
              <w:rPr>
                <w:rFonts w:ascii="Arial" w:hAnsi="Arial" w:cs="Arial"/>
                <w:color w:val="010205"/>
              </w:rPr>
            </w:pPr>
            <w:r w:rsidRPr="00A12B79">
              <w:rPr>
                <w:rFonts w:ascii="Arial" w:hAnsi="Arial" w:cs="Arial"/>
                <w:color w:val="010205"/>
              </w:rPr>
              <w:t>86</w:t>
            </w:r>
          </w:p>
        </w:tc>
        <w:tc>
          <w:tcPr>
            <w:tcW w:w="1076" w:type="dxa"/>
            <w:tcBorders>
              <w:top w:val="single" w:sz="8" w:space="0" w:color="AEAEAE"/>
              <w:left w:val="single" w:sz="8" w:space="0" w:color="E0E0E0"/>
              <w:bottom w:val="nil"/>
              <w:right w:val="single" w:sz="8" w:space="0" w:color="E0E0E0"/>
            </w:tcBorders>
            <w:shd w:val="clear" w:color="auto" w:fill="F9F9FB"/>
          </w:tcPr>
          <w:p w14:paraId="56906889" w14:textId="77777777" w:rsidR="009C3C86" w:rsidRPr="00A12B79" w:rsidRDefault="009C3C86" w:rsidP="00027769">
            <w:pPr>
              <w:rPr>
                <w:rFonts w:ascii="Arial" w:hAnsi="Arial" w:cs="Arial"/>
                <w:color w:val="010205"/>
              </w:rPr>
            </w:pPr>
            <w:r w:rsidRPr="00A12B79">
              <w:rPr>
                <w:rFonts w:ascii="Arial" w:hAnsi="Arial" w:cs="Arial"/>
                <w:color w:val="010205"/>
              </w:rPr>
              <w:t>0</w:t>
            </w:r>
          </w:p>
        </w:tc>
        <w:tc>
          <w:tcPr>
            <w:tcW w:w="1045" w:type="dxa"/>
            <w:tcBorders>
              <w:top w:val="single" w:sz="8" w:space="0" w:color="AEAEAE"/>
              <w:left w:val="single" w:sz="8" w:space="0" w:color="E0E0E0"/>
              <w:bottom w:val="nil"/>
              <w:right w:val="single" w:sz="8" w:space="0" w:color="E0E0E0"/>
            </w:tcBorders>
            <w:shd w:val="clear" w:color="auto" w:fill="F9F9FB"/>
          </w:tcPr>
          <w:p w14:paraId="7D0721F6" w14:textId="77777777" w:rsidR="009C3C86" w:rsidRPr="00A12B79" w:rsidRDefault="009C3C86" w:rsidP="00027769">
            <w:pPr>
              <w:rPr>
                <w:rFonts w:ascii="Arial" w:hAnsi="Arial" w:cs="Arial"/>
                <w:color w:val="010205"/>
              </w:rPr>
            </w:pPr>
            <w:r w:rsidRPr="00A12B79">
              <w:rPr>
                <w:rFonts w:ascii="Arial" w:hAnsi="Arial" w:cs="Arial"/>
                <w:color w:val="010205"/>
              </w:rPr>
              <w:t>0</w:t>
            </w:r>
          </w:p>
        </w:tc>
        <w:tc>
          <w:tcPr>
            <w:tcW w:w="1337" w:type="dxa"/>
            <w:tcBorders>
              <w:top w:val="single" w:sz="8" w:space="0" w:color="AEAEAE"/>
              <w:left w:val="single" w:sz="8" w:space="0" w:color="E0E0E0"/>
              <w:bottom w:val="nil"/>
              <w:right w:val="single" w:sz="8" w:space="0" w:color="E0E0E0"/>
            </w:tcBorders>
            <w:shd w:val="clear" w:color="auto" w:fill="F9F9FB"/>
          </w:tcPr>
          <w:p w14:paraId="15AEE48A" w14:textId="77777777" w:rsidR="009C3C86" w:rsidRPr="00A12B79" w:rsidRDefault="009C3C86" w:rsidP="00027769">
            <w:pPr>
              <w:rPr>
                <w:rFonts w:ascii="Arial" w:hAnsi="Arial" w:cs="Arial"/>
                <w:color w:val="010205"/>
              </w:rPr>
            </w:pPr>
            <w:r w:rsidRPr="00A12B79">
              <w:rPr>
                <w:rFonts w:ascii="Arial" w:hAnsi="Arial" w:cs="Arial"/>
                <w:color w:val="010205"/>
              </w:rPr>
              <w:t>.</w:t>
            </w:r>
          </w:p>
        </w:tc>
        <w:tc>
          <w:tcPr>
            <w:tcW w:w="1337" w:type="dxa"/>
            <w:tcBorders>
              <w:top w:val="single" w:sz="8" w:space="0" w:color="AEAEAE"/>
              <w:left w:val="single" w:sz="8" w:space="0" w:color="E0E0E0"/>
              <w:bottom w:val="nil"/>
              <w:right w:val="nil"/>
            </w:tcBorders>
            <w:shd w:val="clear" w:color="auto" w:fill="F9F9FB"/>
          </w:tcPr>
          <w:p w14:paraId="71823382" w14:textId="77777777" w:rsidR="009C3C86" w:rsidRPr="00A12B79" w:rsidRDefault="009C3C86" w:rsidP="00027769">
            <w:pPr>
              <w:rPr>
                <w:rFonts w:ascii="Arial" w:hAnsi="Arial" w:cs="Arial"/>
                <w:color w:val="010205"/>
              </w:rPr>
            </w:pPr>
            <w:r w:rsidRPr="00A12B79">
              <w:rPr>
                <w:rFonts w:ascii="Arial" w:hAnsi="Arial" w:cs="Arial"/>
                <w:color w:val="010205"/>
              </w:rPr>
              <w:t>.</w:t>
            </w:r>
          </w:p>
        </w:tc>
      </w:tr>
      <w:tr w:rsidR="009C3C86" w:rsidRPr="00A12B79" w14:paraId="5D3D4607" w14:textId="77777777" w:rsidTr="009C3C86">
        <w:trPr>
          <w:cantSplit/>
        </w:trPr>
        <w:tc>
          <w:tcPr>
            <w:tcW w:w="1906" w:type="dxa"/>
            <w:vMerge w:val="restart"/>
            <w:tcBorders>
              <w:top w:val="single" w:sz="8" w:space="0" w:color="AEAEAE"/>
              <w:left w:val="nil"/>
              <w:bottom w:val="single" w:sz="8" w:space="0" w:color="152935"/>
              <w:right w:val="nil"/>
            </w:tcBorders>
            <w:shd w:val="clear" w:color="auto" w:fill="E0E0E0"/>
          </w:tcPr>
          <w:p w14:paraId="12553B93" w14:textId="77777777" w:rsidR="009C3C86" w:rsidRPr="00A12B79" w:rsidRDefault="009C3C86" w:rsidP="00027769">
            <w:pPr>
              <w:rPr>
                <w:rFonts w:ascii="Arial" w:hAnsi="Arial" w:cs="Arial"/>
                <w:color w:val="264A60"/>
              </w:rPr>
            </w:pPr>
            <w:r w:rsidRPr="00A12B79">
              <w:rPr>
                <w:rFonts w:ascii="Arial" w:hAnsi="Arial" w:cs="Arial"/>
                <w:color w:val="264A60"/>
              </w:rPr>
              <w:t>Std. Residual</w:t>
            </w:r>
          </w:p>
        </w:tc>
        <w:tc>
          <w:tcPr>
            <w:tcW w:w="1368" w:type="dxa"/>
            <w:tcBorders>
              <w:top w:val="single" w:sz="8" w:space="0" w:color="AEAEAE"/>
              <w:left w:val="nil"/>
              <w:bottom w:val="single" w:sz="8" w:space="0" w:color="AEAEAE"/>
              <w:right w:val="nil"/>
            </w:tcBorders>
            <w:shd w:val="clear" w:color="auto" w:fill="E0E0E0"/>
          </w:tcPr>
          <w:p w14:paraId="6ADB21B5" w14:textId="77777777" w:rsidR="009C3C86" w:rsidRPr="00A12B79" w:rsidRDefault="009C3C86" w:rsidP="00027769">
            <w:pPr>
              <w:rPr>
                <w:rFonts w:ascii="Arial" w:hAnsi="Arial" w:cs="Arial"/>
                <w:color w:val="264A60"/>
              </w:rPr>
            </w:pPr>
            <w:r w:rsidRPr="00A12B79">
              <w:rPr>
                <w:rFonts w:ascii="Arial" w:hAnsi="Arial" w:cs="Arial"/>
                <w:color w:val="264A60"/>
              </w:rPr>
              <w:t>Minimum</w:t>
            </w:r>
          </w:p>
        </w:tc>
        <w:tc>
          <w:tcPr>
            <w:tcW w:w="1183" w:type="dxa"/>
            <w:tcBorders>
              <w:top w:val="single" w:sz="8" w:space="0" w:color="AEAEAE"/>
              <w:left w:val="nil"/>
              <w:bottom w:val="single" w:sz="8" w:space="0" w:color="AEAEAE"/>
              <w:right w:val="single" w:sz="8" w:space="0" w:color="E0E0E0"/>
            </w:tcBorders>
            <w:shd w:val="clear" w:color="auto" w:fill="F9F9FB"/>
          </w:tcPr>
          <w:p w14:paraId="73A91C81" w14:textId="77777777" w:rsidR="009C3C86" w:rsidRPr="00A12B79" w:rsidRDefault="009C3C86" w:rsidP="00027769">
            <w:pPr>
              <w:rPr>
                <w:rFonts w:ascii="Arial" w:hAnsi="Arial" w:cs="Arial"/>
                <w:color w:val="010205"/>
              </w:rPr>
            </w:pPr>
            <w:r w:rsidRPr="00A12B79">
              <w:rPr>
                <w:rFonts w:ascii="Arial" w:hAnsi="Arial" w:cs="Arial"/>
                <w:color w:val="010205"/>
              </w:rPr>
              <w:t>-.872</w:t>
            </w:r>
          </w:p>
        </w:tc>
        <w:tc>
          <w:tcPr>
            <w:tcW w:w="1076"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39B77587" w14:textId="77777777" w:rsidR="009C3C86" w:rsidRPr="00A12B79" w:rsidRDefault="009C3C86" w:rsidP="00027769"/>
        </w:tc>
        <w:tc>
          <w:tcPr>
            <w:tcW w:w="104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4E248ED7" w14:textId="77777777" w:rsidR="009C3C86" w:rsidRPr="00A12B79" w:rsidRDefault="009C3C86" w:rsidP="00027769"/>
        </w:tc>
        <w:tc>
          <w:tcPr>
            <w:tcW w:w="133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6B889CED" w14:textId="77777777" w:rsidR="009C3C86" w:rsidRPr="00A12B79" w:rsidRDefault="009C3C86" w:rsidP="00027769"/>
        </w:tc>
        <w:tc>
          <w:tcPr>
            <w:tcW w:w="1337" w:type="dxa"/>
            <w:tcBorders>
              <w:top w:val="single" w:sz="8" w:space="0" w:color="AEAEAE"/>
              <w:left w:val="single" w:sz="8" w:space="0" w:color="E0E0E0"/>
              <w:bottom w:val="single" w:sz="8" w:space="0" w:color="AEAEAE"/>
              <w:right w:val="nil"/>
            </w:tcBorders>
            <w:shd w:val="clear" w:color="auto" w:fill="F9F9FB"/>
            <w:vAlign w:val="center"/>
          </w:tcPr>
          <w:p w14:paraId="72F93398" w14:textId="77777777" w:rsidR="009C3C86" w:rsidRPr="00A12B79" w:rsidRDefault="009C3C86" w:rsidP="00027769"/>
        </w:tc>
      </w:tr>
      <w:tr w:rsidR="009C3C86" w:rsidRPr="00A12B79" w14:paraId="45BB59EA" w14:textId="77777777" w:rsidTr="009C3C86">
        <w:trPr>
          <w:cantSplit/>
        </w:trPr>
        <w:tc>
          <w:tcPr>
            <w:tcW w:w="1906" w:type="dxa"/>
            <w:vMerge/>
            <w:tcBorders>
              <w:top w:val="single" w:sz="8" w:space="0" w:color="AEAEAE"/>
              <w:left w:val="nil"/>
              <w:bottom w:val="single" w:sz="8" w:space="0" w:color="152935"/>
              <w:right w:val="nil"/>
            </w:tcBorders>
            <w:shd w:val="clear" w:color="auto" w:fill="E0E0E0"/>
          </w:tcPr>
          <w:p w14:paraId="12B46578" w14:textId="77777777" w:rsidR="009C3C86" w:rsidRPr="00A12B79" w:rsidRDefault="009C3C86" w:rsidP="00027769"/>
        </w:tc>
        <w:tc>
          <w:tcPr>
            <w:tcW w:w="1368" w:type="dxa"/>
            <w:tcBorders>
              <w:top w:val="single" w:sz="8" w:space="0" w:color="AEAEAE"/>
              <w:left w:val="nil"/>
              <w:bottom w:val="single" w:sz="8" w:space="0" w:color="AEAEAE"/>
              <w:right w:val="nil"/>
            </w:tcBorders>
            <w:shd w:val="clear" w:color="auto" w:fill="E0E0E0"/>
          </w:tcPr>
          <w:p w14:paraId="2DA567CA" w14:textId="77777777" w:rsidR="009C3C86" w:rsidRPr="00A12B79" w:rsidRDefault="009C3C86" w:rsidP="00027769">
            <w:pPr>
              <w:rPr>
                <w:rFonts w:ascii="Arial" w:hAnsi="Arial" w:cs="Arial"/>
                <w:color w:val="264A60"/>
              </w:rPr>
            </w:pPr>
            <w:r w:rsidRPr="00A12B79">
              <w:rPr>
                <w:rFonts w:ascii="Arial" w:hAnsi="Arial" w:cs="Arial"/>
                <w:color w:val="264A60"/>
              </w:rPr>
              <w:t>Maximum</w:t>
            </w:r>
          </w:p>
        </w:tc>
        <w:tc>
          <w:tcPr>
            <w:tcW w:w="1183" w:type="dxa"/>
            <w:tcBorders>
              <w:top w:val="single" w:sz="8" w:space="0" w:color="AEAEAE"/>
              <w:left w:val="nil"/>
              <w:bottom w:val="single" w:sz="8" w:space="0" w:color="AEAEAE"/>
              <w:right w:val="single" w:sz="8" w:space="0" w:color="E0E0E0"/>
            </w:tcBorders>
            <w:shd w:val="clear" w:color="auto" w:fill="F9F9FB"/>
          </w:tcPr>
          <w:p w14:paraId="3D8B76E4" w14:textId="77777777" w:rsidR="009C3C86" w:rsidRPr="00A12B79" w:rsidRDefault="009C3C86" w:rsidP="00027769">
            <w:pPr>
              <w:rPr>
                <w:rFonts w:ascii="Arial" w:hAnsi="Arial" w:cs="Arial"/>
                <w:color w:val="010205"/>
              </w:rPr>
            </w:pPr>
            <w:r w:rsidRPr="00A12B79">
              <w:rPr>
                <w:rFonts w:ascii="Arial" w:hAnsi="Arial" w:cs="Arial"/>
                <w:color w:val="010205"/>
              </w:rPr>
              <w:t>6.358</w:t>
            </w:r>
          </w:p>
        </w:tc>
        <w:tc>
          <w:tcPr>
            <w:tcW w:w="1076"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2A5CDFBF" w14:textId="77777777" w:rsidR="009C3C86" w:rsidRPr="00A12B79" w:rsidRDefault="009C3C86" w:rsidP="00027769"/>
        </w:tc>
        <w:tc>
          <w:tcPr>
            <w:tcW w:w="104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480070D6" w14:textId="77777777" w:rsidR="009C3C86" w:rsidRPr="00A12B79" w:rsidRDefault="009C3C86" w:rsidP="00027769"/>
        </w:tc>
        <w:tc>
          <w:tcPr>
            <w:tcW w:w="133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53F5A266" w14:textId="77777777" w:rsidR="009C3C86" w:rsidRPr="00A12B79" w:rsidRDefault="009C3C86" w:rsidP="00027769"/>
        </w:tc>
        <w:tc>
          <w:tcPr>
            <w:tcW w:w="1337" w:type="dxa"/>
            <w:tcBorders>
              <w:top w:val="single" w:sz="8" w:space="0" w:color="AEAEAE"/>
              <w:left w:val="single" w:sz="8" w:space="0" w:color="E0E0E0"/>
              <w:bottom w:val="single" w:sz="8" w:space="0" w:color="AEAEAE"/>
              <w:right w:val="nil"/>
            </w:tcBorders>
            <w:shd w:val="clear" w:color="auto" w:fill="F9F9FB"/>
            <w:vAlign w:val="center"/>
          </w:tcPr>
          <w:p w14:paraId="11640909" w14:textId="77777777" w:rsidR="009C3C86" w:rsidRPr="00A12B79" w:rsidRDefault="009C3C86" w:rsidP="00027769"/>
        </w:tc>
      </w:tr>
      <w:tr w:rsidR="009C3C86" w:rsidRPr="00A12B79" w14:paraId="41C72D82" w14:textId="77777777" w:rsidTr="009C3C86">
        <w:trPr>
          <w:cantSplit/>
        </w:trPr>
        <w:tc>
          <w:tcPr>
            <w:tcW w:w="1906" w:type="dxa"/>
            <w:vMerge/>
            <w:tcBorders>
              <w:top w:val="single" w:sz="8" w:space="0" w:color="AEAEAE"/>
              <w:left w:val="nil"/>
              <w:bottom w:val="single" w:sz="8" w:space="0" w:color="152935"/>
              <w:right w:val="nil"/>
            </w:tcBorders>
            <w:shd w:val="clear" w:color="auto" w:fill="E0E0E0"/>
          </w:tcPr>
          <w:p w14:paraId="3F752FF6" w14:textId="77777777" w:rsidR="009C3C86" w:rsidRPr="00A12B79" w:rsidRDefault="009C3C86" w:rsidP="00027769"/>
        </w:tc>
        <w:tc>
          <w:tcPr>
            <w:tcW w:w="1368" w:type="dxa"/>
            <w:tcBorders>
              <w:top w:val="single" w:sz="8" w:space="0" w:color="AEAEAE"/>
              <w:left w:val="nil"/>
              <w:bottom w:val="single" w:sz="8" w:space="0" w:color="AEAEAE"/>
              <w:right w:val="nil"/>
            </w:tcBorders>
            <w:shd w:val="clear" w:color="auto" w:fill="E0E0E0"/>
          </w:tcPr>
          <w:p w14:paraId="0DBDD4ED" w14:textId="77777777" w:rsidR="009C3C86" w:rsidRPr="00A12B79" w:rsidRDefault="009C3C86" w:rsidP="00027769">
            <w:pPr>
              <w:rPr>
                <w:rFonts w:ascii="Arial" w:hAnsi="Arial" w:cs="Arial"/>
                <w:color w:val="264A60"/>
              </w:rPr>
            </w:pPr>
            <w:r w:rsidRPr="00A12B79">
              <w:rPr>
                <w:rFonts w:ascii="Arial" w:hAnsi="Arial" w:cs="Arial"/>
                <w:color w:val="264A60"/>
              </w:rPr>
              <w:t>Mean</w:t>
            </w:r>
          </w:p>
        </w:tc>
        <w:tc>
          <w:tcPr>
            <w:tcW w:w="1183" w:type="dxa"/>
            <w:tcBorders>
              <w:top w:val="single" w:sz="8" w:space="0" w:color="AEAEAE"/>
              <w:left w:val="nil"/>
              <w:bottom w:val="single" w:sz="8" w:space="0" w:color="AEAEAE"/>
              <w:right w:val="single" w:sz="8" w:space="0" w:color="E0E0E0"/>
            </w:tcBorders>
            <w:shd w:val="clear" w:color="auto" w:fill="F9F9FB"/>
          </w:tcPr>
          <w:p w14:paraId="469E326F" w14:textId="77777777" w:rsidR="009C3C86" w:rsidRPr="00A12B79" w:rsidRDefault="009C3C86" w:rsidP="00027769">
            <w:pPr>
              <w:rPr>
                <w:rFonts w:ascii="Arial" w:hAnsi="Arial" w:cs="Arial"/>
                <w:color w:val="010205"/>
              </w:rPr>
            </w:pPr>
            <w:r w:rsidRPr="00A12B79">
              <w:rPr>
                <w:rFonts w:ascii="Arial" w:hAnsi="Arial" w:cs="Arial"/>
                <w:color w:val="010205"/>
              </w:rPr>
              <w:t>.000</w:t>
            </w:r>
          </w:p>
        </w:tc>
        <w:tc>
          <w:tcPr>
            <w:tcW w:w="1076" w:type="dxa"/>
            <w:tcBorders>
              <w:top w:val="single" w:sz="8" w:space="0" w:color="AEAEAE"/>
              <w:left w:val="single" w:sz="8" w:space="0" w:color="E0E0E0"/>
              <w:bottom w:val="single" w:sz="8" w:space="0" w:color="AEAEAE"/>
              <w:right w:val="single" w:sz="8" w:space="0" w:color="E0E0E0"/>
            </w:tcBorders>
            <w:shd w:val="clear" w:color="auto" w:fill="F9F9FB"/>
          </w:tcPr>
          <w:p w14:paraId="3E0197DA" w14:textId="77777777" w:rsidR="009C3C86" w:rsidRPr="00A12B79" w:rsidRDefault="009C3C86" w:rsidP="00027769">
            <w:pPr>
              <w:rPr>
                <w:rFonts w:ascii="Arial" w:hAnsi="Arial" w:cs="Arial"/>
                <w:color w:val="010205"/>
              </w:rPr>
            </w:pPr>
            <w:r w:rsidRPr="00A12B79">
              <w:rPr>
                <w:rFonts w:ascii="Arial" w:hAnsi="Arial" w:cs="Arial"/>
                <w:color w:val="010205"/>
              </w:rPr>
              <w:t>.000</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5E2B63A1" w14:textId="77777777" w:rsidR="009C3C86" w:rsidRPr="00A12B79" w:rsidRDefault="009C3C86" w:rsidP="00027769">
            <w:pPr>
              <w:rPr>
                <w:rFonts w:ascii="Arial" w:hAnsi="Arial" w:cs="Arial"/>
                <w:color w:val="010205"/>
              </w:rPr>
            </w:pPr>
            <w:r w:rsidRPr="00A12B79">
              <w:rPr>
                <w:rFonts w:ascii="Arial" w:hAnsi="Arial" w:cs="Arial"/>
                <w:color w:val="010205"/>
              </w:rPr>
              <w:t>.000</w:t>
            </w:r>
          </w:p>
        </w:tc>
        <w:tc>
          <w:tcPr>
            <w:tcW w:w="1337" w:type="dxa"/>
            <w:tcBorders>
              <w:top w:val="single" w:sz="8" w:space="0" w:color="AEAEAE"/>
              <w:left w:val="single" w:sz="8" w:space="0" w:color="E0E0E0"/>
              <w:bottom w:val="single" w:sz="8" w:space="0" w:color="AEAEAE"/>
              <w:right w:val="single" w:sz="8" w:space="0" w:color="E0E0E0"/>
            </w:tcBorders>
            <w:shd w:val="clear" w:color="auto" w:fill="F9F9FB"/>
          </w:tcPr>
          <w:p w14:paraId="419A04BC" w14:textId="77777777" w:rsidR="009C3C86" w:rsidRPr="00A12B79" w:rsidRDefault="009C3C86" w:rsidP="00027769">
            <w:pPr>
              <w:rPr>
                <w:rFonts w:ascii="Arial" w:hAnsi="Arial" w:cs="Arial"/>
                <w:color w:val="010205"/>
              </w:rPr>
            </w:pPr>
            <w:r w:rsidRPr="00A12B79">
              <w:rPr>
                <w:rFonts w:ascii="Arial" w:hAnsi="Arial" w:cs="Arial"/>
                <w:color w:val="010205"/>
              </w:rPr>
              <w:t>.000</w:t>
            </w:r>
          </w:p>
        </w:tc>
        <w:tc>
          <w:tcPr>
            <w:tcW w:w="1337" w:type="dxa"/>
            <w:tcBorders>
              <w:top w:val="single" w:sz="8" w:space="0" w:color="AEAEAE"/>
              <w:left w:val="single" w:sz="8" w:space="0" w:color="E0E0E0"/>
              <w:bottom w:val="single" w:sz="8" w:space="0" w:color="AEAEAE"/>
              <w:right w:val="nil"/>
            </w:tcBorders>
            <w:shd w:val="clear" w:color="auto" w:fill="F9F9FB"/>
          </w:tcPr>
          <w:p w14:paraId="4CB473B1" w14:textId="77777777" w:rsidR="009C3C86" w:rsidRPr="00A12B79" w:rsidRDefault="009C3C86" w:rsidP="00027769">
            <w:pPr>
              <w:rPr>
                <w:rFonts w:ascii="Arial" w:hAnsi="Arial" w:cs="Arial"/>
                <w:color w:val="010205"/>
              </w:rPr>
            </w:pPr>
            <w:r w:rsidRPr="00A12B79">
              <w:rPr>
                <w:rFonts w:ascii="Arial" w:hAnsi="Arial" w:cs="Arial"/>
                <w:color w:val="010205"/>
              </w:rPr>
              <w:t>.000</w:t>
            </w:r>
          </w:p>
        </w:tc>
      </w:tr>
      <w:tr w:rsidR="009C3C86" w:rsidRPr="00A12B79" w14:paraId="51F378C5" w14:textId="77777777" w:rsidTr="009C3C86">
        <w:trPr>
          <w:cantSplit/>
        </w:trPr>
        <w:tc>
          <w:tcPr>
            <w:tcW w:w="1906" w:type="dxa"/>
            <w:vMerge/>
            <w:tcBorders>
              <w:top w:val="single" w:sz="8" w:space="0" w:color="AEAEAE"/>
              <w:left w:val="nil"/>
              <w:bottom w:val="single" w:sz="8" w:space="0" w:color="152935"/>
              <w:right w:val="nil"/>
            </w:tcBorders>
            <w:shd w:val="clear" w:color="auto" w:fill="E0E0E0"/>
          </w:tcPr>
          <w:p w14:paraId="1129B6C3" w14:textId="77777777" w:rsidR="009C3C86" w:rsidRPr="00A12B79" w:rsidRDefault="009C3C86" w:rsidP="00027769">
            <w:pPr>
              <w:rPr>
                <w:rFonts w:ascii="Arial" w:hAnsi="Arial" w:cs="Arial"/>
                <w:color w:val="010205"/>
              </w:rPr>
            </w:pPr>
          </w:p>
        </w:tc>
        <w:tc>
          <w:tcPr>
            <w:tcW w:w="1368" w:type="dxa"/>
            <w:tcBorders>
              <w:top w:val="single" w:sz="8" w:space="0" w:color="AEAEAE"/>
              <w:left w:val="nil"/>
              <w:bottom w:val="single" w:sz="8" w:space="0" w:color="AEAEAE"/>
              <w:right w:val="nil"/>
            </w:tcBorders>
            <w:shd w:val="clear" w:color="auto" w:fill="E0E0E0"/>
          </w:tcPr>
          <w:p w14:paraId="085504D9" w14:textId="77777777" w:rsidR="009C3C86" w:rsidRPr="00A12B79" w:rsidRDefault="009C3C86" w:rsidP="00027769">
            <w:pPr>
              <w:rPr>
                <w:rFonts w:ascii="Arial" w:hAnsi="Arial" w:cs="Arial"/>
                <w:color w:val="264A60"/>
              </w:rPr>
            </w:pPr>
            <w:r w:rsidRPr="00A12B79">
              <w:rPr>
                <w:rFonts w:ascii="Arial" w:hAnsi="Arial" w:cs="Arial"/>
                <w:color w:val="264A60"/>
              </w:rPr>
              <w:t>Std. Deviation</w:t>
            </w:r>
          </w:p>
        </w:tc>
        <w:tc>
          <w:tcPr>
            <w:tcW w:w="1183" w:type="dxa"/>
            <w:tcBorders>
              <w:top w:val="single" w:sz="8" w:space="0" w:color="AEAEAE"/>
              <w:left w:val="nil"/>
              <w:bottom w:val="single" w:sz="8" w:space="0" w:color="AEAEAE"/>
              <w:right w:val="single" w:sz="8" w:space="0" w:color="E0E0E0"/>
            </w:tcBorders>
            <w:shd w:val="clear" w:color="auto" w:fill="F9F9FB"/>
          </w:tcPr>
          <w:p w14:paraId="40A7C08A" w14:textId="77777777" w:rsidR="009C3C86" w:rsidRPr="00A12B79" w:rsidRDefault="009C3C86" w:rsidP="00027769">
            <w:pPr>
              <w:rPr>
                <w:rFonts w:ascii="Arial" w:hAnsi="Arial" w:cs="Arial"/>
                <w:color w:val="010205"/>
              </w:rPr>
            </w:pPr>
            <w:r w:rsidRPr="00A12B79">
              <w:rPr>
                <w:rFonts w:ascii="Arial" w:hAnsi="Arial" w:cs="Arial"/>
                <w:color w:val="010205"/>
              </w:rPr>
              <w:t>.970</w:t>
            </w:r>
          </w:p>
        </w:tc>
        <w:tc>
          <w:tcPr>
            <w:tcW w:w="1076" w:type="dxa"/>
            <w:tcBorders>
              <w:top w:val="single" w:sz="8" w:space="0" w:color="AEAEAE"/>
              <w:left w:val="single" w:sz="8" w:space="0" w:color="E0E0E0"/>
              <w:bottom w:val="single" w:sz="8" w:space="0" w:color="AEAEAE"/>
              <w:right w:val="single" w:sz="8" w:space="0" w:color="E0E0E0"/>
            </w:tcBorders>
            <w:shd w:val="clear" w:color="auto" w:fill="F9F9FB"/>
          </w:tcPr>
          <w:p w14:paraId="7E924173" w14:textId="77777777" w:rsidR="009C3C86" w:rsidRPr="00A12B79" w:rsidRDefault="009C3C86" w:rsidP="00027769">
            <w:pPr>
              <w:rPr>
                <w:rFonts w:ascii="Arial" w:hAnsi="Arial" w:cs="Arial"/>
                <w:color w:val="010205"/>
              </w:rPr>
            </w:pPr>
            <w:r w:rsidRPr="00A12B79">
              <w:rPr>
                <w:rFonts w:ascii="Arial" w:hAnsi="Arial" w:cs="Arial"/>
                <w:color w:val="010205"/>
              </w:rPr>
              <w:t>.000</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4BE5D861" w14:textId="77777777" w:rsidR="009C3C86" w:rsidRPr="00A12B79" w:rsidRDefault="009C3C86" w:rsidP="00027769">
            <w:pPr>
              <w:rPr>
                <w:rFonts w:ascii="Arial" w:hAnsi="Arial" w:cs="Arial"/>
                <w:color w:val="010205"/>
              </w:rPr>
            </w:pPr>
            <w:r w:rsidRPr="00A12B79">
              <w:rPr>
                <w:rFonts w:ascii="Arial" w:hAnsi="Arial" w:cs="Arial"/>
                <w:color w:val="010205"/>
              </w:rPr>
              <w:t>.000</w:t>
            </w:r>
          </w:p>
        </w:tc>
        <w:tc>
          <w:tcPr>
            <w:tcW w:w="1337" w:type="dxa"/>
            <w:tcBorders>
              <w:top w:val="single" w:sz="8" w:space="0" w:color="AEAEAE"/>
              <w:left w:val="single" w:sz="8" w:space="0" w:color="E0E0E0"/>
              <w:bottom w:val="single" w:sz="8" w:space="0" w:color="AEAEAE"/>
              <w:right w:val="single" w:sz="8" w:space="0" w:color="E0E0E0"/>
            </w:tcBorders>
            <w:shd w:val="clear" w:color="auto" w:fill="F9F9FB"/>
          </w:tcPr>
          <w:p w14:paraId="4BAAE7F7" w14:textId="77777777" w:rsidR="009C3C86" w:rsidRPr="00A12B79" w:rsidRDefault="009C3C86" w:rsidP="00027769">
            <w:pPr>
              <w:rPr>
                <w:rFonts w:ascii="Arial" w:hAnsi="Arial" w:cs="Arial"/>
                <w:color w:val="010205"/>
              </w:rPr>
            </w:pPr>
            <w:r w:rsidRPr="00A12B79">
              <w:rPr>
                <w:rFonts w:ascii="Arial" w:hAnsi="Arial" w:cs="Arial"/>
                <w:color w:val="010205"/>
              </w:rPr>
              <w:t>.970</w:t>
            </w:r>
          </w:p>
        </w:tc>
        <w:tc>
          <w:tcPr>
            <w:tcW w:w="1337" w:type="dxa"/>
            <w:tcBorders>
              <w:top w:val="single" w:sz="8" w:space="0" w:color="AEAEAE"/>
              <w:left w:val="single" w:sz="8" w:space="0" w:color="E0E0E0"/>
              <w:bottom w:val="single" w:sz="8" w:space="0" w:color="AEAEAE"/>
              <w:right w:val="nil"/>
            </w:tcBorders>
            <w:shd w:val="clear" w:color="auto" w:fill="F9F9FB"/>
          </w:tcPr>
          <w:p w14:paraId="7691C9B1" w14:textId="77777777" w:rsidR="009C3C86" w:rsidRPr="00A12B79" w:rsidRDefault="009C3C86" w:rsidP="00027769">
            <w:pPr>
              <w:rPr>
                <w:rFonts w:ascii="Arial" w:hAnsi="Arial" w:cs="Arial"/>
                <w:color w:val="010205"/>
              </w:rPr>
            </w:pPr>
            <w:r w:rsidRPr="00A12B79">
              <w:rPr>
                <w:rFonts w:ascii="Arial" w:hAnsi="Arial" w:cs="Arial"/>
                <w:color w:val="010205"/>
              </w:rPr>
              <w:t>.970</w:t>
            </w:r>
          </w:p>
        </w:tc>
      </w:tr>
      <w:tr w:rsidR="009C3C86" w:rsidRPr="00A12B79" w14:paraId="1BB8FC2B" w14:textId="77777777" w:rsidTr="009C3C86">
        <w:trPr>
          <w:cantSplit/>
        </w:trPr>
        <w:tc>
          <w:tcPr>
            <w:tcW w:w="1906" w:type="dxa"/>
            <w:vMerge/>
            <w:tcBorders>
              <w:top w:val="single" w:sz="8" w:space="0" w:color="AEAEAE"/>
              <w:left w:val="nil"/>
              <w:bottom w:val="single" w:sz="8" w:space="0" w:color="152935"/>
              <w:right w:val="nil"/>
            </w:tcBorders>
            <w:shd w:val="clear" w:color="auto" w:fill="E0E0E0"/>
          </w:tcPr>
          <w:p w14:paraId="046D05F2" w14:textId="77777777" w:rsidR="009C3C86" w:rsidRPr="00A12B79" w:rsidRDefault="009C3C86" w:rsidP="00027769">
            <w:pPr>
              <w:rPr>
                <w:rFonts w:ascii="Arial" w:hAnsi="Arial" w:cs="Arial"/>
                <w:color w:val="010205"/>
              </w:rPr>
            </w:pPr>
          </w:p>
        </w:tc>
        <w:tc>
          <w:tcPr>
            <w:tcW w:w="1368" w:type="dxa"/>
            <w:tcBorders>
              <w:top w:val="single" w:sz="8" w:space="0" w:color="AEAEAE"/>
              <w:left w:val="nil"/>
              <w:bottom w:val="single" w:sz="8" w:space="0" w:color="152935"/>
              <w:right w:val="nil"/>
            </w:tcBorders>
            <w:shd w:val="clear" w:color="auto" w:fill="E0E0E0"/>
          </w:tcPr>
          <w:p w14:paraId="6589C95D" w14:textId="77777777" w:rsidR="009C3C86" w:rsidRPr="00A12B79" w:rsidRDefault="009C3C86" w:rsidP="00027769">
            <w:pPr>
              <w:rPr>
                <w:rFonts w:ascii="Arial" w:hAnsi="Arial" w:cs="Arial"/>
                <w:color w:val="264A60"/>
              </w:rPr>
            </w:pPr>
            <w:r w:rsidRPr="00A12B79">
              <w:rPr>
                <w:rFonts w:ascii="Arial" w:hAnsi="Arial" w:cs="Arial"/>
                <w:color w:val="264A60"/>
              </w:rPr>
              <w:t>N</w:t>
            </w:r>
          </w:p>
        </w:tc>
        <w:tc>
          <w:tcPr>
            <w:tcW w:w="1183" w:type="dxa"/>
            <w:tcBorders>
              <w:top w:val="single" w:sz="8" w:space="0" w:color="AEAEAE"/>
              <w:left w:val="nil"/>
              <w:bottom w:val="single" w:sz="8" w:space="0" w:color="152935"/>
              <w:right w:val="single" w:sz="8" w:space="0" w:color="E0E0E0"/>
            </w:tcBorders>
            <w:shd w:val="clear" w:color="auto" w:fill="F9F9FB"/>
          </w:tcPr>
          <w:p w14:paraId="71FED451" w14:textId="77777777" w:rsidR="009C3C86" w:rsidRPr="00A12B79" w:rsidRDefault="009C3C86" w:rsidP="00027769">
            <w:pPr>
              <w:rPr>
                <w:rFonts w:ascii="Arial" w:hAnsi="Arial" w:cs="Arial"/>
                <w:color w:val="010205"/>
              </w:rPr>
            </w:pPr>
            <w:r w:rsidRPr="00A12B79">
              <w:rPr>
                <w:rFonts w:ascii="Arial" w:hAnsi="Arial" w:cs="Arial"/>
                <w:color w:val="010205"/>
              </w:rPr>
              <w:t>86</w:t>
            </w:r>
          </w:p>
        </w:tc>
        <w:tc>
          <w:tcPr>
            <w:tcW w:w="1076" w:type="dxa"/>
            <w:tcBorders>
              <w:top w:val="single" w:sz="8" w:space="0" w:color="AEAEAE"/>
              <w:left w:val="single" w:sz="8" w:space="0" w:color="E0E0E0"/>
              <w:bottom w:val="single" w:sz="8" w:space="0" w:color="152935"/>
              <w:right w:val="single" w:sz="8" w:space="0" w:color="E0E0E0"/>
            </w:tcBorders>
            <w:shd w:val="clear" w:color="auto" w:fill="F9F9FB"/>
          </w:tcPr>
          <w:p w14:paraId="582417F8" w14:textId="77777777" w:rsidR="009C3C86" w:rsidRPr="00A12B79" w:rsidRDefault="009C3C86" w:rsidP="00027769">
            <w:pPr>
              <w:rPr>
                <w:rFonts w:ascii="Arial" w:hAnsi="Arial" w:cs="Arial"/>
                <w:color w:val="010205"/>
              </w:rPr>
            </w:pPr>
            <w:r w:rsidRPr="00A12B79">
              <w:rPr>
                <w:rFonts w:ascii="Arial" w:hAnsi="Arial" w:cs="Arial"/>
                <w:color w:val="010205"/>
              </w:rPr>
              <w:t>0</w:t>
            </w:r>
          </w:p>
        </w:tc>
        <w:tc>
          <w:tcPr>
            <w:tcW w:w="1045" w:type="dxa"/>
            <w:tcBorders>
              <w:top w:val="single" w:sz="8" w:space="0" w:color="AEAEAE"/>
              <w:left w:val="single" w:sz="8" w:space="0" w:color="E0E0E0"/>
              <w:bottom w:val="single" w:sz="8" w:space="0" w:color="152935"/>
              <w:right w:val="single" w:sz="8" w:space="0" w:color="E0E0E0"/>
            </w:tcBorders>
            <w:shd w:val="clear" w:color="auto" w:fill="F9F9FB"/>
          </w:tcPr>
          <w:p w14:paraId="7BB85856" w14:textId="77777777" w:rsidR="009C3C86" w:rsidRPr="00A12B79" w:rsidRDefault="009C3C86" w:rsidP="00027769">
            <w:pPr>
              <w:rPr>
                <w:rFonts w:ascii="Arial" w:hAnsi="Arial" w:cs="Arial"/>
                <w:color w:val="010205"/>
              </w:rPr>
            </w:pPr>
            <w:r w:rsidRPr="00A12B79">
              <w:rPr>
                <w:rFonts w:ascii="Arial" w:hAnsi="Arial" w:cs="Arial"/>
                <w:color w:val="010205"/>
              </w:rPr>
              <w:t>0</w:t>
            </w:r>
          </w:p>
        </w:tc>
        <w:tc>
          <w:tcPr>
            <w:tcW w:w="1337" w:type="dxa"/>
            <w:tcBorders>
              <w:top w:val="single" w:sz="8" w:space="0" w:color="AEAEAE"/>
              <w:left w:val="single" w:sz="8" w:space="0" w:color="E0E0E0"/>
              <w:bottom w:val="single" w:sz="8" w:space="0" w:color="152935"/>
              <w:right w:val="single" w:sz="8" w:space="0" w:color="E0E0E0"/>
            </w:tcBorders>
            <w:shd w:val="clear" w:color="auto" w:fill="F9F9FB"/>
          </w:tcPr>
          <w:p w14:paraId="6A21D3E0" w14:textId="77777777" w:rsidR="009C3C86" w:rsidRPr="00A12B79" w:rsidRDefault="009C3C86" w:rsidP="00027769">
            <w:pPr>
              <w:rPr>
                <w:rFonts w:ascii="Arial" w:hAnsi="Arial" w:cs="Arial"/>
                <w:color w:val="010205"/>
              </w:rPr>
            </w:pPr>
            <w:r w:rsidRPr="00A12B79">
              <w:rPr>
                <w:rFonts w:ascii="Arial" w:hAnsi="Arial" w:cs="Arial"/>
                <w:color w:val="010205"/>
              </w:rPr>
              <w:t>.</w:t>
            </w:r>
          </w:p>
        </w:tc>
        <w:tc>
          <w:tcPr>
            <w:tcW w:w="1337" w:type="dxa"/>
            <w:tcBorders>
              <w:top w:val="single" w:sz="8" w:space="0" w:color="AEAEAE"/>
              <w:left w:val="single" w:sz="8" w:space="0" w:color="E0E0E0"/>
              <w:bottom w:val="single" w:sz="8" w:space="0" w:color="152935"/>
              <w:right w:val="nil"/>
            </w:tcBorders>
            <w:shd w:val="clear" w:color="auto" w:fill="F9F9FB"/>
          </w:tcPr>
          <w:p w14:paraId="2ECA234D" w14:textId="77777777" w:rsidR="009C3C86" w:rsidRPr="00A12B79" w:rsidRDefault="009C3C86" w:rsidP="00027769">
            <w:pPr>
              <w:rPr>
                <w:rFonts w:ascii="Arial" w:hAnsi="Arial" w:cs="Arial"/>
                <w:color w:val="010205"/>
              </w:rPr>
            </w:pPr>
            <w:r w:rsidRPr="00A12B79">
              <w:rPr>
                <w:rFonts w:ascii="Arial" w:hAnsi="Arial" w:cs="Arial"/>
                <w:color w:val="010205"/>
              </w:rPr>
              <w:t>.</w:t>
            </w:r>
          </w:p>
        </w:tc>
      </w:tr>
      <w:tr w:rsidR="009C3C86" w:rsidRPr="00A12B79" w14:paraId="25A6FCE8" w14:textId="77777777" w:rsidTr="009C3C86">
        <w:trPr>
          <w:cantSplit/>
        </w:trPr>
        <w:tc>
          <w:tcPr>
            <w:tcW w:w="9252" w:type="dxa"/>
            <w:gridSpan w:val="7"/>
            <w:tcBorders>
              <w:top w:val="nil"/>
              <w:left w:val="nil"/>
              <w:bottom w:val="nil"/>
              <w:right w:val="nil"/>
            </w:tcBorders>
            <w:shd w:val="clear" w:color="auto" w:fill="FFFFFF"/>
          </w:tcPr>
          <w:p w14:paraId="22AEC421" w14:textId="77777777" w:rsidR="009C3C86" w:rsidRPr="00A12B79" w:rsidRDefault="009C3C86" w:rsidP="00027769">
            <w:pPr>
              <w:rPr>
                <w:rFonts w:ascii="Arial" w:hAnsi="Arial" w:cs="Arial"/>
                <w:color w:val="010205"/>
              </w:rPr>
            </w:pPr>
            <w:r w:rsidRPr="00A12B79">
              <w:rPr>
                <w:rFonts w:ascii="Arial" w:hAnsi="Arial" w:cs="Arial"/>
                <w:color w:val="010205"/>
              </w:rPr>
              <w:t>a. Dependent Variable: seizurenumber</w:t>
            </w:r>
          </w:p>
        </w:tc>
      </w:tr>
      <w:tr w:rsidR="009C3C86" w:rsidRPr="00A12B79" w14:paraId="6744CC97" w14:textId="77777777" w:rsidTr="009C3C86">
        <w:trPr>
          <w:cantSplit/>
        </w:trPr>
        <w:tc>
          <w:tcPr>
            <w:tcW w:w="9252" w:type="dxa"/>
            <w:gridSpan w:val="7"/>
            <w:tcBorders>
              <w:top w:val="nil"/>
              <w:left w:val="nil"/>
              <w:bottom w:val="nil"/>
              <w:right w:val="nil"/>
            </w:tcBorders>
            <w:shd w:val="clear" w:color="auto" w:fill="FFFFFF"/>
          </w:tcPr>
          <w:p w14:paraId="12411EBC" w14:textId="77777777" w:rsidR="009C3C86" w:rsidRPr="00A12B79" w:rsidRDefault="009C3C86" w:rsidP="00027769">
            <w:pPr>
              <w:rPr>
                <w:rFonts w:ascii="Arial" w:hAnsi="Arial" w:cs="Arial"/>
                <w:color w:val="010205"/>
              </w:rPr>
            </w:pPr>
            <w:r w:rsidRPr="00A12B79">
              <w:rPr>
                <w:rFonts w:ascii="Arial" w:hAnsi="Arial" w:cs="Arial"/>
                <w:color w:val="010205"/>
              </w:rPr>
              <w:t>b. Unless otherwise noted, bootstrap results are based on 1000 bootstrap samples</w:t>
            </w:r>
          </w:p>
        </w:tc>
      </w:tr>
    </w:tbl>
    <w:p w14:paraId="5569A2D5" w14:textId="77777777" w:rsidR="009C3C86" w:rsidRDefault="009C3C86" w:rsidP="009C3C86"/>
    <w:p w14:paraId="5098A762" w14:textId="77777777" w:rsidR="007617A5" w:rsidRDefault="007617A5" w:rsidP="009C3C86"/>
    <w:p w14:paraId="0B5A4AEC" w14:textId="77777777" w:rsidR="007617A5" w:rsidRDefault="007617A5" w:rsidP="009C3C86"/>
    <w:p w14:paraId="67453E29" w14:textId="77777777" w:rsidR="00027769" w:rsidRDefault="00027769" w:rsidP="00027769">
      <w:pPr>
        <w:pStyle w:val="Heading1"/>
      </w:pPr>
    </w:p>
    <w:p w14:paraId="120F75D0" w14:textId="77777777" w:rsidR="00027769" w:rsidRDefault="00027769" w:rsidP="00027769">
      <w:pPr>
        <w:pStyle w:val="Heading1"/>
      </w:pPr>
    </w:p>
    <w:p w14:paraId="39AAF6BD" w14:textId="513BF1D8" w:rsidR="00027769" w:rsidRDefault="00027769" w:rsidP="00FA1AA6"/>
    <w:p w14:paraId="03B9C4B6" w14:textId="73F5D48A" w:rsidR="00FA1AA6" w:rsidRDefault="00FA1AA6" w:rsidP="00FA1AA6"/>
    <w:p w14:paraId="38E79976" w14:textId="3E31B03C" w:rsidR="00FA1AA6" w:rsidRDefault="00FA1AA6" w:rsidP="00FA1AA6"/>
    <w:p w14:paraId="1342B62E" w14:textId="1AB50D32" w:rsidR="00FA1AA6" w:rsidRDefault="00FA1AA6" w:rsidP="00FA1AA6"/>
    <w:p w14:paraId="2EC806F7" w14:textId="595AC45E" w:rsidR="00FA1AA6" w:rsidRDefault="00FA1AA6" w:rsidP="00FA1AA6"/>
    <w:p w14:paraId="0A2C2EA2" w14:textId="3E9CA15D" w:rsidR="00FA1AA6" w:rsidRDefault="00FA1AA6" w:rsidP="00FA1AA6"/>
    <w:p w14:paraId="19E74F2B" w14:textId="3EBBDEFF" w:rsidR="00FA1AA6" w:rsidRDefault="00FA1AA6" w:rsidP="00FA1AA6"/>
    <w:p w14:paraId="4866C529" w14:textId="0BA043F9" w:rsidR="00FA1AA6" w:rsidRDefault="00FA1AA6" w:rsidP="00FA1AA6"/>
    <w:p w14:paraId="1E5C55D7" w14:textId="542543C6" w:rsidR="00FA1AA6" w:rsidRDefault="00FA1AA6" w:rsidP="00FA1AA6"/>
    <w:p w14:paraId="34A5F69F" w14:textId="401F22C5" w:rsidR="00FA1AA6" w:rsidRDefault="00FA1AA6" w:rsidP="00FA1AA6"/>
    <w:p w14:paraId="0585AB2C" w14:textId="60E7E17D" w:rsidR="00FA1AA6" w:rsidRDefault="00FA1AA6" w:rsidP="00FA1AA6"/>
    <w:p w14:paraId="3AC268BA" w14:textId="77777777" w:rsidR="00FA1AA6" w:rsidRPr="00FA1AA6" w:rsidRDefault="00FA1AA6" w:rsidP="00FA1AA6">
      <w:pPr>
        <w:rPr>
          <w:rFonts w:eastAsiaTheme="majorEastAsia" w:cstheme="minorHAnsi"/>
          <w:b/>
        </w:rPr>
      </w:pPr>
    </w:p>
    <w:p w14:paraId="6836E461" w14:textId="78980EC9" w:rsidR="00AB5339" w:rsidRDefault="00D8564C" w:rsidP="00027769">
      <w:pPr>
        <w:pStyle w:val="Heading1"/>
      </w:pPr>
      <w:bookmarkStart w:id="208" w:name="_Toc133487859"/>
      <w:r>
        <w:lastRenderedPageBreak/>
        <w:t xml:space="preserve">Paper 3: </w:t>
      </w:r>
      <w:r w:rsidR="00AB5339">
        <w:t>Executive Summary</w:t>
      </w:r>
      <w:bookmarkEnd w:id="208"/>
    </w:p>
    <w:p w14:paraId="47E12DB7" w14:textId="69BA6CB9" w:rsidR="00027769" w:rsidRDefault="00027769" w:rsidP="00027769"/>
    <w:p w14:paraId="2FE9D27E" w14:textId="1CF6AEC1" w:rsidR="00027769" w:rsidRDefault="00027769" w:rsidP="00027769"/>
    <w:p w14:paraId="5BCE1933" w14:textId="77777777" w:rsidR="003C79A0" w:rsidRPr="00027769" w:rsidRDefault="003C79A0" w:rsidP="003C79A0">
      <w:pPr>
        <w:spacing w:line="360" w:lineRule="auto"/>
        <w:jc w:val="center"/>
        <w:rPr>
          <w:b/>
        </w:rPr>
      </w:pPr>
      <w:r w:rsidRPr="00027769">
        <w:rPr>
          <w:b/>
        </w:rPr>
        <w:t xml:space="preserve">Psychological Factors associated with Somatisation </w:t>
      </w:r>
      <w:r>
        <w:rPr>
          <w:b/>
        </w:rPr>
        <w:t>and Seizure Frequency in Seizure Conditions</w:t>
      </w:r>
      <w:r w:rsidRPr="00027769">
        <w:rPr>
          <w:b/>
        </w:rPr>
        <w:t xml:space="preserve">: </w:t>
      </w:r>
      <w:r>
        <w:rPr>
          <w:b/>
        </w:rPr>
        <w:t xml:space="preserve">Comparing </w:t>
      </w:r>
      <w:r w:rsidRPr="00027769">
        <w:rPr>
          <w:b/>
        </w:rPr>
        <w:t xml:space="preserve">Intolerance of Uncertainty, Anxiety Sensitivity, Anxiety, and Depression </w:t>
      </w:r>
      <w:r>
        <w:rPr>
          <w:b/>
        </w:rPr>
        <w:t>between</w:t>
      </w:r>
      <w:r w:rsidRPr="00027769">
        <w:rPr>
          <w:b/>
        </w:rPr>
        <w:t xml:space="preserve"> </w:t>
      </w:r>
      <w:r>
        <w:rPr>
          <w:b/>
        </w:rPr>
        <w:t>People with Epilepsy and Dissociative Seizures</w:t>
      </w:r>
    </w:p>
    <w:p w14:paraId="3E9ADDFB" w14:textId="77777777" w:rsidR="00027769" w:rsidRPr="00027769" w:rsidRDefault="00027769" w:rsidP="00027769"/>
    <w:p w14:paraId="54474E42" w14:textId="77777777" w:rsidR="00AB5339" w:rsidRDefault="00AB5339" w:rsidP="00436994">
      <w:pPr>
        <w:spacing w:line="360" w:lineRule="auto"/>
        <w:ind w:firstLine="720"/>
      </w:pPr>
    </w:p>
    <w:p w14:paraId="3C12611F" w14:textId="77777777" w:rsidR="00AB5339" w:rsidRDefault="00AB5339" w:rsidP="00436994">
      <w:pPr>
        <w:spacing w:line="360" w:lineRule="auto"/>
        <w:ind w:firstLine="720"/>
      </w:pPr>
    </w:p>
    <w:p w14:paraId="77FE3CAA" w14:textId="77777777" w:rsidR="00AB5339" w:rsidRDefault="00AB5339" w:rsidP="00436994">
      <w:pPr>
        <w:spacing w:line="360" w:lineRule="auto"/>
        <w:ind w:firstLine="720"/>
      </w:pPr>
    </w:p>
    <w:p w14:paraId="668DBBE9" w14:textId="324EB2E1" w:rsidR="00AB5339" w:rsidRDefault="00AB5339" w:rsidP="00027769">
      <w:pPr>
        <w:spacing w:line="360" w:lineRule="auto"/>
        <w:jc w:val="center"/>
      </w:pPr>
      <w:r>
        <w:t xml:space="preserve">Word Count: </w:t>
      </w:r>
      <w:r w:rsidR="001B08DD">
        <w:t>2067</w:t>
      </w:r>
    </w:p>
    <w:p w14:paraId="4270DF7E" w14:textId="77777777" w:rsidR="00AB5339" w:rsidRDefault="00AB5339" w:rsidP="00436994">
      <w:pPr>
        <w:spacing w:line="360" w:lineRule="auto"/>
        <w:ind w:firstLine="720"/>
      </w:pPr>
    </w:p>
    <w:p w14:paraId="379E06E1" w14:textId="21A2C450" w:rsidR="00A53770" w:rsidRDefault="00A53770">
      <w:r>
        <w:br w:type="page"/>
      </w:r>
    </w:p>
    <w:p w14:paraId="2C17AED5" w14:textId="2479087C" w:rsidR="00A30A2A" w:rsidRPr="007B3E18" w:rsidRDefault="00A30A2A" w:rsidP="00027769">
      <w:pPr>
        <w:pStyle w:val="Heading1"/>
        <w:rPr>
          <w:color w:val="0070C0"/>
          <w:sz w:val="24"/>
          <w:szCs w:val="24"/>
          <w:u w:val="single"/>
        </w:rPr>
      </w:pPr>
      <w:bookmarkStart w:id="209" w:name="_Toc133487860"/>
      <w:r w:rsidRPr="007B3E18">
        <w:rPr>
          <w:color w:val="0070C0"/>
          <w:sz w:val="24"/>
          <w:szCs w:val="24"/>
          <w:u w:val="single"/>
        </w:rPr>
        <w:lastRenderedPageBreak/>
        <w:t>Introduction</w:t>
      </w:r>
      <w:bookmarkEnd w:id="209"/>
    </w:p>
    <w:p w14:paraId="52474C3F" w14:textId="77777777" w:rsidR="00CA721F" w:rsidRPr="00CA721F" w:rsidRDefault="00CA721F" w:rsidP="00CA721F"/>
    <w:p w14:paraId="4CBB8E2C" w14:textId="385EB499" w:rsidR="00AB5339" w:rsidRDefault="007617A5" w:rsidP="00A30A2A">
      <w:pPr>
        <w:spacing w:line="360" w:lineRule="auto"/>
        <w:ind w:firstLine="720"/>
      </w:pPr>
      <w:r>
        <w:t>This report has been written as a summary of a research proje</w:t>
      </w:r>
      <w:r w:rsidR="00F075B3">
        <w:t>ct into psychological factors effecting</w:t>
      </w:r>
      <w:r>
        <w:t xml:space="preserve"> people with diagnoses of either epilepsy or dissociative seizures. It has been written for people living w</w:t>
      </w:r>
      <w:r w:rsidR="00FC540E">
        <w:t>ith seizure conditions and th</w:t>
      </w:r>
      <w:r w:rsidR="00821D35">
        <w:t xml:space="preserve">ose </w:t>
      </w:r>
      <w:r>
        <w:t>supporting them</w:t>
      </w:r>
      <w:r w:rsidR="00273222">
        <w:t>, including professionals and loved ones</w:t>
      </w:r>
      <w:r>
        <w:t xml:space="preserve">. Service users generously helped comment on </w:t>
      </w:r>
      <w:r w:rsidR="00A30A2A">
        <w:t>a draft version of this report</w:t>
      </w:r>
      <w:r w:rsidR="00273222">
        <w:t xml:space="preserve">, </w:t>
      </w:r>
      <w:r w:rsidR="00D8564C">
        <w:t>advising</w:t>
      </w:r>
      <w:r w:rsidR="00273222">
        <w:t xml:space="preserve"> on content and structure</w:t>
      </w:r>
      <w:r w:rsidR="00A30A2A">
        <w:t>.</w:t>
      </w:r>
    </w:p>
    <w:p w14:paraId="2E50DE24" w14:textId="26A349B2" w:rsidR="00AB5339" w:rsidRPr="007B3E18" w:rsidRDefault="00AB5339" w:rsidP="00A53770">
      <w:pPr>
        <w:pStyle w:val="Heading2"/>
        <w:rPr>
          <w:color w:val="0070C0"/>
        </w:rPr>
      </w:pPr>
      <w:bookmarkStart w:id="210" w:name="_Toc133144245"/>
      <w:bookmarkStart w:id="211" w:name="_Toc133487861"/>
      <w:r w:rsidRPr="007B3E18">
        <w:rPr>
          <w:color w:val="0070C0"/>
        </w:rPr>
        <w:t xml:space="preserve">What is the </w:t>
      </w:r>
      <w:r w:rsidR="00262F30" w:rsidRPr="007B3E18">
        <w:rPr>
          <w:color w:val="0070C0"/>
        </w:rPr>
        <w:t>background for</w:t>
      </w:r>
      <w:r w:rsidRPr="007B3E18">
        <w:rPr>
          <w:color w:val="0070C0"/>
        </w:rPr>
        <w:t xml:space="preserve"> this study?</w:t>
      </w:r>
      <w:bookmarkEnd w:id="210"/>
      <w:bookmarkEnd w:id="211"/>
    </w:p>
    <w:p w14:paraId="43832306" w14:textId="7709937C" w:rsidR="003227F0" w:rsidRDefault="00AB5339" w:rsidP="005042A1">
      <w:pPr>
        <w:spacing w:line="360" w:lineRule="auto"/>
        <w:ind w:firstLine="720"/>
      </w:pPr>
      <w:r>
        <w:t xml:space="preserve">Previous studies have shown that psychological </w:t>
      </w:r>
      <w:r w:rsidR="0061003A">
        <w:t>difficulties</w:t>
      </w:r>
      <w:r>
        <w:t xml:space="preserve"> can be more common in people with epilepsy and dissociative seizures. </w:t>
      </w:r>
      <w:r w:rsidR="00043BF4">
        <w:t>R</w:t>
      </w:r>
      <w:r w:rsidR="003227F0">
        <w:t xml:space="preserve">esearch has shown that psychological factors may worsen some of the key symptoms found in seizure conditions such as how often someone has a seizure, </w:t>
      </w:r>
      <w:r w:rsidR="00921FD9">
        <w:t>and the severity of</w:t>
      </w:r>
      <w:r w:rsidR="003227F0">
        <w:t xml:space="preserve"> physical symptoms such as headaches, fatigue, and pain. </w:t>
      </w:r>
      <w:r w:rsidR="00D8564C">
        <w:t>It</w:t>
      </w:r>
      <w:r w:rsidR="003227F0">
        <w:t xml:space="preserve"> is important to understand psychological </w:t>
      </w:r>
      <w:r w:rsidR="00043BF4">
        <w:t>factors that</w:t>
      </w:r>
      <w:r w:rsidR="003227F0">
        <w:t xml:space="preserve"> may contribute to </w:t>
      </w:r>
      <w:r w:rsidR="00D8564C">
        <w:t>poorer physical health outcomes because this may</w:t>
      </w:r>
      <w:r w:rsidR="003227F0">
        <w:t xml:space="preserve"> lead to improvements in psychological therapies </w:t>
      </w:r>
      <w:r w:rsidR="00507A07">
        <w:t>that help to support with these difficulties</w:t>
      </w:r>
      <w:r w:rsidR="003227F0">
        <w:t xml:space="preserve">. </w:t>
      </w:r>
    </w:p>
    <w:p w14:paraId="39FC9776" w14:textId="32F36AEE" w:rsidR="002A0BA5" w:rsidRDefault="003227F0" w:rsidP="002A0BA5">
      <w:pPr>
        <w:spacing w:line="360" w:lineRule="auto"/>
        <w:ind w:firstLine="720"/>
      </w:pPr>
      <w:r>
        <w:t xml:space="preserve">The study </w:t>
      </w:r>
      <w:r w:rsidR="00273222">
        <w:t>focused on</w:t>
      </w:r>
      <w:r>
        <w:t xml:space="preserve"> intolerance of uncertainty, anxiety sensitivity, anxiety, depression, and their impact on somatisation and seizure frequency in people with seizure conditions</w:t>
      </w:r>
      <w:r w:rsidR="00EF3AF1">
        <w:t xml:space="preserve"> (see key terms for definitions)</w:t>
      </w:r>
      <w:r>
        <w:t xml:space="preserve">. </w:t>
      </w:r>
    </w:p>
    <w:p w14:paraId="3F5A0BB2" w14:textId="38651229" w:rsidR="00043BF4" w:rsidRDefault="00043BF4" w:rsidP="002A0BA5">
      <w:pPr>
        <w:spacing w:line="360" w:lineRule="auto"/>
        <w:ind w:firstLine="720"/>
      </w:pPr>
    </w:p>
    <w:p w14:paraId="187676E7" w14:textId="5D523703" w:rsidR="00043BF4" w:rsidRDefault="00043BF4" w:rsidP="002A0BA5">
      <w:pPr>
        <w:spacing w:line="360" w:lineRule="auto"/>
        <w:ind w:firstLine="720"/>
      </w:pPr>
    </w:p>
    <w:p w14:paraId="36155A5D" w14:textId="2148A535" w:rsidR="00043BF4" w:rsidRDefault="00043BF4" w:rsidP="002A0BA5">
      <w:pPr>
        <w:spacing w:line="360" w:lineRule="auto"/>
        <w:ind w:firstLine="720"/>
      </w:pPr>
    </w:p>
    <w:p w14:paraId="7AF69EA5" w14:textId="17956841" w:rsidR="00043BF4" w:rsidRDefault="00043BF4" w:rsidP="002A0BA5">
      <w:pPr>
        <w:spacing w:line="360" w:lineRule="auto"/>
        <w:ind w:firstLine="720"/>
      </w:pPr>
    </w:p>
    <w:p w14:paraId="59CD502A" w14:textId="058ECF81" w:rsidR="00043BF4" w:rsidRDefault="00043BF4" w:rsidP="002A0BA5">
      <w:pPr>
        <w:spacing w:line="360" w:lineRule="auto"/>
        <w:ind w:firstLine="720"/>
      </w:pPr>
    </w:p>
    <w:p w14:paraId="52BB4920" w14:textId="15C001B0" w:rsidR="00043BF4" w:rsidRDefault="00043BF4" w:rsidP="002A0BA5">
      <w:pPr>
        <w:spacing w:line="360" w:lineRule="auto"/>
        <w:ind w:firstLine="720"/>
      </w:pPr>
    </w:p>
    <w:p w14:paraId="020D6D7F" w14:textId="7F011CC3" w:rsidR="00043BF4" w:rsidRDefault="00043BF4" w:rsidP="002A0BA5">
      <w:pPr>
        <w:spacing w:line="360" w:lineRule="auto"/>
        <w:ind w:firstLine="720"/>
      </w:pPr>
    </w:p>
    <w:p w14:paraId="68B96425" w14:textId="1BAB06D1" w:rsidR="00043BF4" w:rsidRDefault="00043BF4" w:rsidP="002A0BA5">
      <w:pPr>
        <w:spacing w:line="360" w:lineRule="auto"/>
        <w:ind w:firstLine="720"/>
      </w:pPr>
    </w:p>
    <w:p w14:paraId="0B314F81" w14:textId="04FA30A7" w:rsidR="00043BF4" w:rsidRDefault="00043BF4" w:rsidP="002A0BA5">
      <w:pPr>
        <w:spacing w:line="360" w:lineRule="auto"/>
        <w:ind w:firstLine="720"/>
      </w:pPr>
    </w:p>
    <w:p w14:paraId="0D29322A" w14:textId="350250E2" w:rsidR="00043BF4" w:rsidRDefault="00043BF4" w:rsidP="002A0BA5">
      <w:pPr>
        <w:spacing w:line="360" w:lineRule="auto"/>
        <w:ind w:firstLine="720"/>
      </w:pPr>
    </w:p>
    <w:p w14:paraId="34E5AC4B" w14:textId="4FDA147E" w:rsidR="00043BF4" w:rsidRDefault="00043BF4" w:rsidP="002A0BA5">
      <w:pPr>
        <w:spacing w:line="360" w:lineRule="auto"/>
        <w:ind w:firstLine="720"/>
      </w:pPr>
    </w:p>
    <w:p w14:paraId="1A3A7BD7" w14:textId="77777777" w:rsidR="00043BF4" w:rsidRDefault="00043BF4" w:rsidP="00043BF4">
      <w:pPr>
        <w:pStyle w:val="ListParagraph"/>
        <w:spacing w:line="360" w:lineRule="auto"/>
        <w:ind w:left="2160"/>
      </w:pPr>
    </w:p>
    <w:p w14:paraId="50AD9603" w14:textId="77777777" w:rsidR="00043BF4" w:rsidRPr="007B3E18" w:rsidRDefault="00043BF4" w:rsidP="007B3E18">
      <w:pPr>
        <w:pStyle w:val="Heading2"/>
        <w:jc w:val="center"/>
        <w:rPr>
          <w:color w:val="0070C0"/>
          <w:sz w:val="24"/>
          <w:szCs w:val="24"/>
          <w:u w:val="single"/>
        </w:rPr>
      </w:pPr>
      <w:bookmarkStart w:id="212" w:name="_Toc133487862"/>
      <w:r w:rsidRPr="007B3E18">
        <w:rPr>
          <w:color w:val="0070C0"/>
          <w:sz w:val="24"/>
          <w:szCs w:val="24"/>
          <w:u w:val="single"/>
        </w:rPr>
        <w:t>Key Terms</w:t>
      </w:r>
      <w:bookmarkEnd w:id="212"/>
    </w:p>
    <w:p w14:paraId="2E60BFB1" w14:textId="77777777" w:rsidR="00043BF4" w:rsidRDefault="00043BF4" w:rsidP="00043BF4"/>
    <w:tbl>
      <w:tblPr>
        <w:tblStyle w:val="GridTable4-Accent5"/>
        <w:tblW w:w="0" w:type="auto"/>
        <w:jc w:val="center"/>
        <w:tblLook w:val="04A0" w:firstRow="1" w:lastRow="0" w:firstColumn="1" w:lastColumn="0" w:noHBand="0" w:noVBand="1"/>
      </w:tblPr>
      <w:tblGrid>
        <w:gridCol w:w="3005"/>
        <w:gridCol w:w="3005"/>
        <w:gridCol w:w="3006"/>
      </w:tblGrid>
      <w:tr w:rsidR="00043BF4" w14:paraId="31818BA8" w14:textId="77777777" w:rsidTr="00507A0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auto"/>
              <w:bottom w:val="single" w:sz="4" w:space="0" w:color="auto"/>
            </w:tcBorders>
            <w:vAlign w:val="center"/>
          </w:tcPr>
          <w:p w14:paraId="50A6B188" w14:textId="77777777" w:rsidR="00043BF4" w:rsidRDefault="00043BF4" w:rsidP="007B3E18">
            <w:r>
              <w:t xml:space="preserve">Seizure Condition </w:t>
            </w:r>
          </w:p>
        </w:tc>
        <w:tc>
          <w:tcPr>
            <w:tcW w:w="3005" w:type="dxa"/>
            <w:tcBorders>
              <w:top w:val="single" w:sz="4" w:space="0" w:color="auto"/>
              <w:bottom w:val="single" w:sz="4" w:space="0" w:color="auto"/>
            </w:tcBorders>
            <w:vAlign w:val="center"/>
          </w:tcPr>
          <w:p w14:paraId="25F58C25" w14:textId="02A432A5" w:rsidR="00043BF4" w:rsidRDefault="00043BF4" w:rsidP="007B3E18">
            <w:pPr>
              <w:cnfStyle w:val="100000000000" w:firstRow="1" w:lastRow="0" w:firstColumn="0" w:lastColumn="0" w:oddVBand="0" w:evenVBand="0" w:oddHBand="0" w:evenHBand="0" w:firstRowFirstColumn="0" w:firstRowLastColumn="0" w:lastRowFirstColumn="0" w:lastRowLastColumn="0"/>
            </w:pPr>
            <w:r>
              <w:t>Epilepsy</w:t>
            </w:r>
          </w:p>
        </w:tc>
        <w:tc>
          <w:tcPr>
            <w:tcW w:w="3006" w:type="dxa"/>
            <w:tcBorders>
              <w:top w:val="single" w:sz="4" w:space="0" w:color="auto"/>
              <w:bottom w:val="single" w:sz="4" w:space="0" w:color="auto"/>
            </w:tcBorders>
            <w:vAlign w:val="center"/>
          </w:tcPr>
          <w:p w14:paraId="580E23D5" w14:textId="2E232292" w:rsidR="00043BF4" w:rsidRDefault="00043BF4" w:rsidP="007B3E18">
            <w:pPr>
              <w:cnfStyle w:val="100000000000" w:firstRow="1" w:lastRow="0" w:firstColumn="0" w:lastColumn="0" w:oddVBand="0" w:evenVBand="0" w:oddHBand="0" w:evenHBand="0" w:firstRowFirstColumn="0" w:firstRowLastColumn="0" w:lastRowFirstColumn="0" w:lastRowLastColumn="0"/>
            </w:pPr>
            <w:r>
              <w:t>Dissociative Seizures</w:t>
            </w:r>
          </w:p>
        </w:tc>
      </w:tr>
      <w:tr w:rsidR="00043BF4" w14:paraId="5C728E6E" w14:textId="77777777" w:rsidTr="00507A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auto"/>
              <w:left w:val="nil"/>
              <w:bottom w:val="nil"/>
              <w:right w:val="nil"/>
            </w:tcBorders>
            <w:vAlign w:val="center"/>
          </w:tcPr>
          <w:p w14:paraId="51D76760" w14:textId="77777777" w:rsidR="00043BF4" w:rsidRDefault="00043BF4" w:rsidP="007B3E18">
            <w:r>
              <w:t>Common alternative names?</w:t>
            </w:r>
          </w:p>
        </w:tc>
        <w:tc>
          <w:tcPr>
            <w:tcW w:w="3005" w:type="dxa"/>
            <w:tcBorders>
              <w:top w:val="single" w:sz="4" w:space="0" w:color="auto"/>
              <w:left w:val="nil"/>
              <w:bottom w:val="nil"/>
              <w:right w:val="nil"/>
            </w:tcBorders>
            <w:vAlign w:val="center"/>
          </w:tcPr>
          <w:p w14:paraId="4FA5A252" w14:textId="77777777" w:rsidR="00043BF4" w:rsidRDefault="00043BF4" w:rsidP="007B3E18">
            <w:pPr>
              <w:cnfStyle w:val="000000100000" w:firstRow="0" w:lastRow="0" w:firstColumn="0" w:lastColumn="0" w:oddVBand="0" w:evenVBand="0" w:oddHBand="1" w:evenHBand="0" w:firstRowFirstColumn="0" w:firstRowLastColumn="0" w:lastRowFirstColumn="0" w:lastRowLastColumn="0"/>
            </w:pPr>
            <w:r>
              <w:t>None</w:t>
            </w:r>
          </w:p>
        </w:tc>
        <w:tc>
          <w:tcPr>
            <w:tcW w:w="3006" w:type="dxa"/>
            <w:tcBorders>
              <w:top w:val="single" w:sz="4" w:space="0" w:color="auto"/>
              <w:left w:val="nil"/>
              <w:bottom w:val="nil"/>
              <w:right w:val="nil"/>
            </w:tcBorders>
            <w:vAlign w:val="center"/>
          </w:tcPr>
          <w:p w14:paraId="2050F277" w14:textId="535EB971" w:rsidR="00043BF4" w:rsidRDefault="00043BF4" w:rsidP="007B3E18">
            <w:pPr>
              <w:cnfStyle w:val="000000100000" w:firstRow="0" w:lastRow="0" w:firstColumn="0" w:lastColumn="0" w:oddVBand="0" w:evenVBand="0" w:oddHBand="1" w:evenHBand="0" w:firstRowFirstColumn="0" w:firstRowLastColumn="0" w:lastRowFirstColumn="0" w:lastRowLastColumn="0"/>
            </w:pPr>
            <w:r>
              <w:t xml:space="preserve">Non-epileptic attack disorder (NEAD), psychogenic non-epileptic seizures (PNES), functional seizures. </w:t>
            </w:r>
          </w:p>
        </w:tc>
      </w:tr>
      <w:tr w:rsidR="00043BF4" w14:paraId="63820DFE" w14:textId="77777777" w:rsidTr="00507A07">
        <w:trPr>
          <w:jc w:val="center"/>
        </w:trPr>
        <w:tc>
          <w:tcPr>
            <w:cnfStyle w:val="001000000000" w:firstRow="0" w:lastRow="0" w:firstColumn="1" w:lastColumn="0" w:oddVBand="0" w:evenVBand="0" w:oddHBand="0" w:evenHBand="0" w:firstRowFirstColumn="0" w:firstRowLastColumn="0" w:lastRowFirstColumn="0" w:lastRowLastColumn="0"/>
            <w:tcW w:w="3005" w:type="dxa"/>
            <w:tcBorders>
              <w:top w:val="nil"/>
              <w:left w:val="nil"/>
              <w:bottom w:val="nil"/>
              <w:right w:val="nil"/>
            </w:tcBorders>
            <w:vAlign w:val="center"/>
          </w:tcPr>
          <w:p w14:paraId="31CEEB94" w14:textId="77777777" w:rsidR="00043BF4" w:rsidRDefault="00043BF4" w:rsidP="007B3E18">
            <w:r>
              <w:t>Recurring involuntary seizures causing loss of bodily control?</w:t>
            </w:r>
          </w:p>
        </w:tc>
        <w:tc>
          <w:tcPr>
            <w:tcW w:w="3005" w:type="dxa"/>
            <w:tcBorders>
              <w:top w:val="nil"/>
              <w:left w:val="nil"/>
              <w:bottom w:val="nil"/>
              <w:right w:val="nil"/>
            </w:tcBorders>
            <w:vAlign w:val="center"/>
          </w:tcPr>
          <w:p w14:paraId="6A304988" w14:textId="77777777" w:rsidR="00043BF4" w:rsidRDefault="00043BF4" w:rsidP="007B3E18">
            <w:pPr>
              <w:cnfStyle w:val="000000000000" w:firstRow="0" w:lastRow="0" w:firstColumn="0" w:lastColumn="0" w:oddVBand="0" w:evenVBand="0" w:oddHBand="0" w:evenHBand="0" w:firstRowFirstColumn="0" w:firstRowLastColumn="0" w:lastRowFirstColumn="0" w:lastRowLastColumn="0"/>
            </w:pPr>
            <w:r>
              <w:t>Yes</w:t>
            </w:r>
          </w:p>
        </w:tc>
        <w:tc>
          <w:tcPr>
            <w:tcW w:w="3006" w:type="dxa"/>
            <w:tcBorders>
              <w:top w:val="nil"/>
              <w:left w:val="nil"/>
              <w:bottom w:val="nil"/>
              <w:right w:val="nil"/>
            </w:tcBorders>
            <w:vAlign w:val="center"/>
          </w:tcPr>
          <w:p w14:paraId="5981CC28" w14:textId="77777777" w:rsidR="00043BF4" w:rsidRDefault="00043BF4" w:rsidP="007B3E18">
            <w:pPr>
              <w:cnfStyle w:val="000000000000" w:firstRow="0" w:lastRow="0" w:firstColumn="0" w:lastColumn="0" w:oddVBand="0" w:evenVBand="0" w:oddHBand="0" w:evenHBand="0" w:firstRowFirstColumn="0" w:firstRowLastColumn="0" w:lastRowFirstColumn="0" w:lastRowLastColumn="0"/>
            </w:pPr>
            <w:r>
              <w:t>Yes</w:t>
            </w:r>
          </w:p>
        </w:tc>
      </w:tr>
      <w:tr w:rsidR="00043BF4" w14:paraId="24FEC174" w14:textId="77777777" w:rsidTr="00507A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Borders>
              <w:top w:val="nil"/>
              <w:left w:val="nil"/>
              <w:bottom w:val="nil"/>
              <w:right w:val="nil"/>
            </w:tcBorders>
            <w:vAlign w:val="center"/>
          </w:tcPr>
          <w:p w14:paraId="0F5FC5F5" w14:textId="77777777" w:rsidR="00043BF4" w:rsidRDefault="00043BF4" w:rsidP="007B3E18">
            <w:r>
              <w:t>Seizures due to electrical activity in the brain?</w:t>
            </w:r>
          </w:p>
        </w:tc>
        <w:tc>
          <w:tcPr>
            <w:tcW w:w="3005" w:type="dxa"/>
            <w:tcBorders>
              <w:top w:val="nil"/>
              <w:left w:val="nil"/>
              <w:bottom w:val="nil"/>
              <w:right w:val="nil"/>
            </w:tcBorders>
            <w:vAlign w:val="center"/>
          </w:tcPr>
          <w:p w14:paraId="683A0511" w14:textId="77777777" w:rsidR="00043BF4" w:rsidRDefault="00043BF4" w:rsidP="007B3E18">
            <w:pPr>
              <w:cnfStyle w:val="000000100000" w:firstRow="0" w:lastRow="0" w:firstColumn="0" w:lastColumn="0" w:oddVBand="0" w:evenVBand="0" w:oddHBand="1" w:evenHBand="0" w:firstRowFirstColumn="0" w:firstRowLastColumn="0" w:lastRowFirstColumn="0" w:lastRowLastColumn="0"/>
            </w:pPr>
            <w:r>
              <w:t>Yes</w:t>
            </w:r>
          </w:p>
        </w:tc>
        <w:tc>
          <w:tcPr>
            <w:tcW w:w="3006" w:type="dxa"/>
            <w:tcBorders>
              <w:top w:val="nil"/>
              <w:left w:val="nil"/>
              <w:bottom w:val="nil"/>
              <w:right w:val="nil"/>
            </w:tcBorders>
            <w:vAlign w:val="center"/>
          </w:tcPr>
          <w:p w14:paraId="14E15ECE" w14:textId="77777777" w:rsidR="00043BF4" w:rsidRDefault="00043BF4" w:rsidP="007B3E18">
            <w:pPr>
              <w:cnfStyle w:val="000000100000" w:firstRow="0" w:lastRow="0" w:firstColumn="0" w:lastColumn="0" w:oddVBand="0" w:evenVBand="0" w:oddHBand="1" w:evenHBand="0" w:firstRowFirstColumn="0" w:firstRowLastColumn="0" w:lastRowFirstColumn="0" w:lastRowLastColumn="0"/>
            </w:pPr>
            <w:r>
              <w:t>No</w:t>
            </w:r>
          </w:p>
        </w:tc>
      </w:tr>
      <w:tr w:rsidR="00043BF4" w14:paraId="2B179B08" w14:textId="77777777" w:rsidTr="00507A07">
        <w:trPr>
          <w:jc w:val="center"/>
        </w:trPr>
        <w:tc>
          <w:tcPr>
            <w:cnfStyle w:val="001000000000" w:firstRow="0" w:lastRow="0" w:firstColumn="1" w:lastColumn="0" w:oddVBand="0" w:evenVBand="0" w:oddHBand="0" w:evenHBand="0" w:firstRowFirstColumn="0" w:firstRowLastColumn="0" w:lastRowFirstColumn="0" w:lastRowLastColumn="0"/>
            <w:tcW w:w="3005" w:type="dxa"/>
            <w:tcBorders>
              <w:top w:val="nil"/>
              <w:left w:val="nil"/>
              <w:bottom w:val="nil"/>
              <w:right w:val="nil"/>
            </w:tcBorders>
            <w:vAlign w:val="center"/>
          </w:tcPr>
          <w:p w14:paraId="5C5056F5" w14:textId="77777777" w:rsidR="00043BF4" w:rsidRDefault="00043BF4" w:rsidP="007B3E18">
            <w:r>
              <w:t>Seizures last over two minutes</w:t>
            </w:r>
          </w:p>
        </w:tc>
        <w:tc>
          <w:tcPr>
            <w:tcW w:w="3005" w:type="dxa"/>
            <w:tcBorders>
              <w:top w:val="nil"/>
              <w:left w:val="nil"/>
              <w:bottom w:val="nil"/>
              <w:right w:val="nil"/>
            </w:tcBorders>
            <w:vAlign w:val="center"/>
          </w:tcPr>
          <w:p w14:paraId="1124CA5A" w14:textId="77777777" w:rsidR="00043BF4" w:rsidRDefault="00043BF4" w:rsidP="007B3E18">
            <w:pPr>
              <w:cnfStyle w:val="000000000000" w:firstRow="0" w:lastRow="0" w:firstColumn="0" w:lastColumn="0" w:oddVBand="0" w:evenVBand="0" w:oddHBand="0" w:evenHBand="0" w:firstRowFirstColumn="0" w:firstRowLastColumn="0" w:lastRowFirstColumn="0" w:lastRowLastColumn="0"/>
            </w:pPr>
            <w:r>
              <w:t>Rare</w:t>
            </w:r>
          </w:p>
        </w:tc>
        <w:tc>
          <w:tcPr>
            <w:tcW w:w="3006" w:type="dxa"/>
            <w:tcBorders>
              <w:top w:val="nil"/>
              <w:left w:val="nil"/>
              <w:bottom w:val="nil"/>
              <w:right w:val="nil"/>
            </w:tcBorders>
            <w:vAlign w:val="center"/>
          </w:tcPr>
          <w:p w14:paraId="4B738DE6" w14:textId="77777777" w:rsidR="00043BF4" w:rsidRDefault="00043BF4" w:rsidP="007B3E18">
            <w:pPr>
              <w:cnfStyle w:val="000000000000" w:firstRow="0" w:lastRow="0" w:firstColumn="0" w:lastColumn="0" w:oddVBand="0" w:evenVBand="0" w:oddHBand="0" w:evenHBand="0" w:firstRowFirstColumn="0" w:firstRowLastColumn="0" w:lastRowFirstColumn="0" w:lastRowLastColumn="0"/>
            </w:pPr>
            <w:r>
              <w:t>Common</w:t>
            </w:r>
          </w:p>
        </w:tc>
      </w:tr>
      <w:tr w:rsidR="00043BF4" w14:paraId="7DD5B212" w14:textId="77777777" w:rsidTr="00507A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Borders>
              <w:top w:val="nil"/>
              <w:left w:val="nil"/>
              <w:bottom w:val="nil"/>
              <w:right w:val="nil"/>
            </w:tcBorders>
            <w:vAlign w:val="center"/>
          </w:tcPr>
          <w:p w14:paraId="43A339A7" w14:textId="77777777" w:rsidR="00043BF4" w:rsidRDefault="00043BF4" w:rsidP="007B3E18">
            <w:r>
              <w:t>Condition develops after 10 years of age</w:t>
            </w:r>
          </w:p>
        </w:tc>
        <w:tc>
          <w:tcPr>
            <w:tcW w:w="3005" w:type="dxa"/>
            <w:tcBorders>
              <w:top w:val="nil"/>
              <w:left w:val="nil"/>
              <w:bottom w:val="nil"/>
              <w:right w:val="nil"/>
            </w:tcBorders>
            <w:vAlign w:val="center"/>
          </w:tcPr>
          <w:p w14:paraId="67E79AE6" w14:textId="77777777" w:rsidR="00043BF4" w:rsidRDefault="00043BF4" w:rsidP="007B3E18">
            <w:pPr>
              <w:cnfStyle w:val="000000100000" w:firstRow="0" w:lastRow="0" w:firstColumn="0" w:lastColumn="0" w:oddVBand="0" w:evenVBand="0" w:oddHBand="1" w:evenHBand="0" w:firstRowFirstColumn="0" w:firstRowLastColumn="0" w:lastRowFirstColumn="0" w:lastRowLastColumn="0"/>
            </w:pPr>
            <w:r>
              <w:t>Rare</w:t>
            </w:r>
          </w:p>
        </w:tc>
        <w:tc>
          <w:tcPr>
            <w:tcW w:w="3006" w:type="dxa"/>
            <w:tcBorders>
              <w:top w:val="nil"/>
              <w:left w:val="nil"/>
              <w:bottom w:val="nil"/>
              <w:right w:val="nil"/>
            </w:tcBorders>
            <w:vAlign w:val="center"/>
          </w:tcPr>
          <w:p w14:paraId="3B2E6496" w14:textId="77777777" w:rsidR="00043BF4" w:rsidRDefault="00043BF4" w:rsidP="007B3E18">
            <w:pPr>
              <w:cnfStyle w:val="000000100000" w:firstRow="0" w:lastRow="0" w:firstColumn="0" w:lastColumn="0" w:oddVBand="0" w:evenVBand="0" w:oddHBand="1" w:evenHBand="0" w:firstRowFirstColumn="0" w:firstRowLastColumn="0" w:lastRowFirstColumn="0" w:lastRowLastColumn="0"/>
            </w:pPr>
            <w:r>
              <w:t>Common</w:t>
            </w:r>
          </w:p>
        </w:tc>
      </w:tr>
      <w:tr w:rsidR="00043BF4" w14:paraId="5D4A4D0F" w14:textId="77777777" w:rsidTr="00507A07">
        <w:trPr>
          <w:jc w:val="center"/>
        </w:trPr>
        <w:tc>
          <w:tcPr>
            <w:cnfStyle w:val="001000000000" w:firstRow="0" w:lastRow="0" w:firstColumn="1" w:lastColumn="0" w:oddVBand="0" w:evenVBand="0" w:oddHBand="0" w:evenHBand="0" w:firstRowFirstColumn="0" w:firstRowLastColumn="0" w:lastRowFirstColumn="0" w:lastRowLastColumn="0"/>
            <w:tcW w:w="3005" w:type="dxa"/>
            <w:tcBorders>
              <w:top w:val="nil"/>
              <w:left w:val="nil"/>
              <w:bottom w:val="nil"/>
              <w:right w:val="nil"/>
            </w:tcBorders>
            <w:vAlign w:val="center"/>
          </w:tcPr>
          <w:p w14:paraId="0A1D45BE" w14:textId="77777777" w:rsidR="00043BF4" w:rsidRDefault="00043BF4" w:rsidP="007B3E18">
            <w:r>
              <w:t>Gender differences</w:t>
            </w:r>
          </w:p>
        </w:tc>
        <w:tc>
          <w:tcPr>
            <w:tcW w:w="3005" w:type="dxa"/>
            <w:tcBorders>
              <w:top w:val="nil"/>
              <w:left w:val="nil"/>
              <w:bottom w:val="nil"/>
              <w:right w:val="nil"/>
            </w:tcBorders>
            <w:vAlign w:val="center"/>
          </w:tcPr>
          <w:p w14:paraId="20093E67" w14:textId="77777777" w:rsidR="00043BF4" w:rsidRDefault="00043BF4" w:rsidP="007B3E18">
            <w:pPr>
              <w:cnfStyle w:val="000000000000" w:firstRow="0" w:lastRow="0" w:firstColumn="0" w:lastColumn="0" w:oddVBand="0" w:evenVBand="0" w:oddHBand="0" w:evenHBand="0" w:firstRowFirstColumn="0" w:firstRowLastColumn="0" w:lastRowFirstColumn="0" w:lastRowLastColumn="0"/>
            </w:pPr>
            <w:r>
              <w:t>Slightly more common in men</w:t>
            </w:r>
          </w:p>
        </w:tc>
        <w:tc>
          <w:tcPr>
            <w:tcW w:w="3006" w:type="dxa"/>
            <w:tcBorders>
              <w:top w:val="nil"/>
              <w:left w:val="nil"/>
              <w:bottom w:val="nil"/>
              <w:right w:val="nil"/>
            </w:tcBorders>
            <w:vAlign w:val="center"/>
          </w:tcPr>
          <w:p w14:paraId="1DABA79F" w14:textId="77777777" w:rsidR="00043BF4" w:rsidRDefault="00043BF4" w:rsidP="007B3E18">
            <w:pPr>
              <w:cnfStyle w:val="000000000000" w:firstRow="0" w:lastRow="0" w:firstColumn="0" w:lastColumn="0" w:oddVBand="0" w:evenVBand="0" w:oddHBand="0" w:evenHBand="0" w:firstRowFirstColumn="0" w:firstRowLastColumn="0" w:lastRowFirstColumn="0" w:lastRowLastColumn="0"/>
            </w:pPr>
            <w:r>
              <w:t>Much more common in women</w:t>
            </w:r>
          </w:p>
        </w:tc>
      </w:tr>
      <w:tr w:rsidR="00043BF4" w14:paraId="072B0B9A" w14:textId="77777777" w:rsidTr="00507A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Borders>
              <w:top w:val="nil"/>
              <w:left w:val="nil"/>
              <w:bottom w:val="single" w:sz="4" w:space="0" w:color="auto"/>
              <w:right w:val="nil"/>
            </w:tcBorders>
            <w:vAlign w:val="center"/>
          </w:tcPr>
          <w:p w14:paraId="067B318A" w14:textId="77777777" w:rsidR="00043BF4" w:rsidRDefault="00043BF4" w:rsidP="007B3E18">
            <w:r>
              <w:t>Associated difficulties with thinking and memory, fatigue, emotions, social stigma, and employment pressures.</w:t>
            </w:r>
          </w:p>
        </w:tc>
        <w:tc>
          <w:tcPr>
            <w:tcW w:w="3005" w:type="dxa"/>
            <w:tcBorders>
              <w:top w:val="nil"/>
              <w:left w:val="nil"/>
              <w:bottom w:val="single" w:sz="4" w:space="0" w:color="auto"/>
              <w:right w:val="nil"/>
            </w:tcBorders>
            <w:vAlign w:val="center"/>
          </w:tcPr>
          <w:p w14:paraId="3F281CA0" w14:textId="77777777" w:rsidR="00043BF4" w:rsidRDefault="00043BF4" w:rsidP="007B3E18">
            <w:pPr>
              <w:cnfStyle w:val="000000100000" w:firstRow="0" w:lastRow="0" w:firstColumn="0" w:lastColumn="0" w:oddVBand="0" w:evenVBand="0" w:oddHBand="1" w:evenHBand="0" w:firstRowFirstColumn="0" w:firstRowLastColumn="0" w:lastRowFirstColumn="0" w:lastRowLastColumn="0"/>
            </w:pPr>
            <w:r>
              <w:t>Common</w:t>
            </w:r>
          </w:p>
        </w:tc>
        <w:tc>
          <w:tcPr>
            <w:tcW w:w="3006" w:type="dxa"/>
            <w:tcBorders>
              <w:top w:val="nil"/>
              <w:left w:val="nil"/>
              <w:bottom w:val="single" w:sz="4" w:space="0" w:color="auto"/>
              <w:right w:val="nil"/>
            </w:tcBorders>
            <w:vAlign w:val="center"/>
          </w:tcPr>
          <w:p w14:paraId="00DF0763" w14:textId="77777777" w:rsidR="00043BF4" w:rsidRDefault="00043BF4" w:rsidP="007B3E18">
            <w:pPr>
              <w:cnfStyle w:val="000000100000" w:firstRow="0" w:lastRow="0" w:firstColumn="0" w:lastColumn="0" w:oddVBand="0" w:evenVBand="0" w:oddHBand="1" w:evenHBand="0" w:firstRowFirstColumn="0" w:firstRowLastColumn="0" w:lastRowFirstColumn="0" w:lastRowLastColumn="0"/>
            </w:pPr>
            <w:r>
              <w:t>Common</w:t>
            </w:r>
          </w:p>
        </w:tc>
      </w:tr>
    </w:tbl>
    <w:p w14:paraId="1968D3FD" w14:textId="77777777" w:rsidR="00043BF4" w:rsidRDefault="00043BF4" w:rsidP="00043BF4"/>
    <w:p w14:paraId="659942FF" w14:textId="70A21D32" w:rsidR="00043BF4" w:rsidRDefault="0055208E" w:rsidP="00043BF4">
      <w:r>
        <w:rPr>
          <w:noProof/>
          <w:lang w:eastAsia="en-GB"/>
        </w:rPr>
        <mc:AlternateContent>
          <mc:Choice Requires="wpg">
            <w:drawing>
              <wp:anchor distT="0" distB="0" distL="114300" distR="114300" simplePos="0" relativeHeight="251723776" behindDoc="1" locked="0" layoutInCell="1" allowOverlap="1" wp14:anchorId="374835FF" wp14:editId="176A841C">
                <wp:simplePos x="0" y="0"/>
                <wp:positionH relativeFrom="margin">
                  <wp:posOffset>3002915</wp:posOffset>
                </wp:positionH>
                <wp:positionV relativeFrom="paragraph">
                  <wp:posOffset>264795</wp:posOffset>
                </wp:positionV>
                <wp:extent cx="3403600" cy="1926590"/>
                <wp:effectExtent l="0" t="0" r="6350" b="0"/>
                <wp:wrapTight wrapText="bothSides">
                  <wp:wrapPolygon edited="0">
                    <wp:start x="242" y="0"/>
                    <wp:lineTo x="363" y="21358"/>
                    <wp:lineTo x="20673" y="21358"/>
                    <wp:lineTo x="20915" y="3844"/>
                    <wp:lineTo x="21519" y="2990"/>
                    <wp:lineTo x="21519" y="0"/>
                    <wp:lineTo x="242" y="0"/>
                  </wp:wrapPolygon>
                </wp:wrapTight>
                <wp:docPr id="297" name="Group 297"/>
                <wp:cNvGraphicFramePr/>
                <a:graphic xmlns:a="http://schemas.openxmlformats.org/drawingml/2006/main">
                  <a:graphicData uri="http://schemas.microsoft.com/office/word/2010/wordprocessingGroup">
                    <wpg:wgp>
                      <wpg:cNvGrpSpPr/>
                      <wpg:grpSpPr>
                        <a:xfrm>
                          <a:off x="0" y="0"/>
                          <a:ext cx="3403600" cy="1926590"/>
                          <a:chOff x="-83340" y="0"/>
                          <a:chExt cx="3666628" cy="2579516"/>
                        </a:xfrm>
                      </wpg:grpSpPr>
                      <wps:wsp>
                        <wps:cNvPr id="298" name="Rectangle 298"/>
                        <wps:cNvSpPr/>
                        <wps:spPr>
                          <a:xfrm>
                            <a:off x="-1" y="0"/>
                            <a:ext cx="3583289" cy="35781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93B7E5" w14:textId="77777777" w:rsidR="000D292E" w:rsidRDefault="000D292E" w:rsidP="00043BF4">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Anxiety Sensitivity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Text Box 299"/>
                        <wps:cNvSpPr txBox="1"/>
                        <wps:spPr>
                          <a:xfrm>
                            <a:off x="-83340" y="346846"/>
                            <a:ext cx="3583288" cy="2232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02ABB0" w14:textId="77777777" w:rsidR="000D292E" w:rsidRPr="00EA0F31" w:rsidRDefault="000D292E" w:rsidP="00043BF4">
                              <w:pPr>
                                <w:numPr>
                                  <w:ilvl w:val="0"/>
                                  <w:numId w:val="22"/>
                                </w:numPr>
                                <w:pBdr>
                                  <w:top w:val="single" w:sz="24" w:space="8" w:color="5B9BD5" w:themeColor="accent1"/>
                                  <w:bottom w:val="single" w:sz="24" w:space="8" w:color="5B9BD5" w:themeColor="accent1"/>
                                </w:pBdr>
                                <w:spacing w:after="0"/>
                                <w:rPr>
                                  <w:iCs/>
                                </w:rPr>
                              </w:pPr>
                              <w:r>
                                <w:t xml:space="preserve">When anxious, the body responds via increased heart-rate, sweating, or feeling dizzy, for example. </w:t>
                              </w:r>
                            </w:p>
                            <w:p w14:paraId="418158DA" w14:textId="77777777" w:rsidR="000D292E" w:rsidRPr="00CA721F" w:rsidRDefault="000D292E" w:rsidP="00043BF4">
                              <w:pPr>
                                <w:numPr>
                                  <w:ilvl w:val="0"/>
                                  <w:numId w:val="22"/>
                                </w:numPr>
                                <w:pBdr>
                                  <w:top w:val="single" w:sz="24" w:space="8" w:color="5B9BD5" w:themeColor="accent1"/>
                                  <w:bottom w:val="single" w:sz="24" w:space="8" w:color="5B9BD5" w:themeColor="accent1"/>
                                </w:pBdr>
                                <w:spacing w:after="0"/>
                                <w:rPr>
                                  <w:iCs/>
                                </w:rPr>
                              </w:pPr>
                              <w:r>
                                <w:t>The more sensitive a person is to these changes, the more concerned they are about them happening and their potential consequences.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4835FF" id="Group 297" o:spid="_x0000_s1038" style="position:absolute;margin-left:236.45pt;margin-top:20.85pt;width:268pt;height:151.7pt;z-index:-251592704;mso-position-horizontal-relative:margin;mso-width-relative:margin;mso-height-relative:margin" coordorigin="-833" coordsize="36666,2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">
                <v:rect id="Rectangle 298" o:spid="_x0000_s1039" style="position:absolute;width:35832;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" fillcolor="#5b9bd5 [3204]" stroked="f" strokeweight="1pt">
                  <v:textbox>
                    <w:txbxContent>
                      <w:p w14:paraId="6A93B7E5" w14:textId="77777777" w:rsidR="000D292E" w:rsidRDefault="000D292E" w:rsidP="00043BF4">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Anxiety Sensitivity</w:t>
                        </w:r>
                      </w:p>
                    </w:txbxContent>
                  </v:textbox>
                </v:rect>
                <v:shapetype id="_x0000_t202" coordsize="21600,21600" o:spt="202" path="m,l,21600r21600,l21600,xe">
                  <v:stroke joinstyle="miter"/>
                  <v:path gradientshapeok="t" o:connecttype="rect"/>
                </v:shapetype>
                <v:shape id="Text Box 299" o:spid="_x0000_s1040" type="#_x0000_t202" style="position:absolute;left:-833;top:3468;width:35832;height:22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" filled="f" stroked="f" strokeweight=".5pt">
                  <v:textbox inset=",7.2pt,,0">
                    <w:txbxContent>
                      <w:p w14:paraId="4002ABB0" w14:textId="77777777" w:rsidR="000D292E" w:rsidRPr="00EA0F31" w:rsidRDefault="000D292E" w:rsidP="00043BF4">
                        <w:pPr>
                          <w:numPr>
                            <w:ilvl w:val="0"/>
                            <w:numId w:val="22"/>
                          </w:numPr>
                          <w:pBdr>
                            <w:top w:val="single" w:sz="24" w:space="8" w:color="5B9BD5" w:themeColor="accent1"/>
                            <w:bottom w:val="single" w:sz="24" w:space="8" w:color="5B9BD5" w:themeColor="accent1"/>
                          </w:pBdr>
                          <w:spacing w:after="0"/>
                          <w:rPr>
                            <w:iCs/>
                          </w:rPr>
                        </w:pPr>
                        <w:r>
                          <w:t xml:space="preserve">When anxious, the body responds via increased heart-rate, sweating, or feeling dizzy, for example. </w:t>
                        </w:r>
                      </w:p>
                      <w:p w14:paraId="418158DA" w14:textId="77777777" w:rsidR="000D292E" w:rsidRPr="00CA721F" w:rsidRDefault="000D292E" w:rsidP="00043BF4">
                        <w:pPr>
                          <w:numPr>
                            <w:ilvl w:val="0"/>
                            <w:numId w:val="22"/>
                          </w:numPr>
                          <w:pBdr>
                            <w:top w:val="single" w:sz="24" w:space="8" w:color="5B9BD5" w:themeColor="accent1"/>
                            <w:bottom w:val="single" w:sz="24" w:space="8" w:color="5B9BD5" w:themeColor="accent1"/>
                          </w:pBdr>
                          <w:spacing w:after="0"/>
                          <w:rPr>
                            <w:iCs/>
                          </w:rPr>
                        </w:pPr>
                        <w:r>
                          <w:t>The more sensitive a person is to these changes, the more concerned they are about them happening and their potential consequences.</w:t>
                        </w:r>
                      </w:p>
                    </w:txbxContent>
                  </v:textbox>
                </v:shape>
                <w10:wrap type="tight" anchorx="margin"/>
              </v:group>
            </w:pict>
          </mc:Fallback>
        </mc:AlternateContent>
      </w:r>
      <w:r w:rsidR="007B3E18">
        <w:rPr>
          <w:noProof/>
          <w:lang w:eastAsia="en-GB"/>
        </w:rPr>
        <mc:AlternateContent>
          <mc:Choice Requires="wpg">
            <w:drawing>
              <wp:anchor distT="45720" distB="45720" distL="182880" distR="182880" simplePos="0" relativeHeight="251724800" behindDoc="1" locked="0" layoutInCell="1" allowOverlap="1" wp14:anchorId="1BB8FACA" wp14:editId="1ADA0B98">
                <wp:simplePos x="0" y="0"/>
                <wp:positionH relativeFrom="margin">
                  <wp:posOffset>-499745</wp:posOffset>
                </wp:positionH>
                <wp:positionV relativeFrom="margin">
                  <wp:posOffset>6618605</wp:posOffset>
                </wp:positionV>
                <wp:extent cx="3411220" cy="1828800"/>
                <wp:effectExtent l="0" t="0" r="0" b="0"/>
                <wp:wrapTight wrapText="bothSides">
                  <wp:wrapPolygon edited="0">
                    <wp:start x="0" y="0"/>
                    <wp:lineTo x="0" y="3375"/>
                    <wp:lineTo x="362" y="21375"/>
                    <wp:lineTo x="21230" y="21375"/>
                    <wp:lineTo x="21471" y="4275"/>
                    <wp:lineTo x="21471" y="0"/>
                    <wp:lineTo x="0" y="0"/>
                  </wp:wrapPolygon>
                </wp:wrapTight>
                <wp:docPr id="304" name="Group 304"/>
                <wp:cNvGraphicFramePr/>
                <a:graphic xmlns:a="http://schemas.openxmlformats.org/drawingml/2006/main">
                  <a:graphicData uri="http://schemas.microsoft.com/office/word/2010/wordprocessingGroup">
                    <wpg:wgp>
                      <wpg:cNvGrpSpPr/>
                      <wpg:grpSpPr>
                        <a:xfrm>
                          <a:off x="0" y="0"/>
                          <a:ext cx="3411220" cy="1828800"/>
                          <a:chOff x="0" y="0"/>
                          <a:chExt cx="3567448" cy="3959676"/>
                        </a:xfrm>
                      </wpg:grpSpPr>
                      <wps:wsp>
                        <wps:cNvPr id="305" name="Rectangle 305"/>
                        <wps:cNvSpPr/>
                        <wps:spPr>
                          <a:xfrm>
                            <a:off x="0" y="0"/>
                            <a:ext cx="3567448" cy="6356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622907" w14:textId="77777777" w:rsidR="000D292E" w:rsidRDefault="000D292E" w:rsidP="00043BF4">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Depression and Anxiety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Text Box 306"/>
                        <wps:cNvSpPr txBox="1"/>
                        <wps:spPr>
                          <a:xfrm>
                            <a:off x="0" y="572810"/>
                            <a:ext cx="3567448" cy="33868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CD5E0" w14:textId="77777777" w:rsidR="000D292E" w:rsidRDefault="000D292E" w:rsidP="00043BF4">
                              <w:pPr>
                                <w:numPr>
                                  <w:ilvl w:val="0"/>
                                  <w:numId w:val="28"/>
                                </w:numPr>
                                <w:pBdr>
                                  <w:top w:val="single" w:sz="24" w:space="8" w:color="5B9BD5" w:themeColor="accent1"/>
                                  <w:bottom w:val="single" w:sz="24" w:space="8" w:color="5B9BD5" w:themeColor="accent1"/>
                                </w:pBdr>
                                <w:spacing w:after="0"/>
                                <w:rPr>
                                  <w:iCs/>
                                </w:rPr>
                              </w:pPr>
                              <w:r w:rsidRPr="00CA721F">
                                <w:rPr>
                                  <w:iCs/>
                                </w:rPr>
                                <w:t xml:space="preserve">Depression </w:t>
                              </w:r>
                              <w:r>
                                <w:rPr>
                                  <w:iCs/>
                                </w:rPr>
                                <w:t>is characterised by low mood, fatigue, changes to sleep and appetite, and loss of motivation or pleasure in doing things.</w:t>
                              </w:r>
                            </w:p>
                            <w:p w14:paraId="0735AE2C" w14:textId="77777777" w:rsidR="000D292E" w:rsidRPr="00CA721F" w:rsidRDefault="000D292E" w:rsidP="00043BF4">
                              <w:pPr>
                                <w:numPr>
                                  <w:ilvl w:val="0"/>
                                  <w:numId w:val="28"/>
                                </w:numPr>
                                <w:pBdr>
                                  <w:top w:val="single" w:sz="24" w:space="8" w:color="5B9BD5" w:themeColor="accent1"/>
                                  <w:bottom w:val="single" w:sz="24" w:space="8" w:color="5B9BD5" w:themeColor="accent1"/>
                                </w:pBdr>
                                <w:spacing w:after="0"/>
                                <w:rPr>
                                  <w:iCs/>
                                </w:rPr>
                              </w:pPr>
                              <w:r>
                                <w:rPr>
                                  <w:iCs/>
                                </w:rPr>
                                <w:t>Anxiety is characterised by worry, restlessness, and physical symptoms such as dizziness or palpitations.</w:t>
                              </w:r>
                            </w:p>
                            <w:p w14:paraId="31677F84" w14:textId="77777777" w:rsidR="000D292E" w:rsidRDefault="000D292E" w:rsidP="00043BF4">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B8FACA" id="Group 304" o:spid="_x0000_s1041" style="position:absolute;margin-left:-39.35pt;margin-top:521.15pt;width:268.6pt;height:2in;z-index:-251591680;mso-wrap-distance-left:14.4pt;mso-wrap-distance-top:3.6pt;mso-wrap-distance-right:14.4pt;mso-wrap-distance-bottom:3.6pt;mso-position-horizontal-relative:margin;mso-position-vertical-relative:margin;mso-width-relative:margin;mso-height-relative:margin" coordsize="35674,39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">
                <v:rect id="Rectangle 305" o:spid="_x0000_s1042" style="position:absolute;width:35674;height:6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" fillcolor="#5b9bd5 [3204]" stroked="f" strokeweight="1pt">
                  <v:textbox>
                    <w:txbxContent>
                      <w:p w14:paraId="5A622907" w14:textId="77777777" w:rsidR="000D292E" w:rsidRDefault="000D292E" w:rsidP="00043BF4">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Depression and Anxiety</w:t>
                        </w:r>
                      </w:p>
                    </w:txbxContent>
                  </v:textbox>
                </v:rect>
                <v:shape id="Text Box 306" o:spid="_x0000_s1043" type="#_x0000_t202" style="position:absolute;top:5728;width:35674;height:3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" filled="f" stroked="f" strokeweight=".5pt">
                  <v:textbox inset=",7.2pt,,0">
                    <w:txbxContent>
                      <w:p w14:paraId="02CCD5E0" w14:textId="77777777" w:rsidR="000D292E" w:rsidRDefault="000D292E" w:rsidP="00043BF4">
                        <w:pPr>
                          <w:numPr>
                            <w:ilvl w:val="0"/>
                            <w:numId w:val="28"/>
                          </w:numPr>
                          <w:pBdr>
                            <w:top w:val="single" w:sz="24" w:space="8" w:color="5B9BD5" w:themeColor="accent1"/>
                            <w:bottom w:val="single" w:sz="24" w:space="8" w:color="5B9BD5" w:themeColor="accent1"/>
                          </w:pBdr>
                          <w:spacing w:after="0"/>
                          <w:rPr>
                            <w:iCs/>
                          </w:rPr>
                        </w:pPr>
                        <w:r w:rsidRPr="00CA721F">
                          <w:rPr>
                            <w:iCs/>
                          </w:rPr>
                          <w:t xml:space="preserve">Depression </w:t>
                        </w:r>
                        <w:r>
                          <w:rPr>
                            <w:iCs/>
                          </w:rPr>
                          <w:t>is characterised by low mood, fatigue, changes to sleep and appetite, and loss of motivation or pleasure in doing things.</w:t>
                        </w:r>
                      </w:p>
                      <w:p w14:paraId="0735AE2C" w14:textId="77777777" w:rsidR="000D292E" w:rsidRPr="00CA721F" w:rsidRDefault="000D292E" w:rsidP="00043BF4">
                        <w:pPr>
                          <w:numPr>
                            <w:ilvl w:val="0"/>
                            <w:numId w:val="28"/>
                          </w:numPr>
                          <w:pBdr>
                            <w:top w:val="single" w:sz="24" w:space="8" w:color="5B9BD5" w:themeColor="accent1"/>
                            <w:bottom w:val="single" w:sz="24" w:space="8" w:color="5B9BD5" w:themeColor="accent1"/>
                          </w:pBdr>
                          <w:spacing w:after="0"/>
                          <w:rPr>
                            <w:iCs/>
                          </w:rPr>
                        </w:pPr>
                        <w:r>
                          <w:rPr>
                            <w:iCs/>
                          </w:rPr>
                          <w:t>Anxiety is characterised by worry, restlessness, and physical symptoms such as dizziness or palpitations.</w:t>
                        </w:r>
                      </w:p>
                      <w:p w14:paraId="31677F84" w14:textId="77777777" w:rsidR="000D292E" w:rsidRDefault="000D292E" w:rsidP="00043BF4">
                        <w:pPr>
                          <w:rPr>
                            <w:caps/>
                            <w:color w:val="5B9BD5" w:themeColor="accent1"/>
                            <w:sz w:val="26"/>
                            <w:szCs w:val="26"/>
                          </w:rPr>
                        </w:pPr>
                      </w:p>
                    </w:txbxContent>
                  </v:textbox>
                </v:shape>
                <w10:wrap type="tight" anchorx="margin" anchory="margin"/>
              </v:group>
            </w:pict>
          </mc:Fallback>
        </mc:AlternateContent>
      </w:r>
      <w:r w:rsidR="00043BF4">
        <w:rPr>
          <w:noProof/>
          <w:lang w:eastAsia="en-GB"/>
        </w:rPr>
        <mc:AlternateContent>
          <mc:Choice Requires="wpg">
            <w:drawing>
              <wp:anchor distT="45720" distB="45720" distL="182880" distR="182880" simplePos="0" relativeHeight="251725824" behindDoc="1" locked="0" layoutInCell="1" allowOverlap="1" wp14:anchorId="43AC2E08" wp14:editId="5C890F81">
                <wp:simplePos x="0" y="0"/>
                <wp:positionH relativeFrom="page">
                  <wp:posOffset>3917315</wp:posOffset>
                </wp:positionH>
                <wp:positionV relativeFrom="margin">
                  <wp:posOffset>6632575</wp:posOffset>
                </wp:positionV>
                <wp:extent cx="3522980" cy="1744345"/>
                <wp:effectExtent l="0" t="0" r="1270" b="8255"/>
                <wp:wrapTight wrapText="bothSides">
                  <wp:wrapPolygon edited="0">
                    <wp:start x="0" y="0"/>
                    <wp:lineTo x="350" y="21466"/>
                    <wp:lineTo x="20440" y="21466"/>
                    <wp:lineTo x="20673" y="4482"/>
                    <wp:lineTo x="21491" y="3538"/>
                    <wp:lineTo x="21491" y="0"/>
                    <wp:lineTo x="0" y="0"/>
                  </wp:wrapPolygon>
                </wp:wrapTight>
                <wp:docPr id="308" name="Group 308"/>
                <wp:cNvGraphicFramePr/>
                <a:graphic xmlns:a="http://schemas.openxmlformats.org/drawingml/2006/main">
                  <a:graphicData uri="http://schemas.microsoft.com/office/word/2010/wordprocessingGroup">
                    <wpg:wgp>
                      <wpg:cNvGrpSpPr/>
                      <wpg:grpSpPr>
                        <a:xfrm>
                          <a:off x="0" y="0"/>
                          <a:ext cx="3522980" cy="1744345"/>
                          <a:chOff x="0" y="-512376"/>
                          <a:chExt cx="3687616" cy="4774240"/>
                        </a:xfrm>
                      </wpg:grpSpPr>
                      <wps:wsp>
                        <wps:cNvPr id="309" name="Rectangle 309"/>
                        <wps:cNvSpPr/>
                        <wps:spPr>
                          <a:xfrm>
                            <a:off x="14725" y="-512376"/>
                            <a:ext cx="3672891" cy="7650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A943C7" w14:textId="77777777" w:rsidR="000D292E" w:rsidRDefault="000D292E" w:rsidP="00043BF4">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Somatisation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Text Box 310"/>
                        <wps:cNvSpPr txBox="1"/>
                        <wps:spPr>
                          <a:xfrm>
                            <a:off x="0" y="252684"/>
                            <a:ext cx="3567448" cy="4009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99DD84" w14:textId="77777777" w:rsidR="000D292E" w:rsidRPr="00EA0F31" w:rsidRDefault="000D292E" w:rsidP="00043BF4">
                              <w:pPr>
                                <w:numPr>
                                  <w:ilvl w:val="0"/>
                                  <w:numId w:val="30"/>
                                </w:numPr>
                                <w:pBdr>
                                  <w:top w:val="single" w:sz="24" w:space="8" w:color="5B9BD5" w:themeColor="accent1"/>
                                  <w:bottom w:val="single" w:sz="24" w:space="8" w:color="5B9BD5" w:themeColor="accent1"/>
                                </w:pBdr>
                                <w:rPr>
                                  <w:iCs/>
                                </w:rPr>
                              </w:pPr>
                              <w:r w:rsidRPr="00EA0F31">
                                <w:rPr>
                                  <w:iCs/>
                                </w:rPr>
                                <w:t xml:space="preserve">Somatisation is the experience of unpleasant physical feelings in the body, like stomach pain or headaches, which are thought to result from stress-related causes.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AC2E08" id="Group 308" o:spid="_x0000_s1044" style="position:absolute;margin-left:308.45pt;margin-top:522.25pt;width:277.4pt;height:137.35pt;z-index:-251590656;mso-wrap-distance-left:14.4pt;mso-wrap-distance-top:3.6pt;mso-wrap-distance-right:14.4pt;mso-wrap-distance-bottom:3.6pt;mso-position-horizontal-relative:page;mso-position-vertical-relative:margin;mso-width-relative:margin;mso-height-relative:margin" coordorigin=",-5123" coordsize="36876,47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">
                <v:rect id="Rectangle 309" o:spid="_x0000_s1045" style="position:absolute;left:147;top:-5123;width:36729;height:7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" fillcolor="#5b9bd5 [3204]" stroked="f" strokeweight="1pt">
                  <v:textbox>
                    <w:txbxContent>
                      <w:p w14:paraId="0BA943C7" w14:textId="77777777" w:rsidR="000D292E" w:rsidRDefault="000D292E" w:rsidP="00043BF4">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Somatisation</w:t>
                        </w:r>
                      </w:p>
                    </w:txbxContent>
                  </v:textbox>
                </v:rect>
                <v:shape id="Text Box 310" o:spid="_x0000_s1046" type="#_x0000_t202" style="position:absolute;top:2526;width:35674;height:40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" filled="f" stroked="f" strokeweight=".5pt">
                  <v:textbox inset=",7.2pt,,0">
                    <w:txbxContent>
                      <w:p w14:paraId="7799DD84" w14:textId="77777777" w:rsidR="000D292E" w:rsidRPr="00EA0F31" w:rsidRDefault="000D292E" w:rsidP="00043BF4">
                        <w:pPr>
                          <w:numPr>
                            <w:ilvl w:val="0"/>
                            <w:numId w:val="30"/>
                          </w:numPr>
                          <w:pBdr>
                            <w:top w:val="single" w:sz="24" w:space="8" w:color="5B9BD5" w:themeColor="accent1"/>
                            <w:bottom w:val="single" w:sz="24" w:space="8" w:color="5B9BD5" w:themeColor="accent1"/>
                          </w:pBdr>
                          <w:rPr>
                            <w:iCs/>
                          </w:rPr>
                        </w:pPr>
                        <w:r w:rsidRPr="00EA0F31">
                          <w:rPr>
                            <w:iCs/>
                          </w:rPr>
                          <w:t xml:space="preserve">Somatisation is the experience of unpleasant physical feelings in the body, like stomach pain or headaches, which are thought to result from stress-related causes. </w:t>
                        </w:r>
                      </w:p>
                    </w:txbxContent>
                  </v:textbox>
                </v:shape>
                <w10:wrap type="tight" anchorx="page" anchory="margin"/>
              </v:group>
            </w:pict>
          </mc:Fallback>
        </mc:AlternateContent>
      </w:r>
      <w:r w:rsidR="00043BF4">
        <w:rPr>
          <w:noProof/>
          <w:lang w:eastAsia="en-GB"/>
        </w:rPr>
        <mc:AlternateContent>
          <mc:Choice Requires="wpg">
            <w:drawing>
              <wp:anchor distT="0" distB="0" distL="114300" distR="114300" simplePos="0" relativeHeight="251722752" behindDoc="1" locked="0" layoutInCell="1" allowOverlap="1" wp14:anchorId="142CADDA" wp14:editId="1646F83C">
                <wp:simplePos x="0" y="0"/>
                <wp:positionH relativeFrom="column">
                  <wp:posOffset>-619125</wp:posOffset>
                </wp:positionH>
                <wp:positionV relativeFrom="paragraph">
                  <wp:posOffset>271780</wp:posOffset>
                </wp:positionV>
                <wp:extent cx="3566160" cy="1849120"/>
                <wp:effectExtent l="0" t="0" r="0" b="0"/>
                <wp:wrapTight wrapText="bothSides">
                  <wp:wrapPolygon edited="0">
                    <wp:start x="0" y="0"/>
                    <wp:lineTo x="0" y="3115"/>
                    <wp:lineTo x="346" y="21363"/>
                    <wp:lineTo x="21231" y="21363"/>
                    <wp:lineTo x="21462" y="3115"/>
                    <wp:lineTo x="21462" y="0"/>
                    <wp:lineTo x="0" y="0"/>
                  </wp:wrapPolygon>
                </wp:wrapTight>
                <wp:docPr id="294" name="Group 294"/>
                <wp:cNvGraphicFramePr/>
                <a:graphic xmlns:a="http://schemas.openxmlformats.org/drawingml/2006/main">
                  <a:graphicData uri="http://schemas.microsoft.com/office/word/2010/wordprocessingGroup">
                    <wpg:wgp>
                      <wpg:cNvGrpSpPr/>
                      <wpg:grpSpPr>
                        <a:xfrm>
                          <a:off x="0" y="0"/>
                          <a:ext cx="3566160" cy="1849120"/>
                          <a:chOff x="0" y="0"/>
                          <a:chExt cx="3567448" cy="1926876"/>
                        </a:xfrm>
                      </wpg:grpSpPr>
                      <wps:wsp>
                        <wps:cNvPr id="295" name="Rectangle 295"/>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D401F1" w14:textId="77777777" w:rsidR="000D292E" w:rsidRDefault="000D292E" w:rsidP="00043BF4">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Intolerance of Uncertainty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Text Box 296"/>
                        <wps:cNvSpPr txBox="1"/>
                        <wps:spPr>
                          <a:xfrm>
                            <a:off x="0" y="252688"/>
                            <a:ext cx="3567448" cy="16741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5B7775" w14:textId="77777777" w:rsidR="000D292E" w:rsidRPr="00CA721F" w:rsidRDefault="000D292E" w:rsidP="00043BF4">
                              <w:pPr>
                                <w:numPr>
                                  <w:ilvl w:val="0"/>
                                  <w:numId w:val="22"/>
                                </w:numPr>
                                <w:pBdr>
                                  <w:top w:val="single" w:sz="24" w:space="8" w:color="5B9BD5" w:themeColor="accent1"/>
                                  <w:bottom w:val="single" w:sz="24" w:space="11" w:color="5B9BD5" w:themeColor="accent1"/>
                                </w:pBdr>
                                <w:spacing w:after="0"/>
                                <w:rPr>
                                  <w:iCs/>
                                </w:rPr>
                              </w:pPr>
                              <w:r w:rsidRPr="00CA721F">
                                <w:rPr>
                                  <w:iCs/>
                                </w:rPr>
                                <w:t>The level of discomfort people feel towards unknown fut</w:t>
                              </w:r>
                              <w:r>
                                <w:rPr>
                                  <w:iCs/>
                                </w:rPr>
                                <w:t>ure circumstances.</w:t>
                              </w:r>
                            </w:p>
                            <w:p w14:paraId="3402957A" w14:textId="77777777" w:rsidR="000D292E" w:rsidRDefault="000D292E" w:rsidP="00043BF4">
                              <w:pPr>
                                <w:numPr>
                                  <w:ilvl w:val="0"/>
                                  <w:numId w:val="22"/>
                                </w:numPr>
                                <w:pBdr>
                                  <w:top w:val="single" w:sz="24" w:space="8" w:color="5B9BD5" w:themeColor="accent1"/>
                                  <w:bottom w:val="single" w:sz="24" w:space="11" w:color="5B9BD5" w:themeColor="accent1"/>
                                </w:pBdr>
                                <w:spacing w:after="0"/>
                                <w:rPr>
                                  <w:iCs/>
                                </w:rPr>
                              </w:pPr>
                              <w:r w:rsidRPr="00CA721F">
                                <w:rPr>
                                  <w:iCs/>
                                </w:rPr>
                                <w:t xml:space="preserve">Higher levels of intolerance of uncertainty could mean more worry about future events, or more avoidance of unpredictable situations. </w:t>
                              </w:r>
                            </w:p>
                            <w:p w14:paraId="622D3838" w14:textId="77777777" w:rsidR="000D292E" w:rsidRPr="00CA721F" w:rsidRDefault="000D292E" w:rsidP="00043BF4">
                              <w:pPr>
                                <w:pBdr>
                                  <w:top w:val="single" w:sz="24" w:space="8" w:color="5B9BD5" w:themeColor="accent1"/>
                                  <w:bottom w:val="single" w:sz="24" w:space="11" w:color="5B9BD5" w:themeColor="accent1"/>
                                </w:pBdr>
                                <w:spacing w:after="0"/>
                                <w:ind w:left="360"/>
                                <w:rPr>
                                  <w:iCs/>
                                </w:rPr>
                              </w:pPr>
                            </w:p>
                            <w:p w14:paraId="7BD2A072" w14:textId="77777777" w:rsidR="000D292E" w:rsidRDefault="000D292E" w:rsidP="00043BF4">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42CADDA" id="Group 294" o:spid="_x0000_s1047" style="position:absolute;margin-left:-48.75pt;margin-top:21.4pt;width:280.8pt;height:145.6pt;z-index:-251593728" coordsize="35674,1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">
                <v:rect id="Rectangle 295" o:spid="_x0000_s104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" fillcolor="#5b9bd5 [3204]" stroked="f" strokeweight="1pt">
                  <v:textbox>
                    <w:txbxContent>
                      <w:p w14:paraId="64D401F1" w14:textId="77777777" w:rsidR="000D292E" w:rsidRDefault="000D292E" w:rsidP="00043BF4">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Intolerance of Uncertainty</w:t>
                        </w:r>
                      </w:p>
                    </w:txbxContent>
                  </v:textbox>
                </v:rect>
                <v:shape id="Text Box 296" o:spid="_x0000_s1049" type="#_x0000_t202" style="position:absolute;top:2526;width:35674;height:16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" filled="f" stroked="f" strokeweight=".5pt">
                  <v:textbox inset=",7.2pt,,0">
                    <w:txbxContent>
                      <w:p w14:paraId="345B7775" w14:textId="77777777" w:rsidR="000D292E" w:rsidRPr="00CA721F" w:rsidRDefault="000D292E" w:rsidP="00043BF4">
                        <w:pPr>
                          <w:numPr>
                            <w:ilvl w:val="0"/>
                            <w:numId w:val="22"/>
                          </w:numPr>
                          <w:pBdr>
                            <w:top w:val="single" w:sz="24" w:space="8" w:color="5B9BD5" w:themeColor="accent1"/>
                            <w:bottom w:val="single" w:sz="24" w:space="11" w:color="5B9BD5" w:themeColor="accent1"/>
                          </w:pBdr>
                          <w:spacing w:after="0"/>
                          <w:rPr>
                            <w:iCs/>
                          </w:rPr>
                        </w:pPr>
                        <w:r w:rsidRPr="00CA721F">
                          <w:rPr>
                            <w:iCs/>
                          </w:rPr>
                          <w:t>The level of discomfort people feel towards unknown fut</w:t>
                        </w:r>
                        <w:r>
                          <w:rPr>
                            <w:iCs/>
                          </w:rPr>
                          <w:t>ure circumstances.</w:t>
                        </w:r>
                      </w:p>
                      <w:p w14:paraId="3402957A" w14:textId="77777777" w:rsidR="000D292E" w:rsidRDefault="000D292E" w:rsidP="00043BF4">
                        <w:pPr>
                          <w:numPr>
                            <w:ilvl w:val="0"/>
                            <w:numId w:val="22"/>
                          </w:numPr>
                          <w:pBdr>
                            <w:top w:val="single" w:sz="24" w:space="8" w:color="5B9BD5" w:themeColor="accent1"/>
                            <w:bottom w:val="single" w:sz="24" w:space="11" w:color="5B9BD5" w:themeColor="accent1"/>
                          </w:pBdr>
                          <w:spacing w:after="0"/>
                          <w:rPr>
                            <w:iCs/>
                          </w:rPr>
                        </w:pPr>
                        <w:r w:rsidRPr="00CA721F">
                          <w:rPr>
                            <w:iCs/>
                          </w:rPr>
                          <w:t xml:space="preserve">Higher levels of intolerance of uncertainty could mean more worry about future events, or more avoidance of unpredictable situations. </w:t>
                        </w:r>
                      </w:p>
                      <w:p w14:paraId="622D3838" w14:textId="77777777" w:rsidR="000D292E" w:rsidRPr="00CA721F" w:rsidRDefault="000D292E" w:rsidP="00043BF4">
                        <w:pPr>
                          <w:pBdr>
                            <w:top w:val="single" w:sz="24" w:space="8" w:color="5B9BD5" w:themeColor="accent1"/>
                            <w:bottom w:val="single" w:sz="24" w:space="11" w:color="5B9BD5" w:themeColor="accent1"/>
                          </w:pBdr>
                          <w:spacing w:after="0"/>
                          <w:ind w:left="360"/>
                          <w:rPr>
                            <w:iCs/>
                          </w:rPr>
                        </w:pPr>
                      </w:p>
                      <w:p w14:paraId="7BD2A072" w14:textId="77777777" w:rsidR="000D292E" w:rsidRDefault="000D292E" w:rsidP="00043BF4">
                        <w:pPr>
                          <w:rPr>
                            <w:caps/>
                            <w:color w:val="5B9BD5" w:themeColor="accent1"/>
                            <w:sz w:val="26"/>
                            <w:szCs w:val="26"/>
                          </w:rPr>
                        </w:pPr>
                      </w:p>
                    </w:txbxContent>
                  </v:textbox>
                </v:shape>
                <w10:wrap type="tight"/>
              </v:group>
            </w:pict>
          </mc:Fallback>
        </mc:AlternateContent>
      </w:r>
    </w:p>
    <w:p w14:paraId="5113F5B5" w14:textId="2E464362" w:rsidR="00043BF4" w:rsidRDefault="00043BF4" w:rsidP="00043BF4">
      <w:pPr>
        <w:spacing w:line="360" w:lineRule="auto"/>
      </w:pPr>
    </w:p>
    <w:p w14:paraId="5673DF8E" w14:textId="5F11E3FE" w:rsidR="00273222" w:rsidRDefault="00273222" w:rsidP="00273222">
      <w:pPr>
        <w:pStyle w:val="Heading2"/>
      </w:pPr>
      <w:bookmarkStart w:id="213" w:name="_Toc133487863"/>
      <w:r w:rsidRPr="007B3E18">
        <w:rPr>
          <w:color w:val="0070C0"/>
        </w:rPr>
        <w:t>Why are these factors important for people with seizure conditions?</w:t>
      </w:r>
      <w:bookmarkEnd w:id="213"/>
    </w:p>
    <w:p w14:paraId="7BC391B6" w14:textId="3FE3A08C" w:rsidR="00921FD9" w:rsidRDefault="00EF3AF1" w:rsidP="002A0BA5">
      <w:pPr>
        <w:spacing w:line="360" w:lineRule="auto"/>
        <w:ind w:firstLine="720"/>
      </w:pPr>
      <w:r>
        <w:t xml:space="preserve">Higher levels of intolerance of uncertainty have been shown to predict lower quality of life in people with epilepsy </w:t>
      </w:r>
      <w:r w:rsidRPr="00CA721F">
        <w:rPr>
          <w:iCs/>
        </w:rPr>
        <w:t>(Barahmand &amp; Haji, 2014).</w:t>
      </w:r>
      <w:r>
        <w:t xml:space="preserve"> Research has not yet considered intolerance of uncertainty in people with </w:t>
      </w:r>
      <w:r w:rsidR="002A0BA5">
        <w:t>dissociative seizures</w:t>
      </w:r>
      <w:r w:rsidR="00921FD9">
        <w:t>, making this a current gap in the research literature</w:t>
      </w:r>
      <w:r>
        <w:t xml:space="preserve">. </w:t>
      </w:r>
    </w:p>
    <w:p w14:paraId="72BB22CC" w14:textId="0DBFB74E" w:rsidR="002A0BA5" w:rsidRDefault="00EF3AF1" w:rsidP="00921FD9">
      <w:pPr>
        <w:spacing w:line="360" w:lineRule="auto"/>
        <w:ind w:firstLine="720"/>
        <w:rPr>
          <w:iCs/>
        </w:rPr>
      </w:pPr>
      <w:r>
        <w:t xml:space="preserve">Higher levels of anxiety sensitivity predicted lower quality of life in people with epilepsy </w:t>
      </w:r>
      <w:r w:rsidRPr="00CA721F">
        <w:rPr>
          <w:iCs/>
        </w:rPr>
        <w:t>(Johnson et al., 2018).</w:t>
      </w:r>
      <w:r>
        <w:rPr>
          <w:iCs/>
        </w:rPr>
        <w:t xml:space="preserve"> Anxiety sensitivity has also been reported to be higher in teenagers with dissociative seizures than their siblings although it has not been considered in adults </w:t>
      </w:r>
      <w:r w:rsidRPr="00CA721F">
        <w:rPr>
          <w:iCs/>
        </w:rPr>
        <w:t>(Plioplys et al., 2014, Plioplys et al., 2016</w:t>
      </w:r>
      <w:r>
        <w:rPr>
          <w:iCs/>
        </w:rPr>
        <w:t xml:space="preserve">). </w:t>
      </w:r>
      <w:r w:rsidR="00921FD9">
        <w:rPr>
          <w:iCs/>
        </w:rPr>
        <w:t>Therefore, more research is needed to understand anxiety sensitivity in adults with dissociative seizures and whether there are differences in anxiety sensitivity between people with epilepsy and people with dissociative seizures.</w:t>
      </w:r>
    </w:p>
    <w:p w14:paraId="2A49793C" w14:textId="2D74BE43" w:rsidR="002A0BA5" w:rsidRDefault="00EF3AF1" w:rsidP="002A0BA5">
      <w:pPr>
        <w:spacing w:line="360" w:lineRule="auto"/>
        <w:ind w:firstLine="720"/>
      </w:pPr>
      <w:r>
        <w:t xml:space="preserve">Levels of anxiety and depression have been shown to be higher in people with epilepsy and people with dissociative seizures than the general population (Kwon &amp; Park, 2014, </w:t>
      </w:r>
      <w:r w:rsidRPr="00A41D33">
        <w:t>Urbanek et al., 2014)</w:t>
      </w:r>
      <w:r>
        <w:t>.</w:t>
      </w:r>
      <w:r w:rsidR="002A0BA5">
        <w:t xml:space="preserve"> </w:t>
      </w:r>
      <w:r w:rsidR="00921FD9">
        <w:t>More research is needed into how anxiety and depression may contribute to somatisation and seizure frequency in people with seizure conditions.</w:t>
      </w:r>
    </w:p>
    <w:p w14:paraId="43CB1BC6" w14:textId="56965853" w:rsidR="002A0BA5" w:rsidRDefault="002A0BA5" w:rsidP="00921FD9">
      <w:pPr>
        <w:spacing w:line="360" w:lineRule="auto"/>
        <w:ind w:firstLine="720"/>
        <w:rPr>
          <w:iCs/>
        </w:rPr>
      </w:pPr>
      <w:r>
        <w:t>Soma</w:t>
      </w:r>
      <w:r w:rsidRPr="002A0BA5">
        <w:t>tisation has been associated with intolerance of uncertainty, anxiety sensitivity, anxiety, and depression</w:t>
      </w:r>
      <w:r>
        <w:t xml:space="preserve"> in people without seizure conditions</w:t>
      </w:r>
      <w:r w:rsidRPr="002A0BA5">
        <w:t xml:space="preserve"> (Gica et al., 2020, Löwe et al., 2008, Wood et al., 2011).</w:t>
      </w:r>
      <w:r>
        <w:t xml:space="preserve"> </w:t>
      </w:r>
      <w:r w:rsidRPr="002A0BA5">
        <w:rPr>
          <w:iCs/>
        </w:rPr>
        <w:t xml:space="preserve">A study found </w:t>
      </w:r>
      <w:r w:rsidR="00043BF4">
        <w:rPr>
          <w:iCs/>
        </w:rPr>
        <w:t xml:space="preserve">that </w:t>
      </w:r>
      <w:r w:rsidRPr="002A0BA5">
        <w:rPr>
          <w:iCs/>
        </w:rPr>
        <w:t xml:space="preserve">somatisation </w:t>
      </w:r>
      <w:r w:rsidR="00043BF4">
        <w:rPr>
          <w:iCs/>
        </w:rPr>
        <w:t>was</w:t>
      </w:r>
      <w:r w:rsidRPr="002A0BA5">
        <w:rPr>
          <w:iCs/>
        </w:rPr>
        <w:t xml:space="preserve"> reported as being higher in a group of participants with dissociative seizures compared to a group with </w:t>
      </w:r>
      <w:r>
        <w:rPr>
          <w:iCs/>
        </w:rPr>
        <w:t>epilepsy (Myers et al., 2019).</w:t>
      </w:r>
      <w:r w:rsidR="00921FD9">
        <w:rPr>
          <w:iCs/>
        </w:rPr>
        <w:t xml:space="preserve"> </w:t>
      </w:r>
      <w:r w:rsidRPr="002A0BA5">
        <w:rPr>
          <w:iCs/>
        </w:rPr>
        <w:t>Somatisation has been found to predict lower quality of life for people with dissociative seizures</w:t>
      </w:r>
      <w:r w:rsidR="005D3574">
        <w:rPr>
          <w:iCs/>
        </w:rPr>
        <w:t xml:space="preserve"> and epilepsy</w:t>
      </w:r>
      <w:r w:rsidRPr="002A0BA5">
        <w:rPr>
          <w:iCs/>
        </w:rPr>
        <w:t xml:space="preserve"> (</w:t>
      </w:r>
      <w:r w:rsidR="005D3574">
        <w:rPr>
          <w:iCs/>
        </w:rPr>
        <w:t>Wolf et al., 2015</w:t>
      </w:r>
      <w:r w:rsidRPr="002A0BA5">
        <w:rPr>
          <w:iCs/>
        </w:rPr>
        <w:t>).</w:t>
      </w:r>
      <w:r w:rsidR="00043BF4">
        <w:rPr>
          <w:iCs/>
        </w:rPr>
        <w:t xml:space="preserve"> More research is needed </w:t>
      </w:r>
      <w:r w:rsidR="00424F88">
        <w:rPr>
          <w:iCs/>
        </w:rPr>
        <w:t>to understand what contributes to</w:t>
      </w:r>
      <w:r w:rsidR="005D3574">
        <w:rPr>
          <w:iCs/>
        </w:rPr>
        <w:t xml:space="preserve"> somatisation in seizure conditions so that new treatments can be considered to </w:t>
      </w:r>
      <w:r w:rsidR="00D8564C">
        <w:rPr>
          <w:iCs/>
        </w:rPr>
        <w:t>support with</w:t>
      </w:r>
      <w:r w:rsidR="005D3574">
        <w:rPr>
          <w:iCs/>
        </w:rPr>
        <w:t xml:space="preserve"> it.</w:t>
      </w:r>
    </w:p>
    <w:p w14:paraId="1CC8FEE0" w14:textId="15BF6D4A" w:rsidR="00DC4FB6" w:rsidRDefault="00DC4FB6" w:rsidP="00921FD9">
      <w:pPr>
        <w:spacing w:line="360" w:lineRule="auto"/>
        <w:ind w:firstLine="720"/>
        <w:rPr>
          <w:iCs/>
        </w:rPr>
      </w:pPr>
      <w:r w:rsidRPr="00DC4FB6">
        <w:rPr>
          <w:iCs/>
          <w:noProof/>
          <w:lang w:eastAsia="en-GB"/>
        </w:rPr>
        <mc:AlternateContent>
          <mc:Choice Requires="wpg">
            <w:drawing>
              <wp:anchor distT="45720" distB="45720" distL="182880" distR="182880" simplePos="0" relativeHeight="251729920" behindDoc="0" locked="0" layoutInCell="1" allowOverlap="1" wp14:anchorId="0EB43750" wp14:editId="7B9D26E0">
                <wp:simplePos x="0" y="0"/>
                <wp:positionH relativeFrom="margin">
                  <wp:align>right</wp:align>
                </wp:positionH>
                <wp:positionV relativeFrom="margin">
                  <wp:posOffset>6179429</wp:posOffset>
                </wp:positionV>
                <wp:extent cx="2243455" cy="1673860"/>
                <wp:effectExtent l="0" t="0" r="4445" b="2540"/>
                <wp:wrapSquare wrapText="bothSides"/>
                <wp:docPr id="300" name="Group 300"/>
                <wp:cNvGraphicFramePr/>
                <a:graphic xmlns:a="http://schemas.openxmlformats.org/drawingml/2006/main">
                  <a:graphicData uri="http://schemas.microsoft.com/office/word/2010/wordprocessingGroup">
                    <wpg:wgp>
                      <wpg:cNvGrpSpPr/>
                      <wpg:grpSpPr>
                        <a:xfrm>
                          <a:off x="0" y="0"/>
                          <a:ext cx="2243455" cy="1673860"/>
                          <a:chOff x="0" y="0"/>
                          <a:chExt cx="3567448" cy="1539569"/>
                        </a:xfrm>
                      </wpg:grpSpPr>
                      <wps:wsp>
                        <wps:cNvPr id="301" name="Rectangle 301"/>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8DD97B" w14:textId="0CA74D9A" w:rsidR="000D292E" w:rsidRDefault="000D292E" w:rsidP="00DC4FB6">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Text Box 302"/>
                        <wps:cNvSpPr txBox="1"/>
                        <wps:spPr>
                          <a:xfrm>
                            <a:off x="0" y="252695"/>
                            <a:ext cx="3567448" cy="1286874"/>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FDBD819" w14:textId="0EE7CD99" w:rsidR="000D292E" w:rsidRDefault="000D292E" w:rsidP="00DC4FB6">
                              <w:pPr>
                                <w:pStyle w:val="ListParagraph"/>
                                <w:numPr>
                                  <w:ilvl w:val="0"/>
                                  <w:numId w:val="34"/>
                                </w:numPr>
                              </w:pPr>
                              <w:r>
                                <w:t>Somatisation</w:t>
                              </w:r>
                            </w:p>
                            <w:p w14:paraId="6DC720B9" w14:textId="6B30F9BF" w:rsidR="000D292E" w:rsidRDefault="000D292E" w:rsidP="00DC4FB6">
                              <w:pPr>
                                <w:pStyle w:val="ListParagraph"/>
                                <w:numPr>
                                  <w:ilvl w:val="0"/>
                                  <w:numId w:val="34"/>
                                </w:numPr>
                              </w:pPr>
                              <w:r>
                                <w:t>Seizure Frequency</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B43750" id="Group 300" o:spid="_x0000_s1050" style="position:absolute;left:0;text-align:left;margin-left:125.45pt;margin-top:486.55pt;width:176.65pt;height:131.8pt;z-index:251729920;mso-wrap-distance-left:14.4pt;mso-wrap-distance-top:3.6pt;mso-wrap-distance-right:14.4pt;mso-wrap-distance-bottom:3.6pt;mso-position-horizontal:right;mso-position-horizontal-relative:margin;mso-position-vertical-relative:margin;mso-width-relative:margin;mso-height-relative:margin" coordsize="35674,1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">
                <v:rect id="Rectangle 301" o:spid="_x0000_s1051"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" fillcolor="#5b9bd5 [3204]" stroked="f" strokeweight="1pt">
                  <v:textbox>
                    <w:txbxContent>
                      <w:p w14:paraId="5E8DD97B" w14:textId="0CA74D9A" w:rsidR="000D292E" w:rsidRDefault="000D292E" w:rsidP="00DC4FB6">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Outcomes</w:t>
                        </w:r>
                      </w:p>
                    </w:txbxContent>
                  </v:textbox>
                </v:rect>
                <v:shape id="Text Box 302" o:spid="_x0000_s1052" type="#_x0000_t202" style="position:absolute;top:2526;width:35674;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" filled="f" stroked="f">
                  <v:textbox inset=",7.2pt,,0">
                    <w:txbxContent>
                      <w:p w14:paraId="5FDBD819" w14:textId="0EE7CD99" w:rsidR="000D292E" w:rsidRDefault="000D292E" w:rsidP="00DC4FB6">
                        <w:pPr>
                          <w:pStyle w:val="ListParagraph"/>
                          <w:numPr>
                            <w:ilvl w:val="0"/>
                            <w:numId w:val="34"/>
                          </w:numPr>
                        </w:pPr>
                        <w:r>
                          <w:t>Somatisation</w:t>
                        </w:r>
                      </w:p>
                      <w:p w14:paraId="6DC720B9" w14:textId="6B30F9BF" w:rsidR="000D292E" w:rsidRDefault="000D292E" w:rsidP="00DC4FB6">
                        <w:pPr>
                          <w:pStyle w:val="ListParagraph"/>
                          <w:numPr>
                            <w:ilvl w:val="0"/>
                            <w:numId w:val="34"/>
                          </w:numPr>
                        </w:pPr>
                        <w:r>
                          <w:t>Seizure Frequency</w:t>
                        </w:r>
                      </w:p>
                    </w:txbxContent>
                  </v:textbox>
                </v:shape>
                <w10:wrap type="square" anchorx="margin" anchory="margin"/>
              </v:group>
            </w:pict>
          </mc:Fallback>
        </mc:AlternateContent>
      </w:r>
      <w:r w:rsidRPr="00DC4FB6">
        <w:rPr>
          <w:iCs/>
          <w:noProof/>
          <w:lang w:eastAsia="en-GB"/>
        </w:rPr>
        <mc:AlternateContent>
          <mc:Choice Requires="wpg">
            <w:drawing>
              <wp:anchor distT="45720" distB="45720" distL="182880" distR="182880" simplePos="0" relativeHeight="251727872" behindDoc="0" locked="0" layoutInCell="1" allowOverlap="1" wp14:anchorId="3E93F6A8" wp14:editId="7E3B71B1">
                <wp:simplePos x="0" y="0"/>
                <wp:positionH relativeFrom="margin">
                  <wp:posOffset>-77470</wp:posOffset>
                </wp:positionH>
                <wp:positionV relativeFrom="margin">
                  <wp:posOffset>6189345</wp:posOffset>
                </wp:positionV>
                <wp:extent cx="2243455" cy="1673860"/>
                <wp:effectExtent l="0" t="0" r="4445" b="2540"/>
                <wp:wrapSquare wrapText="bothSides"/>
                <wp:docPr id="198" name="Group 198"/>
                <wp:cNvGraphicFramePr/>
                <a:graphic xmlns:a="http://schemas.openxmlformats.org/drawingml/2006/main">
                  <a:graphicData uri="http://schemas.microsoft.com/office/word/2010/wordprocessingGroup">
                    <wpg:wgp>
                      <wpg:cNvGrpSpPr/>
                      <wpg:grpSpPr>
                        <a:xfrm>
                          <a:off x="0" y="0"/>
                          <a:ext cx="2243455" cy="1673860"/>
                          <a:chOff x="0" y="0"/>
                          <a:chExt cx="3567448" cy="1539569"/>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1354C" w14:textId="72B15034" w:rsidR="000D292E" w:rsidRDefault="000D292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Psychological Factors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5"/>
                            <a:ext cx="3567448" cy="1286874"/>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106AB42" w14:textId="2047279F" w:rsidR="000D292E" w:rsidRDefault="000D292E" w:rsidP="00DC4FB6">
                              <w:pPr>
                                <w:pStyle w:val="ListParagraph"/>
                                <w:numPr>
                                  <w:ilvl w:val="0"/>
                                  <w:numId w:val="34"/>
                                </w:numPr>
                              </w:pPr>
                              <w:r>
                                <w:t>Intolerance of uncertainty</w:t>
                              </w:r>
                            </w:p>
                            <w:p w14:paraId="4AF7F302" w14:textId="541DE4B2" w:rsidR="000D292E" w:rsidRDefault="000D292E" w:rsidP="00DC4FB6">
                              <w:pPr>
                                <w:pStyle w:val="ListParagraph"/>
                                <w:numPr>
                                  <w:ilvl w:val="0"/>
                                  <w:numId w:val="34"/>
                                </w:numPr>
                              </w:pPr>
                              <w:r>
                                <w:t>Anxiety sensitivity</w:t>
                              </w:r>
                            </w:p>
                            <w:p w14:paraId="625E0B52" w14:textId="7B8CC3B7" w:rsidR="000D292E" w:rsidRDefault="000D292E" w:rsidP="00DC4FB6">
                              <w:pPr>
                                <w:pStyle w:val="ListParagraph"/>
                                <w:numPr>
                                  <w:ilvl w:val="0"/>
                                  <w:numId w:val="34"/>
                                </w:numPr>
                              </w:pPr>
                              <w:r>
                                <w:t>Anxiety</w:t>
                              </w:r>
                            </w:p>
                            <w:p w14:paraId="623D3897" w14:textId="077E375C" w:rsidR="000D292E" w:rsidRDefault="000D292E" w:rsidP="00DC4FB6">
                              <w:pPr>
                                <w:pStyle w:val="ListParagraph"/>
                                <w:numPr>
                                  <w:ilvl w:val="0"/>
                                  <w:numId w:val="34"/>
                                </w:numPr>
                              </w:pPr>
                              <w:r>
                                <w:t>depression</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93F6A8" id="Group 198" o:spid="_x0000_s1053" style="position:absolute;left:0;text-align:left;margin-left:-6.1pt;margin-top:487.35pt;width:176.65pt;height:131.8pt;z-index:251727872;mso-wrap-distance-left:14.4pt;mso-wrap-distance-top:3.6pt;mso-wrap-distance-right:14.4pt;mso-wrap-distance-bottom:3.6pt;mso-position-horizontal-relative:margin;mso-position-vertical-relative:margin;mso-width-relative:margin;mso-height-relative:margin" coordsize="35674,1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">
                <v:rect id="Rectangle 199" o:spid="_x0000_s1054"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5b9bd5 [3204]" stroked="f" strokeweight="1pt">
                  <v:textbox>
                    <w:txbxContent>
                      <w:p w14:paraId="7C21354C" w14:textId="72B15034" w:rsidR="000D292E" w:rsidRDefault="000D292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Psychological Factors</w:t>
                        </w:r>
                      </w:p>
                    </w:txbxContent>
                  </v:textbox>
                </v:rect>
                <v:shape id="Text Box 200" o:spid="_x0000_s1055" type="#_x0000_t202" style="position:absolute;top:2526;width:35674;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" filled="f" stroked="f">
                  <v:textbox inset=",7.2pt,,0">
                    <w:txbxContent>
                      <w:p w14:paraId="2106AB42" w14:textId="2047279F" w:rsidR="000D292E" w:rsidRDefault="000D292E" w:rsidP="00DC4FB6">
                        <w:pPr>
                          <w:pStyle w:val="ListParagraph"/>
                          <w:numPr>
                            <w:ilvl w:val="0"/>
                            <w:numId w:val="34"/>
                          </w:numPr>
                        </w:pPr>
                        <w:r>
                          <w:t>Intolerance of uncertainty</w:t>
                        </w:r>
                      </w:p>
                      <w:p w14:paraId="4AF7F302" w14:textId="541DE4B2" w:rsidR="000D292E" w:rsidRDefault="000D292E" w:rsidP="00DC4FB6">
                        <w:pPr>
                          <w:pStyle w:val="ListParagraph"/>
                          <w:numPr>
                            <w:ilvl w:val="0"/>
                            <w:numId w:val="34"/>
                          </w:numPr>
                        </w:pPr>
                        <w:r>
                          <w:t>Anxiety sensitivity</w:t>
                        </w:r>
                      </w:p>
                      <w:p w14:paraId="625E0B52" w14:textId="7B8CC3B7" w:rsidR="000D292E" w:rsidRDefault="000D292E" w:rsidP="00DC4FB6">
                        <w:pPr>
                          <w:pStyle w:val="ListParagraph"/>
                          <w:numPr>
                            <w:ilvl w:val="0"/>
                            <w:numId w:val="34"/>
                          </w:numPr>
                        </w:pPr>
                        <w:r>
                          <w:t>Anxiety</w:t>
                        </w:r>
                      </w:p>
                      <w:p w14:paraId="623D3897" w14:textId="077E375C" w:rsidR="000D292E" w:rsidRDefault="000D292E" w:rsidP="00DC4FB6">
                        <w:pPr>
                          <w:pStyle w:val="ListParagraph"/>
                          <w:numPr>
                            <w:ilvl w:val="0"/>
                            <w:numId w:val="34"/>
                          </w:numPr>
                        </w:pPr>
                        <w:r>
                          <w:t>depression</w:t>
                        </w:r>
                      </w:p>
                    </w:txbxContent>
                  </v:textbox>
                </v:shape>
                <w10:wrap type="square" anchorx="margin" anchory="margin"/>
              </v:group>
            </w:pict>
          </mc:Fallback>
        </mc:AlternateContent>
      </w:r>
    </w:p>
    <w:p w14:paraId="4EF8998A" w14:textId="76A474F3" w:rsidR="00DC4FB6" w:rsidRDefault="006A496A" w:rsidP="00921FD9">
      <w:pPr>
        <w:spacing w:line="360" w:lineRule="auto"/>
        <w:ind w:firstLine="720"/>
        <w:rPr>
          <w:iCs/>
        </w:rPr>
      </w:pPr>
      <w:r>
        <w:rPr>
          <w:iCs/>
          <w:noProof/>
          <w:lang w:eastAsia="en-GB"/>
        </w:rPr>
        <mc:AlternateContent>
          <mc:Choice Requires="wps">
            <w:drawing>
              <wp:anchor distT="0" distB="0" distL="114300" distR="114300" simplePos="0" relativeHeight="251730944" behindDoc="0" locked="0" layoutInCell="1" allowOverlap="1" wp14:anchorId="3682256A" wp14:editId="67E2505A">
                <wp:simplePos x="0" y="0"/>
                <wp:positionH relativeFrom="margin">
                  <wp:align>center</wp:align>
                </wp:positionH>
                <wp:positionV relativeFrom="paragraph">
                  <wp:posOffset>177996</wp:posOffset>
                </wp:positionV>
                <wp:extent cx="520504" cy="218049"/>
                <wp:effectExtent l="0" t="19050" r="32385" b="29845"/>
                <wp:wrapNone/>
                <wp:docPr id="303" name="Right Arrow 303"/>
                <wp:cNvGraphicFramePr/>
                <a:graphic xmlns:a="http://schemas.openxmlformats.org/drawingml/2006/main">
                  <a:graphicData uri="http://schemas.microsoft.com/office/word/2010/wordprocessingShape">
                    <wps:wsp>
                      <wps:cNvSpPr/>
                      <wps:spPr>
                        <a:xfrm>
                          <a:off x="0" y="0"/>
                          <a:ext cx="520504" cy="21804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A6B2D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3" o:spid="_x0000_s1026" type="#_x0000_t13" style="position:absolute;margin-left:0;margin-top:14pt;width:41pt;height:17.15pt;z-index:2517309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" adj="17076" fillcolor="#5b9bd5 [3204]" strokecolor="#1f4d78 [1604]" strokeweight="1pt">
                <w10:wrap anchorx="margin"/>
              </v:shape>
            </w:pict>
          </mc:Fallback>
        </mc:AlternateContent>
      </w:r>
    </w:p>
    <w:p w14:paraId="05E10FB9" w14:textId="3EB3111E" w:rsidR="00DC4FB6" w:rsidRDefault="00DC4FB6" w:rsidP="00921FD9">
      <w:pPr>
        <w:spacing w:line="360" w:lineRule="auto"/>
        <w:ind w:firstLine="720"/>
        <w:rPr>
          <w:iCs/>
        </w:rPr>
      </w:pPr>
    </w:p>
    <w:p w14:paraId="158B4EFD" w14:textId="6561DF46" w:rsidR="00DC4FB6" w:rsidRDefault="00DC4FB6" w:rsidP="00921FD9">
      <w:pPr>
        <w:spacing w:line="360" w:lineRule="auto"/>
        <w:ind w:firstLine="720"/>
        <w:rPr>
          <w:iCs/>
        </w:rPr>
      </w:pPr>
    </w:p>
    <w:p w14:paraId="76BF680D" w14:textId="14F7B1B1" w:rsidR="00DC4FB6" w:rsidRDefault="00DC4FB6" w:rsidP="00921FD9">
      <w:pPr>
        <w:spacing w:line="360" w:lineRule="auto"/>
        <w:ind w:firstLine="720"/>
        <w:rPr>
          <w:iCs/>
        </w:rPr>
      </w:pPr>
    </w:p>
    <w:p w14:paraId="7D6894DC" w14:textId="1484CF12" w:rsidR="00DC4FB6" w:rsidRDefault="00DC4FB6" w:rsidP="00921FD9">
      <w:pPr>
        <w:spacing w:line="360" w:lineRule="auto"/>
        <w:ind w:firstLine="720"/>
        <w:rPr>
          <w:iCs/>
        </w:rPr>
      </w:pPr>
    </w:p>
    <w:p w14:paraId="4608A035" w14:textId="2E64F0A4" w:rsidR="00DC4FB6" w:rsidRDefault="00DC4FB6" w:rsidP="00921FD9">
      <w:pPr>
        <w:spacing w:line="360" w:lineRule="auto"/>
        <w:ind w:firstLine="720"/>
        <w:rPr>
          <w:iCs/>
        </w:rPr>
      </w:pPr>
    </w:p>
    <w:p w14:paraId="538E5C9F" w14:textId="46013282" w:rsidR="00DC4FB6" w:rsidRPr="002A0BA5" w:rsidRDefault="00DC4FB6" w:rsidP="00DC4FB6">
      <w:pPr>
        <w:spacing w:line="360" w:lineRule="auto"/>
        <w:rPr>
          <w:iCs/>
        </w:rPr>
      </w:pPr>
    </w:p>
    <w:p w14:paraId="14BAAC9F" w14:textId="7F66F9E8" w:rsidR="003227F0" w:rsidRPr="007B3E18" w:rsidRDefault="00262F30" w:rsidP="00262F30">
      <w:pPr>
        <w:pStyle w:val="Heading2"/>
        <w:rPr>
          <w:color w:val="0070C0"/>
        </w:rPr>
      </w:pPr>
      <w:bookmarkStart w:id="214" w:name="_Toc133487864"/>
      <w:r w:rsidRPr="007B3E18">
        <w:rPr>
          <w:color w:val="0070C0"/>
        </w:rPr>
        <w:t>Aims</w:t>
      </w:r>
      <w:bookmarkEnd w:id="214"/>
    </w:p>
    <w:p w14:paraId="1F3ABB12" w14:textId="77777777" w:rsidR="006A496A" w:rsidRDefault="00262F30" w:rsidP="00241173">
      <w:pPr>
        <w:spacing w:line="360" w:lineRule="auto"/>
        <w:ind w:firstLine="720"/>
      </w:pPr>
      <w:r>
        <w:t>T</w:t>
      </w:r>
      <w:r w:rsidRPr="00262F30">
        <w:t xml:space="preserve">his study was designed to consider four types of psychological </w:t>
      </w:r>
      <w:r w:rsidR="00D8564C">
        <w:t>factors</w:t>
      </w:r>
      <w:r w:rsidRPr="00262F30">
        <w:t>; intolerance of uncertainty, anxiety sensitivity, anxiety, and depression and their potential influence on somatisation and seizure frequency</w:t>
      </w:r>
      <w:r>
        <w:t xml:space="preserve">. </w:t>
      </w:r>
    </w:p>
    <w:p w14:paraId="4B977E81" w14:textId="1AE0055F" w:rsidR="00241173" w:rsidRDefault="00241173" w:rsidP="00241173">
      <w:pPr>
        <w:spacing w:line="360" w:lineRule="auto"/>
        <w:ind w:firstLine="720"/>
      </w:pPr>
      <w:r>
        <w:t xml:space="preserve">If research were to find that people with seizure conditions reported high levels of intolerance of uncertainty and anxiety sensitivity then this might suggest that it would be helpful </w:t>
      </w:r>
      <w:r w:rsidR="00507A07">
        <w:t xml:space="preserve">to develop </w:t>
      </w:r>
      <w:r>
        <w:t xml:space="preserve">therapies </w:t>
      </w:r>
      <w:r w:rsidR="00507A07">
        <w:t xml:space="preserve">targeting these factors </w:t>
      </w:r>
      <w:r>
        <w:t>with</w:t>
      </w:r>
      <w:r w:rsidR="00507A07">
        <w:t>in</w:t>
      </w:r>
      <w:r>
        <w:t xml:space="preserve"> these populations. Alternatively, focus may be better spent considering other psychological factors, if they prove to contribute more to poor outcomes such as increased seizure </w:t>
      </w:r>
      <w:r w:rsidR="00DC4FB6">
        <w:t>frequency</w:t>
      </w:r>
      <w:r>
        <w:t xml:space="preserve"> and somatisation.</w:t>
      </w:r>
    </w:p>
    <w:p w14:paraId="011D4211" w14:textId="1F175ECB" w:rsidR="00EF3AF1" w:rsidRPr="00F3525F" w:rsidRDefault="00262F30" w:rsidP="00F3525F">
      <w:pPr>
        <w:spacing w:line="360" w:lineRule="auto"/>
        <w:ind w:firstLine="720"/>
      </w:pPr>
      <w:r>
        <w:t>Previous research has highlighted that psychological difficulties tend to be more common and lead to worse outcomes in people with dissociative seizures than people with epilepsy.</w:t>
      </w:r>
      <w:r w:rsidR="00241173">
        <w:t xml:space="preserve"> </w:t>
      </w:r>
      <w:r w:rsidR="00241173" w:rsidRPr="0022457B">
        <w:t>(</w:t>
      </w:r>
      <w:r w:rsidR="00241173">
        <w:t xml:space="preserve">Hovorka et al., 2007, </w:t>
      </w:r>
      <w:r w:rsidR="00241173" w:rsidRPr="0022457B">
        <w:t>Vilyte &amp; Pretorius, 2019)</w:t>
      </w:r>
      <w:r w:rsidR="00241173">
        <w:t>.</w:t>
      </w:r>
      <w:r>
        <w:t xml:space="preserve"> Therefore, this study </w:t>
      </w:r>
      <w:r w:rsidR="00241173">
        <w:t xml:space="preserve">also aimed to highlight whether there would be differences in psychological difficulties reported between the participants with epilepsy and those with dissociative seizures. These comparisons could add </w:t>
      </w:r>
      <w:r w:rsidR="00C10851">
        <w:t xml:space="preserve">to </w:t>
      </w:r>
      <w:r w:rsidR="00241173">
        <w:t>evidence for whether psychological services need to tailor support</w:t>
      </w:r>
      <w:r w:rsidR="00DC4FB6">
        <w:t xml:space="preserve"> specifically for </w:t>
      </w:r>
      <w:r w:rsidR="00D8564C">
        <w:t>epilepsy or</w:t>
      </w:r>
      <w:r w:rsidR="00241173">
        <w:t xml:space="preserve"> dissociative seizures, or whether a </w:t>
      </w:r>
      <w:r w:rsidR="00507A07">
        <w:t xml:space="preserve">combined </w:t>
      </w:r>
      <w:r w:rsidR="00241173">
        <w:t>psychological approach could be adopted</w:t>
      </w:r>
      <w:r w:rsidR="00C10851">
        <w:t xml:space="preserve"> for both conditions</w:t>
      </w:r>
      <w:r w:rsidR="00241173">
        <w:t>.</w:t>
      </w:r>
    </w:p>
    <w:p w14:paraId="7F13106E" w14:textId="0E0EC983" w:rsidR="00EF3AF1" w:rsidRDefault="00EF3AF1" w:rsidP="00F3525F">
      <w:pPr>
        <w:spacing w:line="360" w:lineRule="auto"/>
      </w:pPr>
    </w:p>
    <w:p w14:paraId="465FC1D8" w14:textId="798F37F2" w:rsidR="00CA721F" w:rsidRDefault="00C10851" w:rsidP="00CA721F">
      <w:pPr>
        <w:pStyle w:val="ListParagraph"/>
        <w:spacing w:line="360" w:lineRule="auto"/>
        <w:ind w:left="2160"/>
      </w:pPr>
      <w:r>
        <w:rPr>
          <w:noProof/>
          <w:lang w:eastAsia="en-GB"/>
        </w:rPr>
        <mc:AlternateContent>
          <mc:Choice Requires="wpg">
            <w:drawing>
              <wp:anchor distT="45720" distB="45720" distL="182880" distR="182880" simplePos="0" relativeHeight="251732992" behindDoc="0" locked="0" layoutInCell="1" allowOverlap="1" wp14:anchorId="763D2603" wp14:editId="00EB3637">
                <wp:simplePos x="0" y="0"/>
                <wp:positionH relativeFrom="margin">
                  <wp:align>center</wp:align>
                </wp:positionH>
                <wp:positionV relativeFrom="margin">
                  <wp:posOffset>4599549</wp:posOffset>
                </wp:positionV>
                <wp:extent cx="4627880" cy="2665730"/>
                <wp:effectExtent l="0" t="0" r="1270" b="1270"/>
                <wp:wrapSquare wrapText="bothSides"/>
                <wp:docPr id="307" name="Group 307"/>
                <wp:cNvGraphicFramePr/>
                <a:graphic xmlns:a="http://schemas.openxmlformats.org/drawingml/2006/main">
                  <a:graphicData uri="http://schemas.microsoft.com/office/word/2010/wordprocessingGroup">
                    <wpg:wgp>
                      <wpg:cNvGrpSpPr/>
                      <wpg:grpSpPr>
                        <a:xfrm>
                          <a:off x="0" y="0"/>
                          <a:ext cx="4627880" cy="2665730"/>
                          <a:chOff x="0" y="0"/>
                          <a:chExt cx="3567448" cy="4117759"/>
                        </a:xfrm>
                      </wpg:grpSpPr>
                      <wps:wsp>
                        <wps:cNvPr id="182" name="Rectangle 182"/>
                        <wps:cNvSpPr/>
                        <wps:spPr>
                          <a:xfrm>
                            <a:off x="0" y="0"/>
                            <a:ext cx="3567448" cy="48893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BA8098" w14:textId="215C8659" w:rsidR="000D292E" w:rsidRDefault="000D292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Aims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Text Box 184"/>
                        <wps:cNvSpPr txBox="1"/>
                        <wps:spPr>
                          <a:xfrm>
                            <a:off x="0" y="412877"/>
                            <a:ext cx="3567448" cy="37048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85CE8" w14:textId="07E52D7E" w:rsidR="000D292E" w:rsidRDefault="000D292E" w:rsidP="00DC4FB6">
                              <w:pPr>
                                <w:pStyle w:val="ListParagraph"/>
                                <w:numPr>
                                  <w:ilvl w:val="0"/>
                                  <w:numId w:val="4"/>
                                </w:numPr>
                                <w:spacing w:line="360" w:lineRule="auto"/>
                                <w:ind w:firstLine="720"/>
                              </w:pPr>
                              <w:r>
                                <w:t>Do people with dissociative seizures score higher on measures of intolerance of uncertainty, anxiety sensitivity, depression, anxiety, and somatisation than people with epilepsy?</w:t>
                              </w:r>
                            </w:p>
                            <w:p w14:paraId="7711138F" w14:textId="77777777" w:rsidR="000D292E" w:rsidRDefault="000D292E" w:rsidP="00DC4FB6">
                              <w:pPr>
                                <w:pStyle w:val="ListParagraph"/>
                                <w:numPr>
                                  <w:ilvl w:val="0"/>
                                  <w:numId w:val="4"/>
                                </w:numPr>
                                <w:spacing w:line="360" w:lineRule="auto"/>
                                <w:ind w:firstLine="720"/>
                              </w:pPr>
                              <w:r>
                                <w:t>Do higher levels of intolerance of uncertainty, anxiety sensitivity, anxiety, and depression, or having a diagnosis of dissociative seizures predict higher levels of somatisation?</w:t>
                              </w:r>
                            </w:p>
                            <w:p w14:paraId="652848B6" w14:textId="6D8E137A" w:rsidR="000D292E" w:rsidRDefault="000D292E" w:rsidP="00DC4FB6">
                              <w:pPr>
                                <w:pStyle w:val="ListParagraph"/>
                                <w:numPr>
                                  <w:ilvl w:val="0"/>
                                  <w:numId w:val="4"/>
                                </w:numPr>
                                <w:spacing w:line="360" w:lineRule="auto"/>
                                <w:ind w:firstLine="720"/>
                              </w:pPr>
                              <w:r>
                                <w:t>Do higher levels of intolerance of uncertainty, anxiety sensitivity, anxiety, and depression, or having a diagnosis of dissociative seizures predict higher seizure frequency?</w:t>
                              </w:r>
                            </w:p>
                            <w:p w14:paraId="4466F97C" w14:textId="206CC598" w:rsidR="000D292E" w:rsidRDefault="000D292E">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3D2603" id="Group 307" o:spid="_x0000_s1056" style="position:absolute;left:0;text-align:left;margin-left:0;margin-top:362.15pt;width:364.4pt;height:209.9pt;z-index:251732992;mso-wrap-distance-left:14.4pt;mso-wrap-distance-top:3.6pt;mso-wrap-distance-right:14.4pt;mso-wrap-distance-bottom:3.6pt;mso-position-horizontal:center;mso-position-horizontal-relative:margin;mso-position-vertical-relative:margin;mso-width-relative:margin;mso-height-relative:margin" coordsize="35674,41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">
                <v:rect id="Rectangle 182" o:spid="_x0000_s1057" style="position:absolute;width:35674;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" fillcolor="#5b9bd5 [3204]" stroked="f" strokeweight="1pt">
                  <v:textbox>
                    <w:txbxContent>
                      <w:p w14:paraId="5CBA8098" w14:textId="215C8659" w:rsidR="000D292E" w:rsidRDefault="000D292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Aims</w:t>
                        </w:r>
                      </w:p>
                    </w:txbxContent>
                  </v:textbox>
                </v:rect>
                <v:shape id="Text Box 184" o:spid="_x0000_s1058" type="#_x0000_t202" style="position:absolute;top:4128;width:35674;height:3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" filled="f" stroked="f" strokeweight=".5pt">
                  <v:textbox inset=",7.2pt,,0">
                    <w:txbxContent>
                      <w:p w14:paraId="74F85CE8" w14:textId="07E52D7E" w:rsidR="000D292E" w:rsidRDefault="000D292E" w:rsidP="00DC4FB6">
                        <w:pPr>
                          <w:pStyle w:val="ListParagraph"/>
                          <w:numPr>
                            <w:ilvl w:val="0"/>
                            <w:numId w:val="4"/>
                          </w:numPr>
                          <w:spacing w:line="360" w:lineRule="auto"/>
                          <w:ind w:firstLine="720"/>
                        </w:pPr>
                        <w:r>
                          <w:t>Do people with dissociative seizures score higher on measures of intolerance of uncertainty, anxiety sensitivity, depression, anxiety, and somatisation than people with epilepsy?</w:t>
                        </w:r>
                      </w:p>
                      <w:p w14:paraId="7711138F" w14:textId="77777777" w:rsidR="000D292E" w:rsidRDefault="000D292E" w:rsidP="00DC4FB6">
                        <w:pPr>
                          <w:pStyle w:val="ListParagraph"/>
                          <w:numPr>
                            <w:ilvl w:val="0"/>
                            <w:numId w:val="4"/>
                          </w:numPr>
                          <w:spacing w:line="360" w:lineRule="auto"/>
                          <w:ind w:firstLine="720"/>
                        </w:pPr>
                        <w:r>
                          <w:t>Do higher levels of intolerance of uncertainty, anxiety sensitivity, anxiety, and depression, or having a diagnosis of dissociative seizures predict higher levels of somatisation?</w:t>
                        </w:r>
                      </w:p>
                      <w:p w14:paraId="652848B6" w14:textId="6D8E137A" w:rsidR="000D292E" w:rsidRDefault="000D292E" w:rsidP="00DC4FB6">
                        <w:pPr>
                          <w:pStyle w:val="ListParagraph"/>
                          <w:numPr>
                            <w:ilvl w:val="0"/>
                            <w:numId w:val="4"/>
                          </w:numPr>
                          <w:spacing w:line="360" w:lineRule="auto"/>
                          <w:ind w:firstLine="720"/>
                        </w:pPr>
                        <w:r>
                          <w:t>Do higher levels of intolerance of uncertainty, anxiety sensitivity, anxiety, and depression, or having a diagnosis of dissociative seizures predict higher seizure frequency?</w:t>
                        </w:r>
                      </w:p>
                      <w:p w14:paraId="4466F97C" w14:textId="206CC598" w:rsidR="000D292E" w:rsidRDefault="000D292E">
                        <w:pPr>
                          <w:rPr>
                            <w:caps/>
                            <w:color w:val="5B9BD5" w:themeColor="accent1"/>
                            <w:sz w:val="26"/>
                            <w:szCs w:val="26"/>
                          </w:rPr>
                        </w:pPr>
                      </w:p>
                    </w:txbxContent>
                  </v:textbox>
                </v:shape>
                <w10:wrap type="square" anchorx="margin" anchory="margin"/>
              </v:group>
            </w:pict>
          </mc:Fallback>
        </mc:AlternateContent>
      </w:r>
    </w:p>
    <w:p w14:paraId="6FC9C608" w14:textId="3615B360" w:rsidR="00DC4FB6" w:rsidRDefault="00DC4FB6" w:rsidP="00027769">
      <w:pPr>
        <w:pStyle w:val="Heading1"/>
      </w:pPr>
    </w:p>
    <w:p w14:paraId="66C05B05" w14:textId="07190478" w:rsidR="00DC4FB6" w:rsidRDefault="00DC4FB6" w:rsidP="00027769">
      <w:pPr>
        <w:pStyle w:val="Heading1"/>
      </w:pPr>
    </w:p>
    <w:p w14:paraId="0D5D553F" w14:textId="25812704" w:rsidR="00DC4FB6" w:rsidRDefault="00DC4FB6" w:rsidP="00027769">
      <w:pPr>
        <w:pStyle w:val="Heading1"/>
      </w:pPr>
    </w:p>
    <w:p w14:paraId="479B9EBE" w14:textId="77D0C341" w:rsidR="00DC4FB6" w:rsidRPr="00CE122A" w:rsidRDefault="00DC4FB6" w:rsidP="00CE122A">
      <w:pPr>
        <w:rPr>
          <w:rFonts w:eastAsiaTheme="majorEastAsia" w:cstheme="minorHAnsi"/>
          <w:b/>
        </w:rPr>
      </w:pPr>
      <w:r>
        <w:br w:type="page"/>
      </w:r>
    </w:p>
    <w:p w14:paraId="3D299F9E" w14:textId="0E56068C" w:rsidR="007617A5" w:rsidRPr="007B3E18" w:rsidRDefault="007617A5" w:rsidP="00027769">
      <w:pPr>
        <w:pStyle w:val="Heading1"/>
        <w:rPr>
          <w:color w:val="0070C0"/>
          <w:sz w:val="24"/>
          <w:szCs w:val="24"/>
          <w:u w:val="single"/>
        </w:rPr>
      </w:pPr>
      <w:bookmarkStart w:id="215" w:name="_Toc133487865"/>
      <w:r w:rsidRPr="007B3E18">
        <w:rPr>
          <w:color w:val="0070C0"/>
          <w:sz w:val="24"/>
          <w:szCs w:val="24"/>
          <w:u w:val="single"/>
        </w:rPr>
        <w:t>Method</w:t>
      </w:r>
      <w:bookmarkEnd w:id="215"/>
    </w:p>
    <w:p w14:paraId="00DD41ED" w14:textId="55F4438E" w:rsidR="007617A5" w:rsidRDefault="007617A5" w:rsidP="00436994">
      <w:pPr>
        <w:spacing w:line="360" w:lineRule="auto"/>
        <w:ind w:firstLine="720"/>
      </w:pPr>
      <w:r>
        <w:t>Ethical approvals for the study were provided by Staffordshire University and NHS ethics.</w:t>
      </w:r>
    </w:p>
    <w:p w14:paraId="7A98E36C" w14:textId="698F2461" w:rsidR="007D1744" w:rsidRPr="00D8564C" w:rsidRDefault="007073D6" w:rsidP="00D8564C">
      <w:pPr>
        <w:pStyle w:val="Heading2"/>
        <w:rPr>
          <w:color w:val="0070C0"/>
        </w:rPr>
      </w:pPr>
      <w:bookmarkStart w:id="216" w:name="_Toc133487866"/>
      <w:r w:rsidRPr="00D8564C">
        <w:rPr>
          <w:color w:val="0070C0"/>
        </w:rPr>
        <w:t>What did participation involve?</w:t>
      </w:r>
      <w:bookmarkEnd w:id="216"/>
    </w:p>
    <w:p w14:paraId="31302B19" w14:textId="2277C37E" w:rsidR="00D8564C" w:rsidRDefault="00CA721F" w:rsidP="00CE122A">
      <w:pPr>
        <w:spacing w:line="360" w:lineRule="auto"/>
        <w:ind w:firstLine="720"/>
      </w:pPr>
      <w:r>
        <w:t>R</w:t>
      </w:r>
      <w:r w:rsidR="007617A5">
        <w:t>ecruitment took place between February and March 2023. This involved clinicians in a neurology and neuropsychology service sharing a research advertisement with potential participants. This advertisement was also shared in social media groups for people living with seizure conditions.</w:t>
      </w:r>
      <w:r w:rsidR="007073D6">
        <w:t xml:space="preserve"> Participants completed five questionnaires (see table 1) and further questions about themselves and their seizure </w:t>
      </w:r>
      <w:r w:rsidR="00507A07">
        <w:t>conditions</w:t>
      </w:r>
      <w:r w:rsidR="007073D6">
        <w:t>, such as how old t</w:t>
      </w:r>
      <w:r w:rsidR="006A496A">
        <w:t>hey were and how frequently they</w:t>
      </w:r>
      <w:r w:rsidR="007073D6">
        <w:t xml:space="preserve"> experienced seizures. All participants needed to sign an o</w:t>
      </w:r>
      <w:r w:rsidR="00507A07">
        <w:t>nline consent form to take par</w:t>
      </w:r>
      <w:r w:rsidR="00CE122A">
        <w:t>t.</w:t>
      </w:r>
    </w:p>
    <w:p w14:paraId="1224AFE5" w14:textId="27E757CB" w:rsidR="00D8564C" w:rsidRDefault="00CE122A" w:rsidP="0023672F">
      <w:r>
        <w:rPr>
          <w:noProof/>
          <w:lang w:eastAsia="en-GB"/>
        </w:rPr>
        <mc:AlternateContent>
          <mc:Choice Requires="wpg">
            <w:drawing>
              <wp:anchor distT="45720" distB="45720" distL="182880" distR="182880" simplePos="0" relativeHeight="251720704" behindDoc="1" locked="0" layoutInCell="1" allowOverlap="1" wp14:anchorId="7D462528" wp14:editId="676B0525">
                <wp:simplePos x="0" y="0"/>
                <wp:positionH relativeFrom="margin">
                  <wp:posOffset>1040765</wp:posOffset>
                </wp:positionH>
                <wp:positionV relativeFrom="margin">
                  <wp:posOffset>2531745</wp:posOffset>
                </wp:positionV>
                <wp:extent cx="3411220" cy="1518920"/>
                <wp:effectExtent l="0" t="0" r="0" b="5080"/>
                <wp:wrapTight wrapText="bothSides">
                  <wp:wrapPolygon edited="0">
                    <wp:start x="0" y="0"/>
                    <wp:lineTo x="0" y="4064"/>
                    <wp:lineTo x="362" y="21401"/>
                    <wp:lineTo x="21230" y="21401"/>
                    <wp:lineTo x="21471" y="5147"/>
                    <wp:lineTo x="21471" y="0"/>
                    <wp:lineTo x="0" y="0"/>
                  </wp:wrapPolygon>
                </wp:wrapTight>
                <wp:docPr id="288" name="Group 288"/>
                <wp:cNvGraphicFramePr/>
                <a:graphic xmlns:a="http://schemas.openxmlformats.org/drawingml/2006/main">
                  <a:graphicData uri="http://schemas.microsoft.com/office/word/2010/wordprocessingGroup">
                    <wpg:wgp>
                      <wpg:cNvGrpSpPr/>
                      <wpg:grpSpPr>
                        <a:xfrm>
                          <a:off x="0" y="0"/>
                          <a:ext cx="3411220" cy="1518920"/>
                          <a:chOff x="0" y="0"/>
                          <a:chExt cx="3567448" cy="3290280"/>
                        </a:xfrm>
                      </wpg:grpSpPr>
                      <wps:wsp>
                        <wps:cNvPr id="289" name="Rectangle 289"/>
                        <wps:cNvSpPr/>
                        <wps:spPr>
                          <a:xfrm>
                            <a:off x="0" y="0"/>
                            <a:ext cx="3567448" cy="63827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6AF91C" w14:textId="074B8844" w:rsidR="000D292E" w:rsidRDefault="000D292E" w:rsidP="007D1744">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Who was invited to take part?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Text Box 290"/>
                        <wps:cNvSpPr txBox="1"/>
                        <wps:spPr>
                          <a:xfrm>
                            <a:off x="0" y="572814"/>
                            <a:ext cx="3567448" cy="2717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9A44B6" w14:textId="0662678D" w:rsidR="000D292E" w:rsidRPr="007073D6" w:rsidRDefault="000D292E" w:rsidP="007073D6">
                              <w:pPr>
                                <w:numPr>
                                  <w:ilvl w:val="0"/>
                                  <w:numId w:val="28"/>
                                </w:numPr>
                                <w:pBdr>
                                  <w:top w:val="single" w:sz="24" w:space="8" w:color="5B9BD5" w:themeColor="accent1"/>
                                  <w:bottom w:val="single" w:sz="24" w:space="8" w:color="5B9BD5" w:themeColor="accent1"/>
                                </w:pBdr>
                                <w:spacing w:after="0"/>
                                <w:rPr>
                                  <w:caps/>
                                  <w:color w:val="5B9BD5" w:themeColor="accent1"/>
                                  <w:sz w:val="26"/>
                                  <w:szCs w:val="26"/>
                                </w:rPr>
                              </w:pPr>
                              <w:r>
                                <w:rPr>
                                  <w:iCs/>
                                </w:rPr>
                                <w:t>People with a diagnosis of either epilepsy or dissociative seizures.</w:t>
                              </w:r>
                            </w:p>
                            <w:p w14:paraId="082B38E2" w14:textId="1FDD446E" w:rsidR="000D292E" w:rsidRPr="007073D6" w:rsidRDefault="000D292E" w:rsidP="007073D6">
                              <w:pPr>
                                <w:numPr>
                                  <w:ilvl w:val="0"/>
                                  <w:numId w:val="28"/>
                                </w:numPr>
                                <w:pBdr>
                                  <w:top w:val="single" w:sz="24" w:space="8" w:color="5B9BD5" w:themeColor="accent1"/>
                                  <w:bottom w:val="single" w:sz="24" w:space="8" w:color="5B9BD5" w:themeColor="accent1"/>
                                </w:pBdr>
                                <w:spacing w:after="0"/>
                                <w:rPr>
                                  <w:caps/>
                                  <w:color w:val="5B9BD5" w:themeColor="accent1"/>
                                  <w:sz w:val="26"/>
                                  <w:szCs w:val="26"/>
                                </w:rPr>
                              </w:pPr>
                              <w:r>
                                <w:rPr>
                                  <w:iCs/>
                                </w:rPr>
                                <w:t>18 years or older</w:t>
                              </w:r>
                            </w:p>
                            <w:p w14:paraId="0696FD37" w14:textId="0D0EF3F1" w:rsidR="000D292E" w:rsidRDefault="000D292E" w:rsidP="00030504">
                              <w:pPr>
                                <w:numPr>
                                  <w:ilvl w:val="0"/>
                                  <w:numId w:val="28"/>
                                </w:numPr>
                                <w:pBdr>
                                  <w:top w:val="single" w:sz="24" w:space="8" w:color="5B9BD5" w:themeColor="accent1"/>
                                  <w:bottom w:val="single" w:sz="24" w:space="8" w:color="5B9BD5" w:themeColor="accent1"/>
                                </w:pBdr>
                                <w:spacing w:after="0"/>
                                <w:rPr>
                                  <w:caps/>
                                  <w:color w:val="5B9BD5" w:themeColor="accent1"/>
                                  <w:sz w:val="26"/>
                                  <w:szCs w:val="26"/>
                                </w:rPr>
                              </w:pPr>
                              <w:r w:rsidRPr="00CE122A">
                                <w:rPr>
                                  <w:iCs/>
                                </w:rPr>
                                <w:t xml:space="preserve">Able to complete online questionnaires in written English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462528" id="Group 288" o:spid="_x0000_s1059" style="position:absolute;margin-left:81.95pt;margin-top:199.35pt;width:268.6pt;height:119.6pt;z-index:-251595776;mso-wrap-distance-left:14.4pt;mso-wrap-distance-top:3.6pt;mso-wrap-distance-right:14.4pt;mso-wrap-distance-bottom:3.6pt;mso-position-horizontal-relative:margin;mso-position-vertical-relative:margin;mso-width-relative:margin;mso-height-relative:margin" coordsize="35674,3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">
                <v:rect id="Rectangle 289" o:spid="_x0000_s1060" style="position:absolute;width:35674;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" fillcolor="#5b9bd5 [3204]" stroked="f" strokeweight="1pt">
                  <v:textbox>
                    <w:txbxContent>
                      <w:p w14:paraId="5D6AF91C" w14:textId="074B8844" w:rsidR="000D292E" w:rsidRDefault="000D292E" w:rsidP="007D1744">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Who was invited to take part?</w:t>
                        </w:r>
                      </w:p>
                    </w:txbxContent>
                  </v:textbox>
                </v:rect>
                <v:shape id="Text Box 290" o:spid="_x0000_s1061" type="#_x0000_t202" style="position:absolute;top:5728;width:35674;height:27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" filled="f" stroked="f" strokeweight=".5pt">
                  <v:textbox inset=",7.2pt,,0">
                    <w:txbxContent>
                      <w:p w14:paraId="0E9A44B6" w14:textId="0662678D" w:rsidR="000D292E" w:rsidRPr="007073D6" w:rsidRDefault="000D292E" w:rsidP="007073D6">
                        <w:pPr>
                          <w:numPr>
                            <w:ilvl w:val="0"/>
                            <w:numId w:val="28"/>
                          </w:numPr>
                          <w:pBdr>
                            <w:top w:val="single" w:sz="24" w:space="8" w:color="5B9BD5" w:themeColor="accent1"/>
                            <w:bottom w:val="single" w:sz="24" w:space="8" w:color="5B9BD5" w:themeColor="accent1"/>
                          </w:pBdr>
                          <w:spacing w:after="0"/>
                          <w:rPr>
                            <w:caps/>
                            <w:color w:val="5B9BD5" w:themeColor="accent1"/>
                            <w:sz w:val="26"/>
                            <w:szCs w:val="26"/>
                          </w:rPr>
                        </w:pPr>
                        <w:r>
                          <w:rPr>
                            <w:iCs/>
                          </w:rPr>
                          <w:t>People with a diagnosis of either epilepsy or dissociative seizures.</w:t>
                        </w:r>
                      </w:p>
                      <w:p w14:paraId="082B38E2" w14:textId="1FDD446E" w:rsidR="000D292E" w:rsidRPr="007073D6" w:rsidRDefault="000D292E" w:rsidP="007073D6">
                        <w:pPr>
                          <w:numPr>
                            <w:ilvl w:val="0"/>
                            <w:numId w:val="28"/>
                          </w:numPr>
                          <w:pBdr>
                            <w:top w:val="single" w:sz="24" w:space="8" w:color="5B9BD5" w:themeColor="accent1"/>
                            <w:bottom w:val="single" w:sz="24" w:space="8" w:color="5B9BD5" w:themeColor="accent1"/>
                          </w:pBdr>
                          <w:spacing w:after="0"/>
                          <w:rPr>
                            <w:caps/>
                            <w:color w:val="5B9BD5" w:themeColor="accent1"/>
                            <w:sz w:val="26"/>
                            <w:szCs w:val="26"/>
                          </w:rPr>
                        </w:pPr>
                        <w:r>
                          <w:rPr>
                            <w:iCs/>
                          </w:rPr>
                          <w:t>18 years or older</w:t>
                        </w:r>
                      </w:p>
                      <w:p w14:paraId="0696FD37" w14:textId="0D0EF3F1" w:rsidR="000D292E" w:rsidRDefault="000D292E" w:rsidP="00030504">
                        <w:pPr>
                          <w:numPr>
                            <w:ilvl w:val="0"/>
                            <w:numId w:val="28"/>
                          </w:numPr>
                          <w:pBdr>
                            <w:top w:val="single" w:sz="24" w:space="8" w:color="5B9BD5" w:themeColor="accent1"/>
                            <w:bottom w:val="single" w:sz="24" w:space="8" w:color="5B9BD5" w:themeColor="accent1"/>
                          </w:pBdr>
                          <w:spacing w:after="0"/>
                          <w:rPr>
                            <w:caps/>
                            <w:color w:val="5B9BD5" w:themeColor="accent1"/>
                            <w:sz w:val="26"/>
                            <w:szCs w:val="26"/>
                          </w:rPr>
                        </w:pPr>
                        <w:r w:rsidRPr="00CE122A">
                          <w:rPr>
                            <w:iCs/>
                          </w:rPr>
                          <w:t xml:space="preserve">Able to complete online questionnaires in written English </w:t>
                        </w:r>
                      </w:p>
                    </w:txbxContent>
                  </v:textbox>
                </v:shape>
                <w10:wrap type="tight" anchorx="margin" anchory="margin"/>
              </v:group>
            </w:pict>
          </mc:Fallback>
        </mc:AlternateContent>
      </w:r>
    </w:p>
    <w:p w14:paraId="1AD51B4C" w14:textId="2510FB81" w:rsidR="00D8564C" w:rsidRDefault="00D8564C" w:rsidP="0023672F"/>
    <w:p w14:paraId="27FA4B99" w14:textId="688988C5" w:rsidR="00D8564C" w:rsidRDefault="00D8564C" w:rsidP="0023672F"/>
    <w:p w14:paraId="3325BB89" w14:textId="2C0E9402" w:rsidR="00D8564C" w:rsidRDefault="00D8564C" w:rsidP="0023672F"/>
    <w:p w14:paraId="4650CE51" w14:textId="77777777" w:rsidR="00D8564C" w:rsidRDefault="00D8564C" w:rsidP="0023672F"/>
    <w:p w14:paraId="2AA2E903" w14:textId="3B5429C2" w:rsidR="00507A07" w:rsidRDefault="00507A07" w:rsidP="0023672F"/>
    <w:p w14:paraId="12BDE889" w14:textId="2E8747F4" w:rsidR="00CA721F" w:rsidRPr="00D8564C" w:rsidRDefault="0023672F" w:rsidP="0023672F">
      <w:pPr>
        <w:rPr>
          <w:b/>
        </w:rPr>
      </w:pPr>
      <w:r w:rsidRPr="00D8564C">
        <w:rPr>
          <w:b/>
        </w:rPr>
        <w:t>Table 1.</w:t>
      </w:r>
    </w:p>
    <w:p w14:paraId="24D37F47" w14:textId="3A59D055" w:rsidR="0023672F" w:rsidRPr="00D8564C" w:rsidRDefault="007073D6" w:rsidP="0023672F">
      <w:pPr>
        <w:rPr>
          <w:b/>
          <w:i/>
        </w:rPr>
      </w:pPr>
      <w:r w:rsidRPr="00D8564C">
        <w:rPr>
          <w:b/>
          <w:i/>
        </w:rPr>
        <w:t>Title, author and example question/statement from study questionnaires</w:t>
      </w:r>
    </w:p>
    <w:tbl>
      <w:tblPr>
        <w:tblStyle w:val="MediumShading2-Accent5"/>
        <w:tblW w:w="5000" w:type="pct"/>
        <w:tblLook w:val="0660" w:firstRow="1" w:lastRow="1" w:firstColumn="0" w:lastColumn="0" w:noHBand="1" w:noVBand="1"/>
      </w:tblPr>
      <w:tblGrid>
        <w:gridCol w:w="5954"/>
        <w:gridCol w:w="3072"/>
      </w:tblGrid>
      <w:tr w:rsidR="007073D6" w14:paraId="68152322" w14:textId="77777777" w:rsidTr="00CE122A">
        <w:trPr>
          <w:cnfStyle w:val="100000000000" w:firstRow="1" w:lastRow="0" w:firstColumn="0" w:lastColumn="0" w:oddVBand="0" w:evenVBand="0" w:oddHBand="0" w:evenHBand="0" w:firstRowFirstColumn="0" w:firstRowLastColumn="0" w:lastRowFirstColumn="0" w:lastRowLastColumn="0"/>
          <w:trHeight w:val="337"/>
        </w:trPr>
        <w:tc>
          <w:tcPr>
            <w:tcW w:w="3298" w:type="pct"/>
            <w:noWrap/>
          </w:tcPr>
          <w:p w14:paraId="1A8E7CF4" w14:textId="0DE8CA48" w:rsidR="007073D6" w:rsidRDefault="007073D6">
            <w:r>
              <w:t>Title (author)</w:t>
            </w:r>
          </w:p>
        </w:tc>
        <w:tc>
          <w:tcPr>
            <w:tcW w:w="1702" w:type="pct"/>
          </w:tcPr>
          <w:p w14:paraId="5E855D85" w14:textId="45A03B08" w:rsidR="007073D6" w:rsidRDefault="007073D6">
            <w:r>
              <w:t>Example question/statement</w:t>
            </w:r>
          </w:p>
        </w:tc>
      </w:tr>
      <w:tr w:rsidR="007073D6" w14:paraId="1977BA81" w14:textId="77777777" w:rsidTr="00507A07">
        <w:trPr>
          <w:trHeight w:val="272"/>
        </w:trPr>
        <w:tc>
          <w:tcPr>
            <w:tcW w:w="3298" w:type="pct"/>
            <w:noWrap/>
          </w:tcPr>
          <w:p w14:paraId="0DF1C631" w14:textId="77777777" w:rsidR="007073D6" w:rsidRDefault="007073D6"/>
        </w:tc>
        <w:tc>
          <w:tcPr>
            <w:tcW w:w="1702" w:type="pct"/>
          </w:tcPr>
          <w:p w14:paraId="177CA509" w14:textId="77777777" w:rsidR="007073D6" w:rsidRDefault="007073D6"/>
        </w:tc>
      </w:tr>
      <w:tr w:rsidR="007073D6" w14:paraId="41B425BC" w14:textId="77777777" w:rsidTr="00507A07">
        <w:trPr>
          <w:trHeight w:val="756"/>
        </w:trPr>
        <w:tc>
          <w:tcPr>
            <w:tcW w:w="3298" w:type="pct"/>
            <w:noWrap/>
          </w:tcPr>
          <w:p w14:paraId="57027520" w14:textId="77777777" w:rsidR="007073D6" w:rsidRDefault="007073D6">
            <w:r w:rsidRPr="000A2F19">
              <w:t xml:space="preserve">Intolerance of Uncertainty Scale, Short Form </w:t>
            </w:r>
          </w:p>
          <w:p w14:paraId="213AB82A" w14:textId="284E182E" w:rsidR="007073D6" w:rsidRDefault="007073D6">
            <w:r w:rsidRPr="000A2F19">
              <w:t>(IUS-12</w:t>
            </w:r>
            <w:r>
              <w:t>; Carleton et al., 2007</w:t>
            </w:r>
            <w:r w:rsidRPr="000A2F19">
              <w:t>)</w:t>
            </w:r>
          </w:p>
        </w:tc>
        <w:tc>
          <w:tcPr>
            <w:tcW w:w="1702" w:type="pct"/>
          </w:tcPr>
          <w:p w14:paraId="7C2B96AA" w14:textId="12736279" w:rsidR="007073D6" w:rsidRDefault="007073D6">
            <w:pPr>
              <w:pStyle w:val="DecimalAligned"/>
            </w:pPr>
            <w:r>
              <w:rPr>
                <w:rFonts w:cstheme="minorHAnsi"/>
              </w:rPr>
              <w:t>“Unforeseen events upset me greatly”</w:t>
            </w:r>
          </w:p>
        </w:tc>
      </w:tr>
      <w:tr w:rsidR="007073D6" w14:paraId="45E0C442" w14:textId="77777777" w:rsidTr="00507A07">
        <w:trPr>
          <w:trHeight w:val="796"/>
        </w:trPr>
        <w:tc>
          <w:tcPr>
            <w:tcW w:w="3298" w:type="pct"/>
            <w:noWrap/>
          </w:tcPr>
          <w:p w14:paraId="3718800E" w14:textId="183DD0B9" w:rsidR="007073D6" w:rsidRDefault="007073D6" w:rsidP="000A37A5">
            <w:r w:rsidRPr="000A37A5">
              <w:t>Anxiety Sensitivity Index-3 (ASI-3</w:t>
            </w:r>
            <w:r>
              <w:t xml:space="preserve">; </w:t>
            </w:r>
            <w:r w:rsidRPr="000A37A5">
              <w:t>Taylor et al. 2007).</w:t>
            </w:r>
          </w:p>
        </w:tc>
        <w:tc>
          <w:tcPr>
            <w:tcW w:w="1702" w:type="pct"/>
          </w:tcPr>
          <w:p w14:paraId="7CD72757" w14:textId="03D08227" w:rsidR="007073D6" w:rsidRDefault="007073D6">
            <w:pPr>
              <w:pStyle w:val="DecimalAligned"/>
            </w:pPr>
            <w:r>
              <w:rPr>
                <w:rFonts w:cstheme="minorHAnsi"/>
              </w:rPr>
              <w:t>“It scares me when I feel shaky”.</w:t>
            </w:r>
          </w:p>
        </w:tc>
      </w:tr>
      <w:tr w:rsidR="007073D6" w14:paraId="53209852" w14:textId="77777777" w:rsidTr="00507A07">
        <w:trPr>
          <w:trHeight w:val="964"/>
        </w:trPr>
        <w:tc>
          <w:tcPr>
            <w:tcW w:w="3298" w:type="pct"/>
            <w:noWrap/>
          </w:tcPr>
          <w:p w14:paraId="5AD5EE25" w14:textId="7DDF7447" w:rsidR="007073D6" w:rsidRDefault="007073D6" w:rsidP="000A37A5">
            <w:r w:rsidRPr="000A37A5">
              <w:t>Patient</w:t>
            </w:r>
            <w:r>
              <w:t xml:space="preserve"> Health Questionnaire-15 (PHQ-15;</w:t>
            </w:r>
            <w:r w:rsidRPr="000A37A5">
              <w:t xml:space="preserve"> Kroenke et al., 2002).</w:t>
            </w:r>
          </w:p>
        </w:tc>
        <w:tc>
          <w:tcPr>
            <w:tcW w:w="1702" w:type="pct"/>
          </w:tcPr>
          <w:p w14:paraId="7FCB7253" w14:textId="3274F42F" w:rsidR="007073D6" w:rsidRDefault="007073D6">
            <w:pPr>
              <w:pStyle w:val="DecimalAligned"/>
            </w:pPr>
            <w:r>
              <w:rPr>
                <w:rFonts w:cstheme="minorHAnsi"/>
              </w:rPr>
              <w:t>“How often have you been bothered by stomach pain?”</w:t>
            </w:r>
          </w:p>
        </w:tc>
      </w:tr>
      <w:tr w:rsidR="007073D6" w14:paraId="45389F57" w14:textId="77777777" w:rsidTr="00507A07">
        <w:trPr>
          <w:trHeight w:val="850"/>
        </w:trPr>
        <w:tc>
          <w:tcPr>
            <w:tcW w:w="3298" w:type="pct"/>
            <w:noWrap/>
          </w:tcPr>
          <w:p w14:paraId="248060F3" w14:textId="48AE6738" w:rsidR="007073D6" w:rsidRDefault="007073D6" w:rsidP="000A37A5">
            <w:r w:rsidRPr="00B74045">
              <w:rPr>
                <w:rFonts w:cstheme="minorHAnsi"/>
                <w:i/>
              </w:rPr>
              <w:t xml:space="preserve">Patient Health Questionnaire-9 </w:t>
            </w:r>
            <w:r>
              <w:rPr>
                <w:rFonts w:cstheme="minorHAnsi"/>
              </w:rPr>
              <w:t>(PHQ-9; K</w:t>
            </w:r>
            <w:r w:rsidRPr="00B74045">
              <w:rPr>
                <w:rFonts w:cstheme="minorHAnsi"/>
              </w:rPr>
              <w:t>roenke et al., 2001)</w:t>
            </w:r>
          </w:p>
        </w:tc>
        <w:tc>
          <w:tcPr>
            <w:tcW w:w="1702" w:type="pct"/>
          </w:tcPr>
          <w:p w14:paraId="59E8B985" w14:textId="42262BBA" w:rsidR="007073D6" w:rsidRDefault="007073D6">
            <w:pPr>
              <w:pStyle w:val="DecimalAligned"/>
            </w:pPr>
            <w:r>
              <w:rPr>
                <w:rFonts w:cstheme="minorHAnsi"/>
              </w:rPr>
              <w:t>“Feeling, down, depressed, or hopeless”</w:t>
            </w:r>
          </w:p>
        </w:tc>
      </w:tr>
      <w:tr w:rsidR="007073D6" w14:paraId="2AD3600B" w14:textId="77777777" w:rsidTr="00CE122A">
        <w:trPr>
          <w:trHeight w:val="720"/>
        </w:trPr>
        <w:tc>
          <w:tcPr>
            <w:tcW w:w="3298" w:type="pct"/>
            <w:tcBorders>
              <w:bottom w:val="nil"/>
            </w:tcBorders>
            <w:noWrap/>
          </w:tcPr>
          <w:p w14:paraId="2845936A" w14:textId="64B2DE26" w:rsidR="007073D6" w:rsidRPr="000A37A5" w:rsidRDefault="007073D6">
            <w:r w:rsidRPr="000A37A5">
              <w:rPr>
                <w:rFonts w:cstheme="minorHAnsi"/>
              </w:rPr>
              <w:t>General Anxiety Disorder-7 (GAD-7; Spitzer et al., 2006)</w:t>
            </w:r>
          </w:p>
        </w:tc>
        <w:tc>
          <w:tcPr>
            <w:tcW w:w="1702" w:type="pct"/>
            <w:tcBorders>
              <w:bottom w:val="nil"/>
            </w:tcBorders>
          </w:tcPr>
          <w:p w14:paraId="5F975627" w14:textId="469DE4AB" w:rsidR="007073D6" w:rsidRDefault="007073D6" w:rsidP="000A37A5">
            <w:pPr>
              <w:pStyle w:val="DecimalAligned"/>
            </w:pPr>
            <w:r>
              <w:rPr>
                <w:rFonts w:cstheme="minorHAnsi"/>
              </w:rPr>
              <w:t>“Trouble relaxing”</w:t>
            </w:r>
          </w:p>
        </w:tc>
      </w:tr>
      <w:tr w:rsidR="007073D6" w14:paraId="1F8E008A" w14:textId="77777777" w:rsidTr="00CE122A">
        <w:trPr>
          <w:cnfStyle w:val="010000000000" w:firstRow="0" w:lastRow="1" w:firstColumn="0" w:lastColumn="0" w:oddVBand="0" w:evenVBand="0" w:oddHBand="0" w:evenHBand="0" w:firstRowFirstColumn="0" w:firstRowLastColumn="0" w:lastRowFirstColumn="0" w:lastRowLastColumn="0"/>
          <w:trHeight w:val="1173"/>
        </w:trPr>
        <w:tc>
          <w:tcPr>
            <w:tcW w:w="3298" w:type="pct"/>
            <w:tcBorders>
              <w:top w:val="nil"/>
              <w:bottom w:val="single" w:sz="4" w:space="0" w:color="auto"/>
            </w:tcBorders>
            <w:noWrap/>
          </w:tcPr>
          <w:p w14:paraId="7B634F7E" w14:textId="77777777" w:rsidR="007073D6" w:rsidRDefault="007073D6">
            <w:pPr>
              <w:rPr>
                <w:rFonts w:cstheme="minorHAnsi"/>
              </w:rPr>
            </w:pPr>
            <w:r>
              <w:rPr>
                <w:rFonts w:cstheme="minorHAnsi"/>
              </w:rPr>
              <w:t xml:space="preserve">Demographic and seizure condition questionnaire </w:t>
            </w:r>
          </w:p>
          <w:p w14:paraId="5EF00C2F" w14:textId="0A0BA270" w:rsidR="007073D6" w:rsidRPr="000A37A5" w:rsidRDefault="007073D6">
            <w:pPr>
              <w:rPr>
                <w:rFonts w:cstheme="minorHAnsi"/>
              </w:rPr>
            </w:pPr>
            <w:r>
              <w:rPr>
                <w:rFonts w:cstheme="minorHAnsi"/>
              </w:rPr>
              <w:t>(based on Whitfield et al., 2020)</w:t>
            </w:r>
          </w:p>
        </w:tc>
        <w:tc>
          <w:tcPr>
            <w:tcW w:w="1702" w:type="pct"/>
            <w:tcBorders>
              <w:top w:val="nil"/>
              <w:bottom w:val="single" w:sz="4" w:space="0" w:color="auto"/>
            </w:tcBorders>
          </w:tcPr>
          <w:p w14:paraId="3A1054B2" w14:textId="187D7A55" w:rsidR="007073D6" w:rsidRDefault="007073D6" w:rsidP="007073D6">
            <w:pPr>
              <w:pStyle w:val="DecimalAligned"/>
              <w:rPr>
                <w:rFonts w:cstheme="minorHAnsi"/>
              </w:rPr>
            </w:pPr>
            <w:r>
              <w:rPr>
                <w:rFonts w:cstheme="minorHAnsi"/>
              </w:rPr>
              <w:t>“</w:t>
            </w:r>
            <w:r w:rsidRPr="007073D6">
              <w:rPr>
                <w:rFonts w:cstheme="minorHAnsi"/>
              </w:rPr>
              <w:t>How many seizures or non-epileptic episodes have you experi</w:t>
            </w:r>
            <w:r>
              <w:rPr>
                <w:rFonts w:cstheme="minorHAnsi"/>
              </w:rPr>
              <w:t>enced over the last four weeks?”</w:t>
            </w:r>
          </w:p>
        </w:tc>
      </w:tr>
    </w:tbl>
    <w:p w14:paraId="483A3F7E" w14:textId="39521303" w:rsidR="007617A5" w:rsidRDefault="007617A5" w:rsidP="00CE122A">
      <w:pPr>
        <w:spacing w:line="360" w:lineRule="auto"/>
      </w:pPr>
    </w:p>
    <w:p w14:paraId="7DA2A6B4" w14:textId="77777777" w:rsidR="007617A5" w:rsidRPr="00D8564C" w:rsidRDefault="007617A5" w:rsidP="00A53770">
      <w:pPr>
        <w:pStyle w:val="Heading2"/>
        <w:rPr>
          <w:color w:val="0070C0"/>
        </w:rPr>
      </w:pPr>
      <w:bookmarkStart w:id="217" w:name="_Toc133144252"/>
      <w:bookmarkStart w:id="218" w:name="_Toc133487867"/>
      <w:r w:rsidRPr="00D8564C">
        <w:rPr>
          <w:color w:val="0070C0"/>
        </w:rPr>
        <w:t>Who participated?</w:t>
      </w:r>
      <w:bookmarkEnd w:id="217"/>
      <w:bookmarkEnd w:id="218"/>
    </w:p>
    <w:p w14:paraId="7251D81A" w14:textId="4DF9B89E" w:rsidR="00747028" w:rsidRDefault="007617A5" w:rsidP="00CE122A">
      <w:pPr>
        <w:spacing w:line="360" w:lineRule="auto"/>
        <w:ind w:firstLine="720"/>
      </w:pPr>
      <w:r>
        <w:t>Overall 90 participants com</w:t>
      </w:r>
      <w:r w:rsidR="00FA1AA6">
        <w:t>pleted the survey, 44 with diagnoses of epilepsy and 46 with diagnoses of dissociative seizures</w:t>
      </w:r>
      <w:r>
        <w:t xml:space="preserve">. The majority of the participants identified as women (83.33%), with </w:t>
      </w:r>
      <w:r w:rsidR="00747028">
        <w:t>an average age of 39 (18 – 88).</w:t>
      </w:r>
    </w:p>
    <w:p w14:paraId="37DF6F01" w14:textId="77777777" w:rsidR="007617A5" w:rsidRPr="007B3E18" w:rsidRDefault="007617A5" w:rsidP="00A53770">
      <w:pPr>
        <w:pStyle w:val="Heading2"/>
        <w:rPr>
          <w:color w:val="0070C0"/>
        </w:rPr>
      </w:pPr>
      <w:bookmarkStart w:id="219" w:name="_Toc133144253"/>
      <w:bookmarkStart w:id="220" w:name="_Toc133487868"/>
      <w:r w:rsidRPr="007B3E18">
        <w:rPr>
          <w:color w:val="0070C0"/>
        </w:rPr>
        <w:t>Methods of analysis</w:t>
      </w:r>
      <w:bookmarkEnd w:id="219"/>
      <w:bookmarkEnd w:id="220"/>
    </w:p>
    <w:p w14:paraId="11B25BE6" w14:textId="77777777" w:rsidR="007617A5" w:rsidRDefault="007617A5" w:rsidP="00436994">
      <w:pPr>
        <w:spacing w:line="360" w:lineRule="auto"/>
        <w:ind w:firstLine="720"/>
      </w:pPr>
      <w:r>
        <w:t>Two main types of statistical analysis were used in this study.</w:t>
      </w:r>
    </w:p>
    <w:p w14:paraId="027C4234" w14:textId="2E16E229" w:rsidR="007617A5" w:rsidRDefault="007617A5" w:rsidP="00436994">
      <w:pPr>
        <w:spacing w:line="360" w:lineRule="auto"/>
        <w:ind w:firstLine="720"/>
      </w:pPr>
      <w:r>
        <w:t xml:space="preserve">The first analysis was used to compare differences between people with epilepsy and people with dissociative seizures, on </w:t>
      </w:r>
      <w:r w:rsidR="006A496A">
        <w:t>scores</w:t>
      </w:r>
      <w:r>
        <w:t xml:space="preserve"> from questionnaires. This involves tests which take the averages of both groups and compare them to find if there is a statistically significant difference between the two. Finding a statistically significant result would mean finding that differences in scores were due to having a diagnosis of either epilepsy or dissociative seizures.</w:t>
      </w:r>
    </w:p>
    <w:p w14:paraId="7404687B" w14:textId="56169175" w:rsidR="007617A5" w:rsidRDefault="007617A5" w:rsidP="00436994">
      <w:pPr>
        <w:spacing w:line="360" w:lineRule="auto"/>
        <w:ind w:firstLine="720"/>
      </w:pPr>
      <w:r>
        <w:t xml:space="preserve">The second and third research questions were answered using correlation and multiple regression analyses.  Correlations demonstrate how closely two things are related. Multiple regression analysis is similar but goes further in allowing researchers to find out whether an increase or decrease in one factor can predict an increase or decrease in another factor. For example, a correlational relationship might be that when it is sunny more people tend to be outside. A predictive relationship would be that </w:t>
      </w:r>
      <w:r w:rsidR="00B55941">
        <w:t xml:space="preserve">you can predict </w:t>
      </w:r>
      <w:r>
        <w:t>that more people will go outside</w:t>
      </w:r>
      <w:r w:rsidR="00B55941">
        <w:t xml:space="preserve"> when it is sunny</w:t>
      </w:r>
      <w:r w:rsidR="007C11E1">
        <w:t xml:space="preserve"> (figure 1)</w:t>
      </w:r>
      <w:r>
        <w:t>.</w:t>
      </w:r>
    </w:p>
    <w:p w14:paraId="68291B3D" w14:textId="19804580" w:rsidR="007617A5" w:rsidRDefault="007617A5" w:rsidP="00436994">
      <w:pPr>
        <w:spacing w:line="360" w:lineRule="auto"/>
        <w:ind w:firstLine="720"/>
      </w:pPr>
    </w:p>
    <w:p w14:paraId="0C06DAF0" w14:textId="77777777" w:rsidR="007617A5" w:rsidRPr="00D8564C" w:rsidRDefault="007617A5" w:rsidP="00436994">
      <w:pPr>
        <w:spacing w:line="360" w:lineRule="auto"/>
        <w:ind w:firstLine="720"/>
        <w:rPr>
          <w:b/>
        </w:rPr>
      </w:pPr>
      <w:r w:rsidRPr="00D8564C">
        <w:rPr>
          <w:b/>
        </w:rPr>
        <w:t>Figure 1.</w:t>
      </w:r>
    </w:p>
    <w:p w14:paraId="7E09F29D" w14:textId="77777777" w:rsidR="007617A5" w:rsidRPr="00B40955" w:rsidRDefault="007617A5" w:rsidP="00436994">
      <w:pPr>
        <w:spacing w:line="360" w:lineRule="auto"/>
        <w:ind w:firstLine="720"/>
        <w:rPr>
          <w:i/>
        </w:rPr>
      </w:pPr>
      <w:r w:rsidRPr="00B40955">
        <w:rPr>
          <w:i/>
        </w:rPr>
        <w:t>Example of correlation</w:t>
      </w:r>
      <w:r>
        <w:rPr>
          <w:i/>
        </w:rPr>
        <w:t>/regression showing more people outside in sunnier weather</w:t>
      </w:r>
    </w:p>
    <w:p w14:paraId="5EAD7189" w14:textId="77777777" w:rsidR="007617A5" w:rsidRDefault="007617A5" w:rsidP="007617A5">
      <w:pPr>
        <w:spacing w:line="480" w:lineRule="auto"/>
        <w:ind w:firstLine="720"/>
      </w:pPr>
      <w:r>
        <w:rPr>
          <w:rFonts w:ascii="Times New Roman" w:hAnsi="Times New Roman" w:cs="Times New Roman"/>
          <w:noProof/>
          <w:sz w:val="24"/>
          <w:szCs w:val="24"/>
          <w:lang w:eastAsia="en-GB"/>
        </w:rPr>
        <mc:AlternateContent>
          <mc:Choice Requires="wpg">
            <w:drawing>
              <wp:anchor distT="0" distB="0" distL="114300" distR="114300" simplePos="0" relativeHeight="251696128" behindDoc="0" locked="0" layoutInCell="1" allowOverlap="1" wp14:anchorId="3A929CB1" wp14:editId="27C2FD39">
                <wp:simplePos x="0" y="0"/>
                <wp:positionH relativeFrom="column">
                  <wp:posOffset>28135</wp:posOffset>
                </wp:positionH>
                <wp:positionV relativeFrom="paragraph">
                  <wp:posOffset>113323</wp:posOffset>
                </wp:positionV>
                <wp:extent cx="3187065" cy="2625725"/>
                <wp:effectExtent l="0" t="38100" r="70485"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065" cy="2625725"/>
                          <a:chOff x="1068578" y="1074374"/>
                          <a:chExt cx="31870" cy="26255"/>
                        </a:xfrm>
                      </wpg:grpSpPr>
                      <wps:wsp>
                        <wps:cNvPr id="61" name="AutoShape 3"/>
                        <wps:cNvCnPr>
                          <a:cxnSpLocks noChangeShapeType="1"/>
                        </wps:cNvCnPr>
                        <wps:spPr bwMode="auto">
                          <a:xfrm flipV="1">
                            <a:off x="1076185" y="1074374"/>
                            <a:ext cx="90" cy="2200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2" name="AutoShape 4"/>
                        <wps:cNvCnPr>
                          <a:cxnSpLocks noChangeShapeType="1"/>
                        </wps:cNvCnPr>
                        <wps:spPr bwMode="auto">
                          <a:xfrm>
                            <a:off x="1076185" y="1096374"/>
                            <a:ext cx="24263"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3" name="Text Box 63"/>
                        <wps:cNvSpPr txBox="1">
                          <a:spLocks noChangeArrowheads="1"/>
                        </wps:cNvSpPr>
                        <wps:spPr bwMode="auto">
                          <a:xfrm>
                            <a:off x="1078086" y="1091214"/>
                            <a:ext cx="1720" cy="190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CC6C47E" w14:textId="77777777" w:rsidR="000D292E" w:rsidRDefault="000D292E" w:rsidP="007617A5">
                              <w:pPr>
                                <w:widowControl w:val="0"/>
                              </w:pPr>
                              <w:r>
                                <w:t>x</w:t>
                              </w:r>
                            </w:p>
                          </w:txbxContent>
                        </wps:txbx>
                        <wps:bodyPr rot="0" vert="horz" wrap="square" lIns="36576" tIns="36576" rIns="36576" bIns="36576" anchor="t" anchorCtr="0" upright="1">
                          <a:noAutofit/>
                        </wps:bodyPr>
                      </wps:wsp>
                      <wps:wsp>
                        <wps:cNvPr id="160" name="Text Box 160"/>
                        <wps:cNvSpPr txBox="1">
                          <a:spLocks noChangeArrowheads="1"/>
                        </wps:cNvSpPr>
                        <wps:spPr bwMode="auto">
                          <a:xfrm>
                            <a:off x="1079229" y="1092357"/>
                            <a:ext cx="1720" cy="190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C2EEAB9" w14:textId="77777777" w:rsidR="000D292E" w:rsidRDefault="000D292E" w:rsidP="007617A5">
                              <w:pPr>
                                <w:widowControl w:val="0"/>
                              </w:pPr>
                              <w:r>
                                <w:t>x</w:t>
                              </w:r>
                            </w:p>
                          </w:txbxContent>
                        </wps:txbx>
                        <wps:bodyPr rot="0" vert="horz" wrap="square" lIns="36576" tIns="36576" rIns="36576" bIns="36576" anchor="t" anchorCtr="0" upright="1">
                          <a:noAutofit/>
                        </wps:bodyPr>
                      </wps:wsp>
                      <wps:wsp>
                        <wps:cNvPr id="161" name="Text Box 161"/>
                        <wps:cNvSpPr txBox="1">
                          <a:spLocks noChangeArrowheads="1"/>
                        </wps:cNvSpPr>
                        <wps:spPr bwMode="auto">
                          <a:xfrm>
                            <a:off x="1080372" y="1093500"/>
                            <a:ext cx="1720" cy="190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C5A2D0" w14:textId="77777777" w:rsidR="000D292E" w:rsidRDefault="000D292E" w:rsidP="007617A5">
                              <w:pPr>
                                <w:widowControl w:val="0"/>
                              </w:pPr>
                              <w:r>
                                <w:t>x</w:t>
                              </w:r>
                            </w:p>
                          </w:txbxContent>
                        </wps:txbx>
                        <wps:bodyPr rot="0" vert="horz" wrap="square" lIns="36576" tIns="36576" rIns="36576" bIns="36576" anchor="t" anchorCtr="0" upright="1">
                          <a:noAutofit/>
                        </wps:bodyPr>
                      </wps:wsp>
                      <wps:wsp>
                        <wps:cNvPr id="162" name="Text Box 162"/>
                        <wps:cNvSpPr txBox="1">
                          <a:spLocks noChangeArrowheads="1"/>
                        </wps:cNvSpPr>
                        <wps:spPr bwMode="auto">
                          <a:xfrm>
                            <a:off x="1081515" y="1091214"/>
                            <a:ext cx="1720" cy="190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FE6DCD7" w14:textId="77777777" w:rsidR="000D292E" w:rsidRDefault="000D292E" w:rsidP="007617A5">
                              <w:pPr>
                                <w:widowControl w:val="0"/>
                              </w:pPr>
                              <w:r>
                                <w:t>x</w:t>
                              </w:r>
                            </w:p>
                          </w:txbxContent>
                        </wps:txbx>
                        <wps:bodyPr rot="0" vert="horz" wrap="square" lIns="36576" tIns="36576" rIns="36576" bIns="36576" anchor="t" anchorCtr="0" upright="1">
                          <a:noAutofit/>
                        </wps:bodyPr>
                      </wps:wsp>
                      <wps:wsp>
                        <wps:cNvPr id="163" name="Text Box 163"/>
                        <wps:cNvSpPr txBox="1">
                          <a:spLocks noChangeArrowheads="1"/>
                        </wps:cNvSpPr>
                        <wps:spPr bwMode="auto">
                          <a:xfrm>
                            <a:off x="1087807" y="1084424"/>
                            <a:ext cx="1720" cy="190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F4B3830" w14:textId="77777777" w:rsidR="000D292E" w:rsidRDefault="000D292E" w:rsidP="007617A5">
                              <w:pPr>
                                <w:widowControl w:val="0"/>
                              </w:pPr>
                              <w:r>
                                <w:t>x</w:t>
                              </w:r>
                            </w:p>
                          </w:txbxContent>
                        </wps:txbx>
                        <wps:bodyPr rot="0" vert="horz" wrap="square" lIns="36576" tIns="36576" rIns="36576" bIns="36576" anchor="t" anchorCtr="0" upright="1">
                          <a:noAutofit/>
                        </wps:bodyPr>
                      </wps:wsp>
                      <wps:wsp>
                        <wps:cNvPr id="164" name="Text Box 164"/>
                        <wps:cNvSpPr txBox="1">
                          <a:spLocks noChangeArrowheads="1"/>
                        </wps:cNvSpPr>
                        <wps:spPr bwMode="auto">
                          <a:xfrm>
                            <a:off x="1083801" y="1083473"/>
                            <a:ext cx="1720" cy="190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E8D7522" w14:textId="77777777" w:rsidR="000D292E" w:rsidRDefault="000D292E" w:rsidP="007617A5">
                              <w:pPr>
                                <w:widowControl w:val="0"/>
                              </w:pPr>
                              <w:r>
                                <w:t>x</w:t>
                              </w:r>
                            </w:p>
                          </w:txbxContent>
                        </wps:txbx>
                        <wps:bodyPr rot="0" vert="horz" wrap="square" lIns="36576" tIns="36576" rIns="36576" bIns="36576" anchor="t" anchorCtr="0" upright="1">
                          <a:noAutofit/>
                        </wps:bodyPr>
                      </wps:wsp>
                      <wps:wsp>
                        <wps:cNvPr id="166" name="Text Box 166"/>
                        <wps:cNvSpPr txBox="1">
                          <a:spLocks noChangeArrowheads="1"/>
                        </wps:cNvSpPr>
                        <wps:spPr bwMode="auto">
                          <a:xfrm>
                            <a:off x="1085521" y="1085374"/>
                            <a:ext cx="1720" cy="190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FB8ADC" w14:textId="77777777" w:rsidR="000D292E" w:rsidRDefault="000D292E" w:rsidP="007617A5">
                              <w:pPr>
                                <w:widowControl w:val="0"/>
                              </w:pPr>
                              <w:r>
                                <w:t>x</w:t>
                              </w:r>
                            </w:p>
                          </w:txbxContent>
                        </wps:txbx>
                        <wps:bodyPr rot="0" vert="horz" wrap="square" lIns="36576" tIns="36576" rIns="36576" bIns="36576" anchor="t" anchorCtr="0" upright="1">
                          <a:noAutofit/>
                        </wps:bodyPr>
                      </wps:wsp>
                      <wps:wsp>
                        <wps:cNvPr id="167" name="Text Box 167"/>
                        <wps:cNvSpPr txBox="1">
                          <a:spLocks noChangeArrowheads="1"/>
                        </wps:cNvSpPr>
                        <wps:spPr bwMode="auto">
                          <a:xfrm>
                            <a:off x="1083518" y="1087275"/>
                            <a:ext cx="1720" cy="190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E07909A" w14:textId="77777777" w:rsidR="000D292E" w:rsidRDefault="000D292E" w:rsidP="007617A5">
                              <w:pPr>
                                <w:widowControl w:val="0"/>
                              </w:pPr>
                              <w:r>
                                <w:t>x</w:t>
                              </w:r>
                            </w:p>
                          </w:txbxContent>
                        </wps:txbx>
                        <wps:bodyPr rot="0" vert="horz" wrap="square" lIns="36576" tIns="36576" rIns="36576" bIns="36576" anchor="t" anchorCtr="0" upright="1">
                          <a:noAutofit/>
                        </wps:bodyPr>
                      </wps:wsp>
                      <wps:wsp>
                        <wps:cNvPr id="168" name="Text Box 168"/>
                        <wps:cNvSpPr txBox="1">
                          <a:spLocks noChangeArrowheads="1"/>
                        </wps:cNvSpPr>
                        <wps:spPr bwMode="auto">
                          <a:xfrm>
                            <a:off x="1094416" y="1075778"/>
                            <a:ext cx="1720" cy="190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D34AB4" w14:textId="77777777" w:rsidR="000D292E" w:rsidRDefault="000D292E" w:rsidP="007617A5">
                              <w:pPr>
                                <w:widowControl w:val="0"/>
                              </w:pPr>
                              <w:r>
                                <w:t>x</w:t>
                              </w:r>
                            </w:p>
                          </w:txbxContent>
                        </wps:txbx>
                        <wps:bodyPr rot="0" vert="horz" wrap="square" lIns="36576" tIns="36576" rIns="36576" bIns="36576" anchor="t" anchorCtr="0" upright="1">
                          <a:noAutofit/>
                        </wps:bodyPr>
                      </wps:wsp>
                      <wps:wsp>
                        <wps:cNvPr id="169" name="Text Box 169"/>
                        <wps:cNvSpPr txBox="1">
                          <a:spLocks noChangeArrowheads="1"/>
                        </wps:cNvSpPr>
                        <wps:spPr bwMode="auto">
                          <a:xfrm>
                            <a:off x="1081130" y="1087411"/>
                            <a:ext cx="1721" cy="190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FE2029" w14:textId="77777777" w:rsidR="000D292E" w:rsidRDefault="000D292E" w:rsidP="007617A5">
                              <w:pPr>
                                <w:widowControl w:val="0"/>
                              </w:pPr>
                              <w:r>
                                <w:t>x</w:t>
                              </w:r>
                            </w:p>
                          </w:txbxContent>
                        </wps:txbx>
                        <wps:bodyPr rot="0" vert="horz" wrap="square" lIns="36576" tIns="36576" rIns="36576" bIns="36576" anchor="t" anchorCtr="0" upright="1">
                          <a:noAutofit/>
                        </wps:bodyPr>
                      </wps:wsp>
                      <wps:wsp>
                        <wps:cNvPr id="170" name="Text Box 170"/>
                        <wps:cNvSpPr txBox="1">
                          <a:spLocks noChangeArrowheads="1"/>
                        </wps:cNvSpPr>
                        <wps:spPr bwMode="auto">
                          <a:xfrm>
                            <a:off x="1083224" y="1089312"/>
                            <a:ext cx="1720" cy="190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AFEA33" w14:textId="77777777" w:rsidR="000D292E" w:rsidRDefault="000D292E" w:rsidP="007617A5">
                              <w:pPr>
                                <w:widowControl w:val="0"/>
                              </w:pPr>
                              <w:r>
                                <w:t>x</w:t>
                              </w:r>
                            </w:p>
                          </w:txbxContent>
                        </wps:txbx>
                        <wps:bodyPr rot="0" vert="horz" wrap="square" lIns="36576" tIns="36576" rIns="36576" bIns="36576" anchor="t" anchorCtr="0" upright="1">
                          <a:noAutofit/>
                        </wps:bodyPr>
                      </wps:wsp>
                      <wps:wsp>
                        <wps:cNvPr id="171" name="Text Box 171"/>
                        <wps:cNvSpPr txBox="1">
                          <a:spLocks noChangeArrowheads="1"/>
                        </wps:cNvSpPr>
                        <wps:spPr bwMode="auto">
                          <a:xfrm>
                            <a:off x="1076988" y="1093500"/>
                            <a:ext cx="1721" cy="190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515FFE" w14:textId="77777777" w:rsidR="000D292E" w:rsidRDefault="000D292E" w:rsidP="007617A5">
                              <w:pPr>
                                <w:widowControl w:val="0"/>
                              </w:pPr>
                              <w:r>
                                <w:t>x</w:t>
                              </w:r>
                            </w:p>
                          </w:txbxContent>
                        </wps:txbx>
                        <wps:bodyPr rot="0" vert="horz" wrap="square" lIns="36576" tIns="36576" rIns="36576" bIns="36576" anchor="t" anchorCtr="0" upright="1">
                          <a:noAutofit/>
                        </wps:bodyPr>
                      </wps:wsp>
                      <wps:wsp>
                        <wps:cNvPr id="172" name="Text Box 172"/>
                        <wps:cNvSpPr txBox="1">
                          <a:spLocks noChangeArrowheads="1"/>
                        </wps:cNvSpPr>
                        <wps:spPr bwMode="auto">
                          <a:xfrm>
                            <a:off x="1079795" y="1089177"/>
                            <a:ext cx="1720" cy="190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50DCDCF" w14:textId="77777777" w:rsidR="000D292E" w:rsidRDefault="000D292E" w:rsidP="007617A5">
                              <w:pPr>
                                <w:widowControl w:val="0"/>
                              </w:pPr>
                              <w:r>
                                <w:t>x</w:t>
                              </w:r>
                            </w:p>
                          </w:txbxContent>
                        </wps:txbx>
                        <wps:bodyPr rot="0" vert="horz" wrap="square" lIns="36576" tIns="36576" rIns="36576" bIns="36576" anchor="t" anchorCtr="0" upright="1">
                          <a:noAutofit/>
                        </wps:bodyPr>
                      </wps:wsp>
                      <wps:wsp>
                        <wps:cNvPr id="173" name="Text Box 173"/>
                        <wps:cNvSpPr txBox="1">
                          <a:spLocks noChangeArrowheads="1"/>
                        </wps:cNvSpPr>
                        <wps:spPr bwMode="auto">
                          <a:xfrm>
                            <a:off x="1091666" y="1078890"/>
                            <a:ext cx="1720" cy="190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B593E75" w14:textId="77777777" w:rsidR="000D292E" w:rsidRDefault="000D292E" w:rsidP="007617A5">
                              <w:pPr>
                                <w:widowControl w:val="0"/>
                              </w:pPr>
                              <w:r>
                                <w:t>x</w:t>
                              </w:r>
                            </w:p>
                          </w:txbxContent>
                        </wps:txbx>
                        <wps:bodyPr rot="0" vert="horz" wrap="square" lIns="36576" tIns="36576" rIns="36576" bIns="36576" anchor="t" anchorCtr="0" upright="1">
                          <a:noAutofit/>
                        </wps:bodyPr>
                      </wps:wsp>
                      <wps:wsp>
                        <wps:cNvPr id="174" name="Text Box 174"/>
                        <wps:cNvSpPr txBox="1">
                          <a:spLocks noChangeArrowheads="1"/>
                        </wps:cNvSpPr>
                        <wps:spPr bwMode="auto">
                          <a:xfrm>
                            <a:off x="1088226" y="1078890"/>
                            <a:ext cx="1720" cy="190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EC8B97" w14:textId="77777777" w:rsidR="000D292E" w:rsidRDefault="000D292E" w:rsidP="007617A5">
                              <w:pPr>
                                <w:widowControl w:val="0"/>
                              </w:pPr>
                              <w:r>
                                <w:t>x</w:t>
                              </w:r>
                            </w:p>
                          </w:txbxContent>
                        </wps:txbx>
                        <wps:bodyPr rot="0" vert="horz" wrap="square" lIns="36576" tIns="36576" rIns="36576" bIns="36576" anchor="t" anchorCtr="0" upright="1">
                          <a:noAutofit/>
                        </wps:bodyPr>
                      </wps:wsp>
                      <wps:wsp>
                        <wps:cNvPr id="175" name="Text Box 175"/>
                        <wps:cNvSpPr txBox="1">
                          <a:spLocks noChangeArrowheads="1"/>
                        </wps:cNvSpPr>
                        <wps:spPr bwMode="auto">
                          <a:xfrm>
                            <a:off x="1093386" y="1078030"/>
                            <a:ext cx="1721" cy="190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975AEB6" w14:textId="77777777" w:rsidR="000D292E" w:rsidRDefault="000D292E" w:rsidP="007617A5">
                              <w:pPr>
                                <w:widowControl w:val="0"/>
                              </w:pPr>
                              <w:r>
                                <w:t>x</w:t>
                              </w:r>
                            </w:p>
                          </w:txbxContent>
                        </wps:txbx>
                        <wps:bodyPr rot="0" vert="horz" wrap="square" lIns="36576" tIns="36576" rIns="36576" bIns="36576" anchor="t" anchorCtr="0" upright="1">
                          <a:noAutofit/>
                        </wps:bodyPr>
                      </wps:wsp>
                      <wps:wsp>
                        <wps:cNvPr id="176" name="Text Box 176"/>
                        <wps:cNvSpPr txBox="1">
                          <a:spLocks noChangeArrowheads="1"/>
                        </wps:cNvSpPr>
                        <wps:spPr bwMode="auto">
                          <a:xfrm>
                            <a:off x="1089946" y="1080791"/>
                            <a:ext cx="1720" cy="190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2D258F" w14:textId="77777777" w:rsidR="000D292E" w:rsidRDefault="000D292E" w:rsidP="007617A5">
                              <w:pPr>
                                <w:widowControl w:val="0"/>
                              </w:pPr>
                              <w:r>
                                <w:t>x</w:t>
                              </w:r>
                            </w:p>
                          </w:txbxContent>
                        </wps:txbx>
                        <wps:bodyPr rot="0" vert="horz" wrap="square" lIns="36576" tIns="36576" rIns="36576" bIns="36576" anchor="t" anchorCtr="0" upright="1">
                          <a:noAutofit/>
                        </wps:bodyPr>
                      </wps:wsp>
                      <wps:wsp>
                        <wps:cNvPr id="177" name="Text Box 177"/>
                        <wps:cNvSpPr txBox="1">
                          <a:spLocks noChangeArrowheads="1"/>
                        </wps:cNvSpPr>
                        <wps:spPr bwMode="auto">
                          <a:xfrm>
                            <a:off x="1089856" y="1083247"/>
                            <a:ext cx="1720" cy="190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2AC7C27" w14:textId="77777777" w:rsidR="000D292E" w:rsidRDefault="000D292E" w:rsidP="007617A5">
                              <w:pPr>
                                <w:widowControl w:val="0"/>
                              </w:pPr>
                              <w:r>
                                <w:t>x</w:t>
                              </w:r>
                            </w:p>
                          </w:txbxContent>
                        </wps:txbx>
                        <wps:bodyPr rot="0" vert="horz" wrap="square" lIns="36576" tIns="36576" rIns="36576" bIns="36576" anchor="t" anchorCtr="0" upright="1">
                          <a:noAutofit/>
                        </wps:bodyPr>
                      </wps:wsp>
                      <wps:wsp>
                        <wps:cNvPr id="178" name="Text Box 178"/>
                        <wps:cNvSpPr txBox="1">
                          <a:spLocks noChangeArrowheads="1"/>
                        </wps:cNvSpPr>
                        <wps:spPr bwMode="auto">
                          <a:xfrm>
                            <a:off x="1091055" y="1076988"/>
                            <a:ext cx="1720" cy="190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D58E2BF" w14:textId="77777777" w:rsidR="000D292E" w:rsidRDefault="000D292E" w:rsidP="007617A5">
                              <w:pPr>
                                <w:widowControl w:val="0"/>
                              </w:pPr>
                              <w:r>
                                <w:t>x</w:t>
                              </w:r>
                            </w:p>
                          </w:txbxContent>
                        </wps:txbx>
                        <wps:bodyPr rot="0" vert="horz" wrap="square" lIns="36576" tIns="36576" rIns="36576" bIns="36576" anchor="t" anchorCtr="0" upright="1">
                          <a:noAutofit/>
                        </wps:bodyPr>
                      </wps:wsp>
                      <wps:wsp>
                        <wps:cNvPr id="179" name="Text Box 179"/>
                        <wps:cNvSpPr txBox="1">
                          <a:spLocks noChangeArrowheads="1"/>
                        </wps:cNvSpPr>
                        <wps:spPr bwMode="auto">
                          <a:xfrm>
                            <a:off x="1087241" y="1080791"/>
                            <a:ext cx="1721" cy="190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6B98FEB" w14:textId="77777777" w:rsidR="000D292E" w:rsidRDefault="000D292E" w:rsidP="007617A5">
                              <w:pPr>
                                <w:widowControl w:val="0"/>
                              </w:pPr>
                              <w:r>
                                <w:t>x</w:t>
                              </w:r>
                            </w:p>
                          </w:txbxContent>
                        </wps:txbx>
                        <wps:bodyPr rot="0" vert="horz" wrap="square" lIns="36576" tIns="36576" rIns="36576" bIns="36576" anchor="t" anchorCtr="0" upright="1">
                          <a:noAutofit/>
                        </wps:bodyPr>
                      </wps:wsp>
                      <wps:wsp>
                        <wps:cNvPr id="180" name="Text Box 180"/>
                        <wps:cNvSpPr txBox="1">
                          <a:spLocks noChangeArrowheads="1"/>
                        </wps:cNvSpPr>
                        <wps:spPr bwMode="auto">
                          <a:xfrm>
                            <a:off x="1080259" y="1097732"/>
                            <a:ext cx="17202" cy="289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B9BC296" w14:textId="2D876E2C" w:rsidR="000D292E" w:rsidRDefault="000D292E" w:rsidP="00EC5893">
                              <w:pPr>
                                <w:widowControl w:val="0"/>
                              </w:pPr>
                              <w:r>
                                <w:t>- Amount of sunshine +</w:t>
                              </w:r>
                            </w:p>
                          </w:txbxContent>
                        </wps:txbx>
                        <wps:bodyPr rot="0" vert="horz" wrap="square" lIns="36576" tIns="36576" rIns="36576" bIns="36576" anchor="t" anchorCtr="0" upright="1">
                          <a:noAutofit/>
                        </wps:bodyPr>
                      </wps:wsp>
                      <wps:wsp>
                        <wps:cNvPr id="181" name="Text Box 181"/>
                        <wps:cNvSpPr txBox="1">
                          <a:spLocks noChangeArrowheads="1"/>
                        </wps:cNvSpPr>
                        <wps:spPr bwMode="auto">
                          <a:xfrm>
                            <a:off x="1068578" y="1079625"/>
                            <a:ext cx="6430" cy="1158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31CF7E6" w14:textId="77777777" w:rsidR="000D292E" w:rsidRDefault="000D292E" w:rsidP="007617A5">
                              <w:pPr>
                                <w:widowControl w:val="0"/>
                              </w:pPr>
                              <w:r>
                                <w:t>+</w:t>
                              </w:r>
                            </w:p>
                            <w:p w14:paraId="00EFF6A6" w14:textId="5235ECB4" w:rsidR="000D292E" w:rsidRDefault="000D292E" w:rsidP="007617A5">
                              <w:pPr>
                                <w:widowControl w:val="0"/>
                              </w:pPr>
                              <w:r>
                                <w:t>Number of people outside</w:t>
                              </w:r>
                            </w:p>
                            <w:p w14:paraId="79C6948C" w14:textId="4AE0978F" w:rsidR="000D292E" w:rsidRDefault="000D292E" w:rsidP="007617A5">
                              <w:pPr>
                                <w:widowControl w:val="0"/>
                              </w:pPr>
                              <w:r>
                                <w: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29CB1" id="Group 60" o:spid="_x0000_s1062" style="position:absolute;left:0;text-align:left;margin-left:2.2pt;margin-top:8.9pt;width:250.95pt;height:206.75pt;z-index:251696128" coordorigin="10685,10743" coordsize="318,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">
                <v:shape id="AutoShape 3" o:spid="_x0000_s1063" type="#_x0000_t32" style="position:absolute;left:10761;top:10743;width:1;height:2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" strokecolor="black [0]" strokeweight="2pt">
                  <v:stroke endarrow="block"/>
                  <v:shadow color="black [0]"/>
                </v:shape>
                <v:shape id="AutoShape 4" o:spid="_x0000_s1064" type="#_x0000_t32" style="position:absolute;left:10761;top:10963;width:2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" strokecolor="black [0]" strokeweight="2pt">
                  <v:stroke endarrow="block"/>
                  <v:shadow color="black [0]"/>
                </v:shape>
                <v:shape id="Text Box 63" o:spid="_x0000_s1065" type="#_x0000_t202" style="position:absolute;left:10780;top:10912;width:1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" filled="f" fillcolor="#5b9bd5" stroked="f" strokecolor="black [0]" strokeweight="2pt">
                  <v:textbox inset="2.88pt,2.88pt,2.88pt,2.88pt">
                    <w:txbxContent>
                      <w:p w14:paraId="5CC6C47E" w14:textId="77777777" w:rsidR="000D292E" w:rsidRDefault="000D292E" w:rsidP="007617A5">
                        <w:pPr>
                          <w:widowControl w:val="0"/>
                        </w:pPr>
                        <w:r>
                          <w:t>x</w:t>
                        </w:r>
                      </w:p>
                    </w:txbxContent>
                  </v:textbox>
                </v:shape>
                <v:shape id="Text Box 160" o:spid="_x0000_s1066" type="#_x0000_t202" style="position:absolute;left:10792;top:10923;width:17;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" filled="f" fillcolor="#5b9bd5" stroked="f" strokecolor="black [0]" strokeweight="2pt">
                  <v:textbox inset="2.88pt,2.88pt,2.88pt,2.88pt">
                    <w:txbxContent>
                      <w:p w14:paraId="7C2EEAB9" w14:textId="77777777" w:rsidR="000D292E" w:rsidRDefault="000D292E" w:rsidP="007617A5">
                        <w:pPr>
                          <w:widowControl w:val="0"/>
                        </w:pPr>
                        <w:r>
                          <w:t>x</w:t>
                        </w:r>
                      </w:p>
                    </w:txbxContent>
                  </v:textbox>
                </v:shape>
                <v:shape id="Text Box 161" o:spid="_x0000_s1067" type="#_x0000_t202" style="position:absolute;left:10803;top:10935;width:17;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" filled="f" fillcolor="#5b9bd5" stroked="f" strokecolor="black [0]" strokeweight="2pt">
                  <v:textbox inset="2.88pt,2.88pt,2.88pt,2.88pt">
                    <w:txbxContent>
                      <w:p w14:paraId="48C5A2D0" w14:textId="77777777" w:rsidR="000D292E" w:rsidRDefault="000D292E" w:rsidP="007617A5">
                        <w:pPr>
                          <w:widowControl w:val="0"/>
                        </w:pPr>
                        <w:r>
                          <w:t>x</w:t>
                        </w:r>
                      </w:p>
                    </w:txbxContent>
                  </v:textbox>
                </v:shape>
                <v:shape id="Text Box 162" o:spid="_x0000_s1068" type="#_x0000_t202" style="position:absolute;left:10815;top:10912;width:17;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" filled="f" fillcolor="#5b9bd5" stroked="f" strokecolor="black [0]" strokeweight="2pt">
                  <v:textbox inset="2.88pt,2.88pt,2.88pt,2.88pt">
                    <w:txbxContent>
                      <w:p w14:paraId="3FE6DCD7" w14:textId="77777777" w:rsidR="000D292E" w:rsidRDefault="000D292E" w:rsidP="007617A5">
                        <w:pPr>
                          <w:widowControl w:val="0"/>
                        </w:pPr>
                        <w:r>
                          <w:t>x</w:t>
                        </w:r>
                      </w:p>
                    </w:txbxContent>
                  </v:textbox>
                </v:shape>
                <v:shape id="Text Box 163" o:spid="_x0000_s1069" type="#_x0000_t202" style="position:absolute;left:10878;top:10844;width:17;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" filled="f" fillcolor="#5b9bd5" stroked="f" strokecolor="black [0]" strokeweight="2pt">
                  <v:textbox inset="2.88pt,2.88pt,2.88pt,2.88pt">
                    <w:txbxContent>
                      <w:p w14:paraId="1F4B3830" w14:textId="77777777" w:rsidR="000D292E" w:rsidRDefault="000D292E" w:rsidP="007617A5">
                        <w:pPr>
                          <w:widowControl w:val="0"/>
                        </w:pPr>
                        <w:r>
                          <w:t>x</w:t>
                        </w:r>
                      </w:p>
                    </w:txbxContent>
                  </v:textbox>
                </v:shape>
                <v:shape id="Text Box 164" o:spid="_x0000_s1070" type="#_x0000_t202" style="position:absolute;left:10838;top:10834;width:17;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" filled="f" fillcolor="#5b9bd5" stroked="f" strokecolor="black [0]" strokeweight="2pt">
                  <v:textbox inset="2.88pt,2.88pt,2.88pt,2.88pt">
                    <w:txbxContent>
                      <w:p w14:paraId="2E8D7522" w14:textId="77777777" w:rsidR="000D292E" w:rsidRDefault="000D292E" w:rsidP="007617A5">
                        <w:pPr>
                          <w:widowControl w:val="0"/>
                        </w:pPr>
                        <w:r>
                          <w:t>x</w:t>
                        </w:r>
                      </w:p>
                    </w:txbxContent>
                  </v:textbox>
                </v:shape>
                <v:shape id="Text Box 166" o:spid="_x0000_s1071" type="#_x0000_t202" style="position:absolute;left:10855;top:10853;width:17;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" filled="f" fillcolor="#5b9bd5" stroked="f" strokecolor="black [0]" strokeweight="2pt">
                  <v:textbox inset="2.88pt,2.88pt,2.88pt,2.88pt">
                    <w:txbxContent>
                      <w:p w14:paraId="67FB8ADC" w14:textId="77777777" w:rsidR="000D292E" w:rsidRDefault="000D292E" w:rsidP="007617A5">
                        <w:pPr>
                          <w:widowControl w:val="0"/>
                        </w:pPr>
                        <w:r>
                          <w:t>x</w:t>
                        </w:r>
                      </w:p>
                    </w:txbxContent>
                  </v:textbox>
                </v:shape>
                <v:shape id="Text Box 167" o:spid="_x0000_s1072" type="#_x0000_t202" style="position:absolute;left:10835;top:10872;width:17;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" filled="f" fillcolor="#5b9bd5" stroked="f" strokecolor="black [0]" strokeweight="2pt">
                  <v:textbox inset="2.88pt,2.88pt,2.88pt,2.88pt">
                    <w:txbxContent>
                      <w:p w14:paraId="5E07909A" w14:textId="77777777" w:rsidR="000D292E" w:rsidRDefault="000D292E" w:rsidP="007617A5">
                        <w:pPr>
                          <w:widowControl w:val="0"/>
                        </w:pPr>
                        <w:r>
                          <w:t>x</w:t>
                        </w:r>
                      </w:p>
                    </w:txbxContent>
                  </v:textbox>
                </v:shape>
                <v:shape id="Text Box 168" o:spid="_x0000_s1073" type="#_x0000_t202" style="position:absolute;left:10944;top:10757;width:17;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" filled="f" fillcolor="#5b9bd5" stroked="f" strokecolor="black [0]" strokeweight="2pt">
                  <v:textbox inset="2.88pt,2.88pt,2.88pt,2.88pt">
                    <w:txbxContent>
                      <w:p w14:paraId="59D34AB4" w14:textId="77777777" w:rsidR="000D292E" w:rsidRDefault="000D292E" w:rsidP="007617A5">
                        <w:pPr>
                          <w:widowControl w:val="0"/>
                        </w:pPr>
                        <w:r>
                          <w:t>x</w:t>
                        </w:r>
                      </w:p>
                    </w:txbxContent>
                  </v:textbox>
                </v:shape>
                <v:shape id="Text Box 169" o:spid="_x0000_s1074" type="#_x0000_t202" style="position:absolute;left:10811;top:10874;width:17;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" filled="f" fillcolor="#5b9bd5" stroked="f" strokecolor="black [0]" strokeweight="2pt">
                  <v:textbox inset="2.88pt,2.88pt,2.88pt,2.88pt">
                    <w:txbxContent>
                      <w:p w14:paraId="44FE2029" w14:textId="77777777" w:rsidR="000D292E" w:rsidRDefault="000D292E" w:rsidP="007617A5">
                        <w:pPr>
                          <w:widowControl w:val="0"/>
                        </w:pPr>
                        <w:r>
                          <w:t>x</w:t>
                        </w:r>
                      </w:p>
                    </w:txbxContent>
                  </v:textbox>
                </v:shape>
                <v:shape id="Text Box 170" o:spid="_x0000_s1075" type="#_x0000_t202" style="position:absolute;left:10832;top:10893;width:17;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" filled="f" fillcolor="#5b9bd5" stroked="f" strokecolor="black [0]" strokeweight="2pt">
                  <v:textbox inset="2.88pt,2.88pt,2.88pt,2.88pt">
                    <w:txbxContent>
                      <w:p w14:paraId="74AFEA33" w14:textId="77777777" w:rsidR="000D292E" w:rsidRDefault="000D292E" w:rsidP="007617A5">
                        <w:pPr>
                          <w:widowControl w:val="0"/>
                        </w:pPr>
                        <w:r>
                          <w:t>x</w:t>
                        </w:r>
                      </w:p>
                    </w:txbxContent>
                  </v:textbox>
                </v:shape>
                <v:shape id="Text Box 171" o:spid="_x0000_s1076" type="#_x0000_t202" style="position:absolute;left:10769;top:10935;width:1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" filled="f" fillcolor="#5b9bd5" stroked="f" strokecolor="black [0]" strokeweight="2pt">
                  <v:textbox inset="2.88pt,2.88pt,2.88pt,2.88pt">
                    <w:txbxContent>
                      <w:p w14:paraId="68515FFE" w14:textId="77777777" w:rsidR="000D292E" w:rsidRDefault="000D292E" w:rsidP="007617A5">
                        <w:pPr>
                          <w:widowControl w:val="0"/>
                        </w:pPr>
                        <w:r>
                          <w:t>x</w:t>
                        </w:r>
                      </w:p>
                    </w:txbxContent>
                  </v:textbox>
                </v:shape>
                <v:shape id="Text Box 172" o:spid="_x0000_s1077" type="#_x0000_t202" style="position:absolute;left:10797;top:10891;width:1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" filled="f" fillcolor="#5b9bd5" stroked="f" strokecolor="black [0]" strokeweight="2pt">
                  <v:textbox inset="2.88pt,2.88pt,2.88pt,2.88pt">
                    <w:txbxContent>
                      <w:p w14:paraId="550DCDCF" w14:textId="77777777" w:rsidR="000D292E" w:rsidRDefault="000D292E" w:rsidP="007617A5">
                        <w:pPr>
                          <w:widowControl w:val="0"/>
                        </w:pPr>
                        <w:r>
                          <w:t>x</w:t>
                        </w:r>
                      </w:p>
                    </w:txbxContent>
                  </v:textbox>
                </v:shape>
                <v:shape id="Text Box 173" o:spid="_x0000_s1078" type="#_x0000_t202" style="position:absolute;left:10916;top:10788;width:17;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" filled="f" fillcolor="#5b9bd5" stroked="f" strokecolor="black [0]" strokeweight="2pt">
                  <v:textbox inset="2.88pt,2.88pt,2.88pt,2.88pt">
                    <w:txbxContent>
                      <w:p w14:paraId="3B593E75" w14:textId="77777777" w:rsidR="000D292E" w:rsidRDefault="000D292E" w:rsidP="007617A5">
                        <w:pPr>
                          <w:widowControl w:val="0"/>
                        </w:pPr>
                        <w:r>
                          <w:t>x</w:t>
                        </w:r>
                      </w:p>
                    </w:txbxContent>
                  </v:textbox>
                </v:shape>
                <v:shape id="Text Box 174" o:spid="_x0000_s1079" type="#_x0000_t202" style="position:absolute;left:10882;top:10788;width:17;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" filled="f" fillcolor="#5b9bd5" stroked="f" strokecolor="black [0]" strokeweight="2pt">
                  <v:textbox inset="2.88pt,2.88pt,2.88pt,2.88pt">
                    <w:txbxContent>
                      <w:p w14:paraId="39EC8B97" w14:textId="77777777" w:rsidR="000D292E" w:rsidRDefault="000D292E" w:rsidP="007617A5">
                        <w:pPr>
                          <w:widowControl w:val="0"/>
                        </w:pPr>
                        <w:r>
                          <w:t>x</w:t>
                        </w:r>
                      </w:p>
                    </w:txbxContent>
                  </v:textbox>
                </v:shape>
                <v:shape id="Text Box 175" o:spid="_x0000_s1080" type="#_x0000_t202" style="position:absolute;left:10933;top:10780;width:1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" filled="f" fillcolor="#5b9bd5" stroked="f" strokecolor="black [0]" strokeweight="2pt">
                  <v:textbox inset="2.88pt,2.88pt,2.88pt,2.88pt">
                    <w:txbxContent>
                      <w:p w14:paraId="1975AEB6" w14:textId="77777777" w:rsidR="000D292E" w:rsidRDefault="000D292E" w:rsidP="007617A5">
                        <w:pPr>
                          <w:widowControl w:val="0"/>
                        </w:pPr>
                        <w:r>
                          <w:t>x</w:t>
                        </w:r>
                      </w:p>
                    </w:txbxContent>
                  </v:textbox>
                </v:shape>
                <v:shape id="Text Box 176" o:spid="_x0000_s1081" type="#_x0000_t202" style="position:absolute;left:10899;top:10807;width:17;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" filled="f" fillcolor="#5b9bd5" stroked="f" strokecolor="black [0]" strokeweight="2pt">
                  <v:textbox inset="2.88pt,2.88pt,2.88pt,2.88pt">
                    <w:txbxContent>
                      <w:p w14:paraId="392D258F" w14:textId="77777777" w:rsidR="000D292E" w:rsidRDefault="000D292E" w:rsidP="007617A5">
                        <w:pPr>
                          <w:widowControl w:val="0"/>
                        </w:pPr>
                        <w:r>
                          <w:t>x</w:t>
                        </w:r>
                      </w:p>
                    </w:txbxContent>
                  </v:textbox>
                </v:shape>
                <v:shape id="Text Box 177" o:spid="_x0000_s1082" type="#_x0000_t202" style="position:absolute;left:10898;top:10832;width:17;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" filled="f" fillcolor="#5b9bd5" stroked="f" strokecolor="black [0]" strokeweight="2pt">
                  <v:textbox inset="2.88pt,2.88pt,2.88pt,2.88pt">
                    <w:txbxContent>
                      <w:p w14:paraId="32AC7C27" w14:textId="77777777" w:rsidR="000D292E" w:rsidRDefault="000D292E" w:rsidP="007617A5">
                        <w:pPr>
                          <w:widowControl w:val="0"/>
                        </w:pPr>
                        <w:r>
                          <w:t>x</w:t>
                        </w:r>
                      </w:p>
                    </w:txbxContent>
                  </v:textbox>
                </v:shape>
                <v:shape id="Text Box 178" o:spid="_x0000_s1083" type="#_x0000_t202" style="position:absolute;left:10910;top:10769;width:17;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" filled="f" fillcolor="#5b9bd5" stroked="f" strokecolor="black [0]" strokeweight="2pt">
                  <v:textbox inset="2.88pt,2.88pt,2.88pt,2.88pt">
                    <w:txbxContent>
                      <w:p w14:paraId="2D58E2BF" w14:textId="77777777" w:rsidR="000D292E" w:rsidRDefault="000D292E" w:rsidP="007617A5">
                        <w:pPr>
                          <w:widowControl w:val="0"/>
                        </w:pPr>
                        <w:r>
                          <w:t>x</w:t>
                        </w:r>
                      </w:p>
                    </w:txbxContent>
                  </v:textbox>
                </v:shape>
                <v:shape id="Text Box 179" o:spid="_x0000_s1084" type="#_x0000_t202" style="position:absolute;left:10872;top:10807;width:17;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" filled="f" fillcolor="#5b9bd5" stroked="f" strokecolor="black [0]" strokeweight="2pt">
                  <v:textbox inset="2.88pt,2.88pt,2.88pt,2.88pt">
                    <w:txbxContent>
                      <w:p w14:paraId="46B98FEB" w14:textId="77777777" w:rsidR="000D292E" w:rsidRDefault="000D292E" w:rsidP="007617A5">
                        <w:pPr>
                          <w:widowControl w:val="0"/>
                        </w:pPr>
                        <w:r>
                          <w:t>x</w:t>
                        </w:r>
                      </w:p>
                    </w:txbxContent>
                  </v:textbox>
                </v:shape>
                <v:shape id="Text Box 180" o:spid="_x0000_s1085" type="#_x0000_t202" style="position:absolute;left:10802;top:10977;width:17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" filled="f" fillcolor="#5b9bd5" stroked="f" strokecolor="black [0]" strokeweight="2pt">
                  <v:textbox inset="2.88pt,2.88pt,2.88pt,2.88pt">
                    <w:txbxContent>
                      <w:p w14:paraId="1B9BC296" w14:textId="2D876E2C" w:rsidR="000D292E" w:rsidRDefault="000D292E" w:rsidP="00EC5893">
                        <w:pPr>
                          <w:widowControl w:val="0"/>
                        </w:pPr>
                        <w:r>
                          <w:t>- Amount of sunshine +</w:t>
                        </w:r>
                      </w:p>
                    </w:txbxContent>
                  </v:textbox>
                </v:shape>
                <v:shape id="Text Box 181" o:spid="_x0000_s1086" type="#_x0000_t202" style="position:absolute;left:10685;top:10796;width:65;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" filled="f" fillcolor="#5b9bd5" stroked="f" strokecolor="black [0]" strokeweight="2pt">
                  <v:textbox inset="2.88pt,2.88pt,2.88pt,2.88pt">
                    <w:txbxContent>
                      <w:p w14:paraId="331CF7E6" w14:textId="77777777" w:rsidR="000D292E" w:rsidRDefault="000D292E" w:rsidP="007617A5">
                        <w:pPr>
                          <w:widowControl w:val="0"/>
                        </w:pPr>
                        <w:r>
                          <w:t>+</w:t>
                        </w:r>
                      </w:p>
                      <w:p w14:paraId="00EFF6A6" w14:textId="5235ECB4" w:rsidR="000D292E" w:rsidRDefault="000D292E" w:rsidP="007617A5">
                        <w:pPr>
                          <w:widowControl w:val="0"/>
                        </w:pPr>
                        <w:r>
                          <w:t>Number of people outside</w:t>
                        </w:r>
                      </w:p>
                      <w:p w14:paraId="79C6948C" w14:textId="4AE0978F" w:rsidR="000D292E" w:rsidRDefault="000D292E" w:rsidP="007617A5">
                        <w:pPr>
                          <w:widowControl w:val="0"/>
                        </w:pPr>
                        <w:r>
                          <w:t>-</w:t>
                        </w:r>
                      </w:p>
                    </w:txbxContent>
                  </v:textbox>
                </v:shape>
              </v:group>
            </w:pict>
          </mc:Fallback>
        </mc:AlternateContent>
      </w:r>
    </w:p>
    <w:p w14:paraId="25EF4FAB" w14:textId="6FA60F88" w:rsidR="007617A5" w:rsidRDefault="007617A5" w:rsidP="007617A5">
      <w:pPr>
        <w:spacing w:line="480" w:lineRule="auto"/>
        <w:ind w:firstLine="720"/>
      </w:pPr>
    </w:p>
    <w:p w14:paraId="68D014C2" w14:textId="3BE5710F" w:rsidR="007617A5" w:rsidRDefault="007617A5" w:rsidP="007617A5">
      <w:pPr>
        <w:spacing w:line="480" w:lineRule="auto"/>
        <w:ind w:firstLine="720"/>
      </w:pPr>
    </w:p>
    <w:p w14:paraId="11B934D0" w14:textId="77777777" w:rsidR="007617A5" w:rsidRDefault="007617A5" w:rsidP="007617A5">
      <w:pPr>
        <w:spacing w:line="480" w:lineRule="auto"/>
        <w:ind w:firstLine="720"/>
      </w:pPr>
    </w:p>
    <w:p w14:paraId="092BDD57" w14:textId="362BAEF9" w:rsidR="007617A5" w:rsidRDefault="007617A5" w:rsidP="007617A5">
      <w:pPr>
        <w:spacing w:line="480" w:lineRule="auto"/>
        <w:ind w:firstLine="720"/>
      </w:pPr>
    </w:p>
    <w:p w14:paraId="41304159" w14:textId="66F2EDB1" w:rsidR="007617A5" w:rsidRDefault="007617A5" w:rsidP="00CE122A">
      <w:pPr>
        <w:spacing w:line="480" w:lineRule="auto"/>
      </w:pPr>
    </w:p>
    <w:bookmarkStart w:id="221" w:name="_Toc133487869"/>
    <w:p w14:paraId="57F99C57" w14:textId="6E7D8C13" w:rsidR="00CE122A" w:rsidRPr="00CE122A" w:rsidRDefault="00CE122A" w:rsidP="00CE122A">
      <w:pPr>
        <w:pStyle w:val="Heading1"/>
        <w:rPr>
          <w:color w:val="0070C0"/>
          <w:u w:val="single"/>
        </w:rPr>
      </w:pPr>
      <w:r w:rsidRPr="007B3E18">
        <w:rPr>
          <w:noProof/>
          <w:color w:val="0070C0"/>
          <w:u w:val="single"/>
          <w:lang w:eastAsia="en-GB"/>
        </w:rPr>
        <mc:AlternateContent>
          <mc:Choice Requires="wpg">
            <w:drawing>
              <wp:anchor distT="45720" distB="45720" distL="182880" distR="182880" simplePos="0" relativeHeight="251717632" behindDoc="1" locked="0" layoutInCell="1" allowOverlap="1" wp14:anchorId="1DF7A92A" wp14:editId="774C11DF">
                <wp:simplePos x="0" y="0"/>
                <wp:positionH relativeFrom="margin">
                  <wp:align>center</wp:align>
                </wp:positionH>
                <wp:positionV relativeFrom="margin">
                  <wp:posOffset>301967</wp:posOffset>
                </wp:positionV>
                <wp:extent cx="5387340" cy="1652905"/>
                <wp:effectExtent l="0" t="0" r="0" b="4445"/>
                <wp:wrapTight wrapText="bothSides">
                  <wp:wrapPolygon edited="0">
                    <wp:start x="0" y="0"/>
                    <wp:lineTo x="0" y="4232"/>
                    <wp:lineTo x="229" y="21409"/>
                    <wp:lineTo x="21310" y="21409"/>
                    <wp:lineTo x="21463" y="0"/>
                    <wp:lineTo x="0" y="0"/>
                  </wp:wrapPolygon>
                </wp:wrapTight>
                <wp:docPr id="312" name="Group 312"/>
                <wp:cNvGraphicFramePr/>
                <a:graphic xmlns:a="http://schemas.openxmlformats.org/drawingml/2006/main">
                  <a:graphicData uri="http://schemas.microsoft.com/office/word/2010/wordprocessingGroup">
                    <wpg:wgp>
                      <wpg:cNvGrpSpPr/>
                      <wpg:grpSpPr>
                        <a:xfrm>
                          <a:off x="0" y="0"/>
                          <a:ext cx="5387926" cy="1652955"/>
                          <a:chOff x="0" y="0"/>
                          <a:chExt cx="3595809" cy="2100349"/>
                        </a:xfrm>
                      </wpg:grpSpPr>
                      <wps:wsp>
                        <wps:cNvPr id="313" name="Rectangle 313"/>
                        <wps:cNvSpPr/>
                        <wps:spPr>
                          <a:xfrm>
                            <a:off x="0" y="0"/>
                            <a:ext cx="3562846" cy="40631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772CA5" w14:textId="6E04E1E2" w:rsidR="000D292E" w:rsidRDefault="000D292E" w:rsidP="0023672F">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Aim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Text Box 314"/>
                        <wps:cNvSpPr txBox="1"/>
                        <wps:spPr>
                          <a:xfrm>
                            <a:off x="0" y="252682"/>
                            <a:ext cx="3595809" cy="18476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53B21B" w14:textId="77777777" w:rsidR="000D292E" w:rsidRPr="006A496A" w:rsidRDefault="000D292E" w:rsidP="0023672F">
                              <w:pPr>
                                <w:pStyle w:val="ListParagraph"/>
                                <w:numPr>
                                  <w:ilvl w:val="0"/>
                                  <w:numId w:val="31"/>
                                </w:numPr>
                                <w:rPr>
                                  <w:caps/>
                                  <w:color w:val="5B9BD5" w:themeColor="accent1"/>
                                  <w:sz w:val="26"/>
                                  <w:szCs w:val="26"/>
                                </w:rPr>
                              </w:pPr>
                              <w:r>
                                <w:t xml:space="preserve">Average scores on measures of intolerance of uncertainty, anxiety sensitivity, anxiety, depression, and somatisation were higher for people with dissociative seizures than for people with epilepsy, although differences were not statistically significant (figure 2).  </w:t>
                              </w:r>
                            </w:p>
                            <w:p w14:paraId="65F89A91" w14:textId="0E43AD15" w:rsidR="000D292E" w:rsidRPr="00752838" w:rsidRDefault="000D292E" w:rsidP="0023672F">
                              <w:pPr>
                                <w:pStyle w:val="ListParagraph"/>
                                <w:numPr>
                                  <w:ilvl w:val="0"/>
                                  <w:numId w:val="31"/>
                                </w:numPr>
                                <w:rPr>
                                  <w:caps/>
                                  <w:color w:val="5B9BD5" w:themeColor="accent1"/>
                                  <w:sz w:val="26"/>
                                  <w:szCs w:val="26"/>
                                </w:rPr>
                              </w:pPr>
                              <w:r>
                                <w:t>Scores indicated high levels of intolerance of uncertainty and anxiety sensitivity, and moderate levels of anxiety depression, and somatisation in both groups.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F7A92A" id="Group 312" o:spid="_x0000_s1087" style="position:absolute;left:0;text-align:left;margin-left:0;margin-top:23.8pt;width:424.2pt;height:130.15pt;z-index:-251598848;mso-wrap-distance-left:14.4pt;mso-wrap-distance-top:3.6pt;mso-wrap-distance-right:14.4pt;mso-wrap-distance-bottom:3.6pt;mso-position-horizontal:center;mso-position-horizontal-relative:margin;mso-position-vertical-relative:margin;mso-width-relative:margin;mso-height-relative:margin" coordsize="35958,2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">
                <v:rect id="Rectangle 313" o:spid="_x0000_s1088" style="position:absolute;width:35628;height:4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" fillcolor="#5b9bd5 [3204]" stroked="f" strokeweight="1pt">
                  <v:textbox>
                    <w:txbxContent>
                      <w:p w14:paraId="3B772CA5" w14:textId="6E04E1E2" w:rsidR="000D292E" w:rsidRDefault="000D292E" w:rsidP="0023672F">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Aim 1</w:t>
                        </w:r>
                      </w:p>
                    </w:txbxContent>
                  </v:textbox>
                </v:rect>
                <v:shape id="Text Box 314" o:spid="_x0000_s1089" type="#_x0000_t202" style="position:absolute;top:2526;width:35958;height:1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" filled="f" stroked="f" strokeweight=".5pt">
                  <v:textbox inset=",7.2pt,,0">
                    <w:txbxContent>
                      <w:p w14:paraId="5553B21B" w14:textId="77777777" w:rsidR="000D292E" w:rsidRPr="006A496A" w:rsidRDefault="000D292E" w:rsidP="0023672F">
                        <w:pPr>
                          <w:pStyle w:val="ListParagraph"/>
                          <w:numPr>
                            <w:ilvl w:val="0"/>
                            <w:numId w:val="31"/>
                          </w:numPr>
                          <w:rPr>
                            <w:caps/>
                            <w:color w:val="5B9BD5" w:themeColor="accent1"/>
                            <w:sz w:val="26"/>
                            <w:szCs w:val="26"/>
                          </w:rPr>
                        </w:pPr>
                        <w:r>
                          <w:t xml:space="preserve">Average scores on measures of intolerance of uncertainty, anxiety sensitivity, anxiety, depression, and somatisation were higher for people with dissociative seizures than for people with epilepsy, although differences were not statistically significant (figure 2).  </w:t>
                        </w:r>
                      </w:p>
                      <w:p w14:paraId="65F89A91" w14:textId="0E43AD15" w:rsidR="000D292E" w:rsidRPr="00752838" w:rsidRDefault="000D292E" w:rsidP="0023672F">
                        <w:pPr>
                          <w:pStyle w:val="ListParagraph"/>
                          <w:numPr>
                            <w:ilvl w:val="0"/>
                            <w:numId w:val="31"/>
                          </w:numPr>
                          <w:rPr>
                            <w:caps/>
                            <w:color w:val="5B9BD5" w:themeColor="accent1"/>
                            <w:sz w:val="26"/>
                            <w:szCs w:val="26"/>
                          </w:rPr>
                        </w:pPr>
                        <w:r>
                          <w:t>Scores indicated high levels of intolerance of uncertainty and anxiety sensitivity, and moderate levels of anxiety depression, and somatisation in both groups.</w:t>
                        </w:r>
                      </w:p>
                    </w:txbxContent>
                  </v:textbox>
                </v:shape>
                <w10:wrap type="tight" anchorx="margin" anchory="margin"/>
              </v:group>
            </w:pict>
          </mc:Fallback>
        </mc:AlternateContent>
      </w:r>
      <w:r w:rsidR="007617A5" w:rsidRPr="007B3E18">
        <w:rPr>
          <w:color w:val="0070C0"/>
          <w:u w:val="single"/>
        </w:rPr>
        <w:t>Key findings</w:t>
      </w:r>
      <w:bookmarkEnd w:id="221"/>
    </w:p>
    <w:p w14:paraId="73F3376C" w14:textId="44CCAC6D" w:rsidR="00CE122A" w:rsidRDefault="00CE122A" w:rsidP="00CE122A">
      <w:pPr>
        <w:spacing w:line="360" w:lineRule="auto"/>
        <w:rPr>
          <w:b/>
        </w:rPr>
      </w:pPr>
    </w:p>
    <w:p w14:paraId="6DDC6DE8" w14:textId="2B0E6D5C" w:rsidR="00747028" w:rsidRPr="00D8564C" w:rsidRDefault="00851D76" w:rsidP="00436994">
      <w:pPr>
        <w:spacing w:line="360" w:lineRule="auto"/>
        <w:ind w:firstLine="720"/>
        <w:rPr>
          <w:b/>
        </w:rPr>
      </w:pPr>
      <w:r w:rsidRPr="00D8564C">
        <w:rPr>
          <w:b/>
        </w:rPr>
        <w:t>F</w:t>
      </w:r>
      <w:r w:rsidR="007B3E18" w:rsidRPr="00D8564C">
        <w:rPr>
          <w:b/>
        </w:rPr>
        <w:t>igure 2</w:t>
      </w:r>
      <w:r w:rsidRPr="00D8564C">
        <w:rPr>
          <w:b/>
        </w:rPr>
        <w:t>.</w:t>
      </w:r>
    </w:p>
    <w:p w14:paraId="63FC1922" w14:textId="56D31EE5" w:rsidR="00851D76" w:rsidRDefault="00CE122A" w:rsidP="00436994">
      <w:pPr>
        <w:spacing w:line="360" w:lineRule="auto"/>
        <w:ind w:firstLine="720"/>
        <w:rPr>
          <w:i/>
        </w:rPr>
      </w:pPr>
      <w:r>
        <w:rPr>
          <w:noProof/>
          <w:lang w:eastAsia="en-GB"/>
        </w:rPr>
        <mc:AlternateContent>
          <mc:Choice Requires="wpg">
            <w:drawing>
              <wp:anchor distT="45720" distB="45720" distL="182880" distR="182880" simplePos="0" relativeHeight="251713536" behindDoc="1" locked="0" layoutInCell="1" allowOverlap="1" wp14:anchorId="77C42DEA" wp14:editId="5E8464DA">
                <wp:simplePos x="0" y="0"/>
                <wp:positionH relativeFrom="margin">
                  <wp:posOffset>330200</wp:posOffset>
                </wp:positionH>
                <wp:positionV relativeFrom="page">
                  <wp:posOffset>7743825</wp:posOffset>
                </wp:positionV>
                <wp:extent cx="5260975" cy="2679700"/>
                <wp:effectExtent l="0" t="0" r="0" b="6350"/>
                <wp:wrapTight wrapText="bothSides">
                  <wp:wrapPolygon edited="0">
                    <wp:start x="0" y="0"/>
                    <wp:lineTo x="0" y="2303"/>
                    <wp:lineTo x="235" y="21498"/>
                    <wp:lineTo x="21352" y="21498"/>
                    <wp:lineTo x="21509" y="0"/>
                    <wp:lineTo x="0" y="0"/>
                  </wp:wrapPolygon>
                </wp:wrapTight>
                <wp:docPr id="315" name="Group 315"/>
                <wp:cNvGraphicFramePr/>
                <a:graphic xmlns:a="http://schemas.openxmlformats.org/drawingml/2006/main">
                  <a:graphicData uri="http://schemas.microsoft.com/office/word/2010/wordprocessingGroup">
                    <wpg:wgp>
                      <wpg:cNvGrpSpPr/>
                      <wpg:grpSpPr>
                        <a:xfrm>
                          <a:off x="0" y="0"/>
                          <a:ext cx="5260975" cy="2679700"/>
                          <a:chOff x="0" y="-1"/>
                          <a:chExt cx="3567448" cy="3636329"/>
                        </a:xfrm>
                      </wpg:grpSpPr>
                      <wps:wsp>
                        <wps:cNvPr id="316" name="Rectangle 316"/>
                        <wps:cNvSpPr/>
                        <wps:spPr>
                          <a:xfrm>
                            <a:off x="0" y="-1"/>
                            <a:ext cx="3548601" cy="38176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B3F43E" w14:textId="61D3236C" w:rsidR="000D292E" w:rsidRDefault="000D292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Aim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Text Box 317"/>
                        <wps:cNvSpPr txBox="1"/>
                        <wps:spPr>
                          <a:xfrm>
                            <a:off x="0" y="252685"/>
                            <a:ext cx="3567448" cy="33836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CE4371" w14:textId="1B6289D5" w:rsidR="000D292E" w:rsidRDefault="000D292E" w:rsidP="00752838">
                              <w:pPr>
                                <w:pStyle w:val="ListParagraph"/>
                                <w:numPr>
                                  <w:ilvl w:val="0"/>
                                  <w:numId w:val="32"/>
                                </w:numPr>
                                <w:spacing w:line="360" w:lineRule="auto"/>
                              </w:pPr>
                              <w:r>
                                <w:t>Significant positive correlations were found between all psychological factors and somatisation. This meant that generally, people who scored higher on measures of intolerance of uncertainty, anxiety sensitivity, anxiety, and depression, were found to also have higher scores on the measure of somatisation.</w:t>
                              </w:r>
                            </w:p>
                            <w:p w14:paraId="4AA9603C" w14:textId="5AC3D48C" w:rsidR="000D292E" w:rsidRDefault="000D292E" w:rsidP="00752838">
                              <w:pPr>
                                <w:pStyle w:val="ListParagraph"/>
                                <w:numPr>
                                  <w:ilvl w:val="0"/>
                                  <w:numId w:val="32"/>
                                </w:numPr>
                                <w:spacing w:line="360" w:lineRule="auto"/>
                              </w:pPr>
                              <w:r>
                                <w:t>Depression was the only psychological factor found to predict somatisation. This means that as levels of depression increase, it is expected that levels of somatisation increase too.</w:t>
                              </w:r>
                            </w:p>
                            <w:p w14:paraId="00069F51" w14:textId="2AFB34DC" w:rsidR="000D292E" w:rsidRDefault="000D292E">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C42DEA" id="Group 315" o:spid="_x0000_s1090" style="position:absolute;left:0;text-align:left;margin-left:26pt;margin-top:609.75pt;width:414.25pt;height:211pt;z-index:-251602944;mso-wrap-distance-left:14.4pt;mso-wrap-distance-top:3.6pt;mso-wrap-distance-right:14.4pt;mso-wrap-distance-bottom:3.6pt;mso-position-horizontal-relative:margin;mso-position-vertical-relative:page;mso-width-relative:margin;mso-height-relative:margin" coordorigin="" coordsize="35674,3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">
                <v:rect id="Rectangle 316" o:spid="_x0000_s1091" style="position:absolute;width:35486;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" fillcolor="#5b9bd5 [3204]" stroked="f" strokeweight="1pt">
                  <v:textbox>
                    <w:txbxContent>
                      <w:p w14:paraId="42B3F43E" w14:textId="61D3236C" w:rsidR="000D292E" w:rsidRDefault="000D292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Aim 2</w:t>
                        </w:r>
                      </w:p>
                    </w:txbxContent>
                  </v:textbox>
                </v:rect>
                <v:shape id="Text Box 317" o:spid="_x0000_s1092" type="#_x0000_t202" style="position:absolute;top:2526;width:35674;height:33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" filled="f" stroked="f" strokeweight=".5pt">
                  <v:textbox inset=",7.2pt,,0">
                    <w:txbxContent>
                      <w:p w14:paraId="7ACE4371" w14:textId="1B6289D5" w:rsidR="000D292E" w:rsidRDefault="000D292E" w:rsidP="00752838">
                        <w:pPr>
                          <w:pStyle w:val="ListParagraph"/>
                          <w:numPr>
                            <w:ilvl w:val="0"/>
                            <w:numId w:val="32"/>
                          </w:numPr>
                          <w:spacing w:line="360" w:lineRule="auto"/>
                        </w:pPr>
                        <w:r>
                          <w:t>Significant positive correlations were found between all psychological factors and somatisation. This meant that generally, people who scored higher on measures of intolerance of uncertainty, anxiety sensitivity, anxiety, and depression, were found to also have higher scores on the measure of somatisation.</w:t>
                        </w:r>
                      </w:p>
                      <w:p w14:paraId="4AA9603C" w14:textId="5AC3D48C" w:rsidR="000D292E" w:rsidRDefault="000D292E" w:rsidP="00752838">
                        <w:pPr>
                          <w:pStyle w:val="ListParagraph"/>
                          <w:numPr>
                            <w:ilvl w:val="0"/>
                            <w:numId w:val="32"/>
                          </w:numPr>
                          <w:spacing w:line="360" w:lineRule="auto"/>
                        </w:pPr>
                        <w:r>
                          <w:t>Depression was the only psychological factor found to predict somatisation. This means that as levels of depression increase, it is expected that levels of somatisation increase too.</w:t>
                        </w:r>
                      </w:p>
                      <w:p w14:paraId="00069F51" w14:textId="2AFB34DC" w:rsidR="000D292E" w:rsidRDefault="000D292E">
                        <w:pPr>
                          <w:rPr>
                            <w:caps/>
                            <w:color w:val="5B9BD5" w:themeColor="accent1"/>
                            <w:sz w:val="26"/>
                            <w:szCs w:val="26"/>
                          </w:rPr>
                        </w:pPr>
                      </w:p>
                    </w:txbxContent>
                  </v:textbox>
                </v:shape>
                <w10:wrap type="tight" anchorx="margin" anchory="page"/>
              </v:group>
            </w:pict>
          </mc:Fallback>
        </mc:AlternateContent>
      </w:r>
      <w:r>
        <w:rPr>
          <w:b/>
          <w:noProof/>
          <w:lang w:eastAsia="en-GB"/>
        </w:rPr>
        <w:drawing>
          <wp:anchor distT="0" distB="0" distL="114300" distR="114300" simplePos="0" relativeHeight="251718656" behindDoc="1" locked="0" layoutInCell="1" allowOverlap="1" wp14:anchorId="66063F5E" wp14:editId="4757FAE6">
            <wp:simplePos x="0" y="0"/>
            <wp:positionH relativeFrom="margin">
              <wp:posOffset>316523</wp:posOffset>
            </wp:positionH>
            <wp:positionV relativeFrom="paragraph">
              <wp:posOffset>355453</wp:posOffset>
            </wp:positionV>
            <wp:extent cx="5500370" cy="3200400"/>
            <wp:effectExtent l="0" t="0" r="5080" b="0"/>
            <wp:wrapTight wrapText="bothSides">
              <wp:wrapPolygon edited="0">
                <wp:start x="0" y="0"/>
                <wp:lineTo x="0" y="21471"/>
                <wp:lineTo x="21545" y="21471"/>
                <wp:lineTo x="21545" y="0"/>
                <wp:lineTo x="0" y="0"/>
              </wp:wrapPolygon>
            </wp:wrapTight>
            <wp:docPr id="311" name="Chart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14:sizeRelH relativeFrom="margin">
              <wp14:pctWidth>0</wp14:pctWidth>
            </wp14:sizeRelH>
          </wp:anchor>
        </w:drawing>
      </w:r>
      <w:r w:rsidR="00851D76">
        <w:rPr>
          <w:i/>
        </w:rPr>
        <w:t>Average scores for main</w:t>
      </w:r>
      <w:r w:rsidR="00851D76" w:rsidRPr="00907EB8">
        <w:rPr>
          <w:i/>
        </w:rPr>
        <w:t xml:space="preserve"> outcomes by seizure condition group (n</w:t>
      </w:r>
      <w:r w:rsidR="00851D76">
        <w:rPr>
          <w:i/>
        </w:rPr>
        <w:t>umber of participants</w:t>
      </w:r>
      <w:r w:rsidR="00851D76" w:rsidRPr="00907EB8">
        <w:rPr>
          <w:i/>
        </w:rPr>
        <w:t xml:space="preserve"> = 90)</w:t>
      </w:r>
    </w:p>
    <w:p w14:paraId="6638CB40" w14:textId="5F1D8EB6" w:rsidR="00752838" w:rsidRPr="006D6486" w:rsidRDefault="007D6C39" w:rsidP="007617A5">
      <w:pPr>
        <w:rPr>
          <w:b/>
        </w:rPr>
      </w:pPr>
      <w:r>
        <w:rPr>
          <w:noProof/>
          <w:lang w:eastAsia="en-GB"/>
        </w:rPr>
        <mc:AlternateContent>
          <mc:Choice Requires="wpg">
            <w:drawing>
              <wp:anchor distT="45720" distB="45720" distL="182880" distR="182880" simplePos="0" relativeHeight="251715584" behindDoc="0" locked="0" layoutInCell="1" allowOverlap="1" wp14:anchorId="233D60DE" wp14:editId="6423733A">
                <wp:simplePos x="0" y="0"/>
                <wp:positionH relativeFrom="margin">
                  <wp:posOffset>245745</wp:posOffset>
                </wp:positionH>
                <wp:positionV relativeFrom="margin">
                  <wp:align>top</wp:align>
                </wp:positionV>
                <wp:extent cx="5598795" cy="1294130"/>
                <wp:effectExtent l="0" t="0" r="1905" b="1270"/>
                <wp:wrapSquare wrapText="bothSides"/>
                <wp:docPr id="318" name="Group 318"/>
                <wp:cNvGraphicFramePr/>
                <a:graphic xmlns:a="http://schemas.openxmlformats.org/drawingml/2006/main">
                  <a:graphicData uri="http://schemas.microsoft.com/office/word/2010/wordprocessingGroup">
                    <wpg:wgp>
                      <wpg:cNvGrpSpPr/>
                      <wpg:grpSpPr>
                        <a:xfrm>
                          <a:off x="0" y="0"/>
                          <a:ext cx="5598795" cy="1294130"/>
                          <a:chOff x="0" y="0"/>
                          <a:chExt cx="3567448" cy="2490583"/>
                        </a:xfrm>
                      </wpg:grpSpPr>
                      <wps:wsp>
                        <wps:cNvPr id="319" name="Rectangle 319"/>
                        <wps:cNvSpPr/>
                        <wps:spPr>
                          <a:xfrm>
                            <a:off x="1" y="0"/>
                            <a:ext cx="3558576" cy="55500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145D1F" w14:textId="6447B6B6" w:rsidR="000D292E" w:rsidRDefault="000D292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Aim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Text Box 183"/>
                        <wps:cNvSpPr txBox="1"/>
                        <wps:spPr>
                          <a:xfrm>
                            <a:off x="0" y="252679"/>
                            <a:ext cx="3567448" cy="2237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20D5DF" w14:textId="77777777" w:rsidR="000D292E" w:rsidRDefault="000D292E" w:rsidP="00752838"/>
                            <w:p w14:paraId="53CC408A" w14:textId="4230BF71" w:rsidR="000D292E" w:rsidRPr="00EC5893" w:rsidRDefault="000D292E" w:rsidP="00EC5893">
                              <w:pPr>
                                <w:pStyle w:val="ListParagraph"/>
                                <w:numPr>
                                  <w:ilvl w:val="0"/>
                                  <w:numId w:val="33"/>
                                </w:numPr>
                                <w:rPr>
                                  <w:caps/>
                                  <w:color w:val="5B9BD5" w:themeColor="accent1"/>
                                  <w:sz w:val="26"/>
                                  <w:szCs w:val="26"/>
                                </w:rPr>
                              </w:pPr>
                              <w:r>
                                <w:t xml:space="preserve">None of the psychological factors measured correlated with or predicted seizure frequency. This suggests that the psychological factors investigated were not related to how many seizures people reported.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3D60DE" id="Group 318" o:spid="_x0000_s1093" style="position:absolute;margin-left:19.35pt;margin-top:0;width:440.85pt;height:101.9pt;z-index:251715584;mso-wrap-distance-left:14.4pt;mso-wrap-distance-top:3.6pt;mso-wrap-distance-right:14.4pt;mso-wrap-distance-bottom:3.6pt;mso-position-horizontal-relative:margin;mso-position-vertical:top;mso-position-vertical-relative:margin;mso-width-relative:margin;mso-height-relative:margin" coordsize="35674,24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">
                <v:rect id="Rectangle 319" o:spid="_x0000_s1094" style="position:absolute;width:35585;height:5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" fillcolor="#5b9bd5 [3204]" stroked="f" strokeweight="1pt">
                  <v:textbox>
                    <w:txbxContent>
                      <w:p w14:paraId="57145D1F" w14:textId="6447B6B6" w:rsidR="000D292E" w:rsidRDefault="000D292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Aim 3</w:t>
                        </w:r>
                      </w:p>
                    </w:txbxContent>
                  </v:textbox>
                </v:rect>
                <v:shape id="Text Box 183" o:spid="_x0000_s1095" type="#_x0000_t202" style="position:absolute;top:2526;width:35674;height:2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" filled="f" stroked="f" strokeweight=".5pt">
                  <v:textbox inset=",7.2pt,,0">
                    <w:txbxContent>
                      <w:p w14:paraId="7920D5DF" w14:textId="77777777" w:rsidR="000D292E" w:rsidRDefault="000D292E" w:rsidP="00752838"/>
                      <w:p w14:paraId="53CC408A" w14:textId="4230BF71" w:rsidR="000D292E" w:rsidRPr="00EC5893" w:rsidRDefault="000D292E" w:rsidP="00EC5893">
                        <w:pPr>
                          <w:pStyle w:val="ListParagraph"/>
                          <w:numPr>
                            <w:ilvl w:val="0"/>
                            <w:numId w:val="33"/>
                          </w:numPr>
                          <w:rPr>
                            <w:caps/>
                            <w:color w:val="5B9BD5" w:themeColor="accent1"/>
                            <w:sz w:val="26"/>
                            <w:szCs w:val="26"/>
                          </w:rPr>
                        </w:pPr>
                        <w:r>
                          <w:t xml:space="preserve">None of the psychological factors measured correlated with or predicted seizure frequency. This suggests that the psychological factors investigated were not related to how many seizures people reported. </w:t>
                        </w:r>
                      </w:p>
                    </w:txbxContent>
                  </v:textbox>
                </v:shape>
                <w10:wrap type="square" anchorx="margin" anchory="margin"/>
              </v:group>
            </w:pict>
          </mc:Fallback>
        </mc:AlternateContent>
      </w:r>
    </w:p>
    <w:p w14:paraId="0BCBABD3" w14:textId="0D073F39" w:rsidR="007617A5" w:rsidRPr="007B3E18" w:rsidRDefault="00752838" w:rsidP="00A53770">
      <w:pPr>
        <w:pStyle w:val="Heading2"/>
        <w:rPr>
          <w:color w:val="0070C0"/>
        </w:rPr>
      </w:pPr>
      <w:bookmarkStart w:id="222" w:name="_Toc133144259"/>
      <w:bookmarkStart w:id="223" w:name="_Toc133487870"/>
      <w:r w:rsidRPr="007B3E18">
        <w:rPr>
          <w:color w:val="0070C0"/>
        </w:rPr>
        <w:t>What are the clinical i</w:t>
      </w:r>
      <w:r w:rsidR="007617A5" w:rsidRPr="007B3E18">
        <w:rPr>
          <w:color w:val="0070C0"/>
        </w:rPr>
        <w:t>mplications</w:t>
      </w:r>
      <w:bookmarkEnd w:id="222"/>
      <w:r w:rsidRPr="007B3E18">
        <w:rPr>
          <w:color w:val="0070C0"/>
        </w:rPr>
        <w:t xml:space="preserve"> of this research?</w:t>
      </w:r>
      <w:bookmarkEnd w:id="223"/>
    </w:p>
    <w:p w14:paraId="1F8B6F55" w14:textId="3A16D80F" w:rsidR="007617A5" w:rsidRDefault="007617A5" w:rsidP="00436994">
      <w:pPr>
        <w:pStyle w:val="ListParagraph"/>
        <w:numPr>
          <w:ilvl w:val="0"/>
          <w:numId w:val="4"/>
        </w:numPr>
        <w:spacing w:line="360" w:lineRule="auto"/>
        <w:ind w:firstLine="720"/>
      </w:pPr>
      <w:r>
        <w:t xml:space="preserve">Finding </w:t>
      </w:r>
      <w:r w:rsidR="00E0332B">
        <w:t>high levels</w:t>
      </w:r>
      <w:r>
        <w:t xml:space="preserve"> of </w:t>
      </w:r>
      <w:r w:rsidR="00387E75">
        <w:t xml:space="preserve">intolerance of uncertainty, anxiety sensitivity, </w:t>
      </w:r>
      <w:r w:rsidR="00E0332B">
        <w:t xml:space="preserve">and moderate levels of </w:t>
      </w:r>
      <w:r w:rsidR="00387E75">
        <w:t>anxiety, depression, and somatisation</w:t>
      </w:r>
      <w:r>
        <w:t xml:space="preserve"> </w:t>
      </w:r>
      <w:r w:rsidR="00E0332B">
        <w:t xml:space="preserve">in both groups suggests that it is important for people with seizure conditions to </w:t>
      </w:r>
      <w:r w:rsidR="00ED052B">
        <w:t>be able to access</w:t>
      </w:r>
      <w:r w:rsidR="00E0332B">
        <w:t xml:space="preserve"> </w:t>
      </w:r>
      <w:r w:rsidR="00507A07">
        <w:t xml:space="preserve">services offering </w:t>
      </w:r>
      <w:r w:rsidR="00E0332B">
        <w:t>psychological assessment and intervention.</w:t>
      </w:r>
    </w:p>
    <w:p w14:paraId="58373326" w14:textId="0B59B39E" w:rsidR="00FC540E" w:rsidRDefault="00E0332B" w:rsidP="00436994">
      <w:pPr>
        <w:pStyle w:val="ListParagraph"/>
        <w:numPr>
          <w:ilvl w:val="0"/>
          <w:numId w:val="4"/>
        </w:numPr>
        <w:spacing w:line="360" w:lineRule="auto"/>
        <w:ind w:firstLine="720"/>
      </w:pPr>
      <w:r>
        <w:t>The similarity</w:t>
      </w:r>
      <w:r w:rsidR="00FC540E">
        <w:t xml:space="preserve"> of psychological difficulties reported by both groups </w:t>
      </w:r>
      <w:r>
        <w:t xml:space="preserve">suggests that </w:t>
      </w:r>
      <w:r w:rsidR="00507A07">
        <w:t>combined</w:t>
      </w:r>
      <w:r>
        <w:t xml:space="preserve"> psychological support for people with seizure conditions could be developed, rather than support tailored to each condition.</w:t>
      </w:r>
    </w:p>
    <w:p w14:paraId="433AD3C4" w14:textId="6C1E2E08" w:rsidR="007617A5" w:rsidRDefault="00E0332B" w:rsidP="00436994">
      <w:pPr>
        <w:pStyle w:val="ListParagraph"/>
        <w:numPr>
          <w:ilvl w:val="0"/>
          <w:numId w:val="4"/>
        </w:numPr>
        <w:spacing w:line="360" w:lineRule="auto"/>
        <w:ind w:firstLine="720"/>
      </w:pPr>
      <w:r>
        <w:t>D</w:t>
      </w:r>
      <w:r w:rsidR="007617A5">
        <w:t xml:space="preserve">epression should be considered as a primary </w:t>
      </w:r>
      <w:r>
        <w:t>target of</w:t>
      </w:r>
      <w:r w:rsidR="007617A5">
        <w:t xml:space="preserve"> intervention for people with seizure conditions </w:t>
      </w:r>
      <w:r>
        <w:t>and somatisation</w:t>
      </w:r>
      <w:r w:rsidR="007617A5">
        <w:t>.</w:t>
      </w:r>
    </w:p>
    <w:p w14:paraId="42DACF69" w14:textId="77777777" w:rsidR="007617A5" w:rsidRPr="007B3E18" w:rsidRDefault="007617A5" w:rsidP="00A53770">
      <w:pPr>
        <w:pStyle w:val="Heading2"/>
        <w:rPr>
          <w:color w:val="0070C0"/>
        </w:rPr>
      </w:pPr>
      <w:bookmarkStart w:id="224" w:name="_Toc133144260"/>
      <w:bookmarkStart w:id="225" w:name="_Toc133487871"/>
      <w:r w:rsidRPr="007B3E18">
        <w:rPr>
          <w:color w:val="0070C0"/>
        </w:rPr>
        <w:t>Limitations</w:t>
      </w:r>
      <w:bookmarkEnd w:id="224"/>
      <w:bookmarkEnd w:id="225"/>
    </w:p>
    <w:p w14:paraId="5F53B460" w14:textId="1BACEDE9" w:rsidR="007617A5" w:rsidRDefault="007617A5" w:rsidP="00436994">
      <w:pPr>
        <w:pStyle w:val="ListParagraph"/>
        <w:numPr>
          <w:ilvl w:val="0"/>
          <w:numId w:val="4"/>
        </w:numPr>
        <w:spacing w:line="360" w:lineRule="auto"/>
        <w:ind w:firstLine="720"/>
      </w:pPr>
      <w:r>
        <w:t xml:space="preserve">The study asked participants to self-report the number of seizures experienced over the last four weeks. This is difficult to estimate and can differ considerably between individuals. </w:t>
      </w:r>
      <w:r w:rsidR="00187F65">
        <w:t xml:space="preserve">For example, some participants may keep a seizure diary whilst others may guess how many seizures they have had. Some types of seizures are more severe and easier to count, whereas others might last seconds and be easy to miss. </w:t>
      </w:r>
      <w:r>
        <w:t>This resulted in</w:t>
      </w:r>
      <w:r w:rsidR="00507A07">
        <w:t xml:space="preserve"> seizure frequency</w:t>
      </w:r>
      <w:r>
        <w:t xml:space="preserve"> data that may not be representat</w:t>
      </w:r>
      <w:r w:rsidR="00E0332B">
        <w:t xml:space="preserve">ive </w:t>
      </w:r>
      <w:r>
        <w:t>of the wider community of people with seizure conditions.</w:t>
      </w:r>
      <w:r w:rsidR="00FC540E">
        <w:t xml:space="preserve"> </w:t>
      </w:r>
    </w:p>
    <w:p w14:paraId="293BC0C9" w14:textId="01E98F71" w:rsidR="007617A5" w:rsidRDefault="007617A5" w:rsidP="00436994">
      <w:pPr>
        <w:pStyle w:val="ListParagraph"/>
        <w:numPr>
          <w:ilvl w:val="0"/>
          <w:numId w:val="4"/>
        </w:numPr>
        <w:spacing w:line="360" w:lineRule="auto"/>
        <w:ind w:firstLine="720"/>
      </w:pPr>
      <w:r>
        <w:t xml:space="preserve">Some previous studies comparing people with epilepsy </w:t>
      </w:r>
      <w:r w:rsidR="00507A07">
        <w:t>and</w:t>
      </w:r>
      <w:r>
        <w:t xml:space="preserve"> people with dissociative seizures require</w:t>
      </w:r>
      <w:r w:rsidR="000D292E">
        <w:t>d that all participants had</w:t>
      </w:r>
      <w:r>
        <w:t xml:space="preserve"> their diagnoses confirmed by professionals. This study relied on participants self-reporting their seizure condition which could increase the chance of </w:t>
      </w:r>
      <w:r w:rsidR="009B0C46">
        <w:t>bias from the wrong diagnosis being reported</w:t>
      </w:r>
      <w:r>
        <w:t>.</w:t>
      </w:r>
    </w:p>
    <w:p w14:paraId="745FA6CC" w14:textId="3DBB4D8F" w:rsidR="007617A5" w:rsidRDefault="007617A5" w:rsidP="00436994">
      <w:pPr>
        <w:pStyle w:val="ListParagraph"/>
        <w:numPr>
          <w:ilvl w:val="0"/>
          <w:numId w:val="4"/>
        </w:numPr>
        <w:spacing w:line="360" w:lineRule="auto"/>
        <w:ind w:firstLine="720"/>
      </w:pPr>
      <w:r>
        <w:t>The majority of participants who responded to the study identified as women and of being white ethnicity. This limits the representativeness of the results to people who do not identify as belonging to these groups.</w:t>
      </w:r>
    </w:p>
    <w:p w14:paraId="148EE0C4" w14:textId="77777777" w:rsidR="007617A5" w:rsidRPr="007B3E18" w:rsidRDefault="007617A5" w:rsidP="007B3E18">
      <w:pPr>
        <w:pStyle w:val="Heading1"/>
        <w:jc w:val="left"/>
        <w:rPr>
          <w:color w:val="0070C0"/>
        </w:rPr>
      </w:pPr>
      <w:bookmarkStart w:id="226" w:name="_Toc133487872"/>
      <w:r w:rsidRPr="007B3E18">
        <w:rPr>
          <w:color w:val="0070C0"/>
        </w:rPr>
        <w:t>Future research</w:t>
      </w:r>
      <w:bookmarkEnd w:id="226"/>
    </w:p>
    <w:p w14:paraId="48516E08" w14:textId="4CCAC360" w:rsidR="007617A5" w:rsidRDefault="007617A5" w:rsidP="00436994">
      <w:pPr>
        <w:pStyle w:val="ListParagraph"/>
        <w:numPr>
          <w:ilvl w:val="0"/>
          <w:numId w:val="4"/>
        </w:numPr>
        <w:spacing w:line="360" w:lineRule="auto"/>
        <w:ind w:firstLine="720"/>
      </w:pPr>
      <w:r>
        <w:t>This study r</w:t>
      </w:r>
      <w:r w:rsidR="00E77E90">
        <w:t>aises que</w:t>
      </w:r>
      <w:r w:rsidR="00600187">
        <w:t xml:space="preserve">stions about what other outcomes elevated levels of psychological difficulties may predict in people with seizure conditions. </w:t>
      </w:r>
      <w:r w:rsidR="009B0C46">
        <w:t>When</w:t>
      </w:r>
      <w:r w:rsidR="00600187">
        <w:t xml:space="preserve"> people with seizure conditions </w:t>
      </w:r>
      <w:r w:rsidR="009B0C46">
        <w:t xml:space="preserve">have been asked </w:t>
      </w:r>
      <w:r w:rsidR="00600187">
        <w:t>about what outcomes matter</w:t>
      </w:r>
      <w:r w:rsidR="009B0C46">
        <w:t xml:space="preserve"> most</w:t>
      </w:r>
      <w:r w:rsidR="00600187">
        <w:t xml:space="preserve"> to them, </w:t>
      </w:r>
      <w:r w:rsidR="009B0C46">
        <w:t>suggestions included</w:t>
      </w:r>
      <w:r w:rsidR="00600187">
        <w:t xml:space="preserve"> feelings of </w:t>
      </w:r>
      <w:r w:rsidR="001B08DD">
        <w:t>being a burden to others</w:t>
      </w:r>
      <w:r w:rsidR="00600187">
        <w:t xml:space="preserve">, and fear of having seizures </w:t>
      </w:r>
      <w:r w:rsidR="00600187" w:rsidRPr="00CC2BA2">
        <w:t>(Fisher et al., 2000</w:t>
      </w:r>
      <w:r w:rsidR="00600187">
        <w:t xml:space="preserve">, </w:t>
      </w:r>
      <w:r w:rsidR="00600187" w:rsidRPr="00CC2BA2">
        <w:t>Rawlings &amp; Reuber, 2016)</w:t>
      </w:r>
      <w:r w:rsidR="00600187">
        <w:t>.</w:t>
      </w:r>
    </w:p>
    <w:p w14:paraId="76F716E6" w14:textId="7975E315" w:rsidR="007617A5" w:rsidRDefault="007617A5" w:rsidP="00436994">
      <w:pPr>
        <w:pStyle w:val="ListParagraph"/>
        <w:numPr>
          <w:ilvl w:val="0"/>
          <w:numId w:val="4"/>
        </w:numPr>
        <w:spacing w:line="360" w:lineRule="auto"/>
        <w:ind w:firstLine="720"/>
      </w:pPr>
      <w:r>
        <w:t>Improvements in methods for measuring seizure frequency are needed. This is particularly important for studies comparing people with epileptic and dissociative seizures</w:t>
      </w:r>
      <w:r w:rsidR="00187F65">
        <w:t xml:space="preserve"> because of the subtle differences between the two</w:t>
      </w:r>
      <w:r>
        <w:t>.</w:t>
      </w:r>
    </w:p>
    <w:p w14:paraId="385F6479" w14:textId="54A7FF54" w:rsidR="006D6486" w:rsidRDefault="000D292E" w:rsidP="006D6486">
      <w:pPr>
        <w:pStyle w:val="ListParagraph"/>
        <w:numPr>
          <w:ilvl w:val="0"/>
          <w:numId w:val="4"/>
        </w:numPr>
        <w:spacing w:line="360" w:lineRule="auto"/>
        <w:ind w:firstLine="720"/>
      </w:pPr>
      <w:r>
        <w:t xml:space="preserve">Because this study </w:t>
      </w:r>
      <w:r w:rsidR="006D6486">
        <w:t>compared people with epilepsy and people with dissociative seizures, people with mixed diagnoses were not invited to participate. Around 10-20% of people with epilepsy also experience dissociative seizures making this an important group to consider in future research.</w:t>
      </w:r>
    </w:p>
    <w:p w14:paraId="3A958947" w14:textId="77777777" w:rsidR="006D6486" w:rsidRPr="00D93FDC" w:rsidRDefault="006D6486" w:rsidP="006D6486">
      <w:pPr>
        <w:pStyle w:val="ListParagraph"/>
        <w:spacing w:line="360" w:lineRule="auto"/>
        <w:ind w:left="1440"/>
      </w:pPr>
    </w:p>
    <w:p w14:paraId="00366846" w14:textId="77777777" w:rsidR="007617A5" w:rsidRPr="00D8564C" w:rsidRDefault="007617A5" w:rsidP="00027769">
      <w:pPr>
        <w:pStyle w:val="Heading1"/>
        <w:rPr>
          <w:color w:val="0070C0"/>
          <w:sz w:val="24"/>
          <w:szCs w:val="24"/>
          <w:u w:val="single"/>
        </w:rPr>
      </w:pPr>
      <w:bookmarkStart w:id="227" w:name="_Toc133487873"/>
      <w:r w:rsidRPr="00D8564C">
        <w:rPr>
          <w:color w:val="0070C0"/>
          <w:sz w:val="24"/>
          <w:szCs w:val="24"/>
          <w:u w:val="single"/>
        </w:rPr>
        <w:t>What will happen to the results of this study?</w:t>
      </w:r>
      <w:bookmarkEnd w:id="227"/>
    </w:p>
    <w:p w14:paraId="424AFC81" w14:textId="77777777" w:rsidR="007617A5" w:rsidRDefault="007617A5" w:rsidP="00436994">
      <w:pPr>
        <w:spacing w:line="360" w:lineRule="auto"/>
        <w:ind w:firstLine="720"/>
      </w:pPr>
      <w:r>
        <w:t>This study has been written up for potential publication with Seizure - The European Journal of Epilepsy. This executive summary will be shared with participating NHS services and with any participants who have requested a copy.</w:t>
      </w:r>
    </w:p>
    <w:p w14:paraId="51C5A7BF" w14:textId="77777777" w:rsidR="007617A5" w:rsidRPr="00117C3E" w:rsidRDefault="007617A5" w:rsidP="00436994">
      <w:pPr>
        <w:spacing w:line="360" w:lineRule="auto"/>
        <w:ind w:firstLine="720"/>
      </w:pPr>
    </w:p>
    <w:p w14:paraId="26C12C2C" w14:textId="77777777" w:rsidR="007617A5" w:rsidRDefault="007617A5" w:rsidP="00436994">
      <w:pPr>
        <w:spacing w:line="360" w:lineRule="auto"/>
        <w:ind w:firstLine="720"/>
      </w:pPr>
    </w:p>
    <w:p w14:paraId="5BC84908" w14:textId="77777777" w:rsidR="007617A5" w:rsidRDefault="007617A5" w:rsidP="00436994">
      <w:pPr>
        <w:spacing w:line="360" w:lineRule="auto"/>
        <w:ind w:firstLine="720"/>
      </w:pPr>
    </w:p>
    <w:p w14:paraId="2DA6A8D3" w14:textId="77777777" w:rsidR="007617A5" w:rsidRDefault="007617A5" w:rsidP="00436994">
      <w:pPr>
        <w:spacing w:line="360" w:lineRule="auto"/>
        <w:ind w:firstLine="720"/>
      </w:pPr>
    </w:p>
    <w:p w14:paraId="6DA77639" w14:textId="77777777" w:rsidR="007617A5" w:rsidRDefault="007617A5" w:rsidP="00436994">
      <w:pPr>
        <w:spacing w:line="360" w:lineRule="auto"/>
        <w:ind w:firstLine="720"/>
      </w:pPr>
    </w:p>
    <w:p w14:paraId="4C6F652A" w14:textId="77777777" w:rsidR="007617A5" w:rsidRDefault="007617A5" w:rsidP="00436994">
      <w:pPr>
        <w:spacing w:line="360" w:lineRule="auto"/>
        <w:ind w:firstLine="720"/>
      </w:pPr>
    </w:p>
    <w:p w14:paraId="6888CADB" w14:textId="77777777" w:rsidR="007617A5" w:rsidRDefault="007617A5" w:rsidP="00436994">
      <w:pPr>
        <w:spacing w:line="360" w:lineRule="auto"/>
        <w:ind w:firstLine="720"/>
      </w:pPr>
    </w:p>
    <w:p w14:paraId="62DB2227" w14:textId="77777777" w:rsidR="007617A5" w:rsidRDefault="007617A5" w:rsidP="00436994">
      <w:pPr>
        <w:spacing w:line="360" w:lineRule="auto"/>
        <w:ind w:firstLine="720"/>
      </w:pPr>
    </w:p>
    <w:p w14:paraId="0BBA0FE8" w14:textId="77777777" w:rsidR="007617A5" w:rsidRDefault="007617A5" w:rsidP="00436994">
      <w:pPr>
        <w:spacing w:line="360" w:lineRule="auto"/>
        <w:ind w:firstLine="720"/>
      </w:pPr>
    </w:p>
    <w:p w14:paraId="7C00F3AC" w14:textId="77777777" w:rsidR="007617A5" w:rsidRDefault="007617A5" w:rsidP="00436994">
      <w:pPr>
        <w:spacing w:line="360" w:lineRule="auto"/>
        <w:ind w:firstLine="720"/>
      </w:pPr>
    </w:p>
    <w:p w14:paraId="5F552005" w14:textId="77777777" w:rsidR="00A53770" w:rsidRDefault="00A53770">
      <w:pPr>
        <w:rPr>
          <w:rFonts w:eastAsiaTheme="majorEastAsia" w:cstheme="minorHAnsi"/>
          <w:b/>
        </w:rPr>
      </w:pPr>
      <w:r>
        <w:br w:type="page"/>
      </w:r>
    </w:p>
    <w:p w14:paraId="4B90F6C2" w14:textId="2A56CF22" w:rsidR="007617A5" w:rsidRDefault="007617A5" w:rsidP="00027769">
      <w:pPr>
        <w:pStyle w:val="Heading1"/>
      </w:pPr>
      <w:bookmarkStart w:id="228" w:name="_Toc133487874"/>
      <w:r>
        <w:t>References</w:t>
      </w:r>
      <w:bookmarkEnd w:id="228"/>
    </w:p>
    <w:p w14:paraId="13575243" w14:textId="77777777" w:rsidR="007617A5" w:rsidRDefault="007617A5" w:rsidP="00A53770">
      <w:pPr>
        <w:spacing w:line="360" w:lineRule="auto"/>
        <w:ind w:firstLine="720"/>
        <w:jc w:val="both"/>
      </w:pPr>
    </w:p>
    <w:p w14:paraId="17FB8964" w14:textId="77777777" w:rsidR="007617A5" w:rsidRPr="00A50693" w:rsidRDefault="007617A5"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 xml:space="preserve">Abe, C., Denney, D., Doyle, A., Cullum, M., Adams, J., Perven, G., Dave, H., Dieppa, M., Hays, R., Agostini, M., &amp; Ding, K. (2020). Comparison of psychiatric comorbidities and impact on quality of life in patients with epilepsy or psychogenic nonepileptic spells. </w:t>
      </w:r>
      <w:r w:rsidRPr="00A50693">
        <w:rPr>
          <w:rFonts w:asciiTheme="minorHAnsi" w:hAnsiTheme="minorHAnsi" w:cstheme="minorHAnsi"/>
          <w:i/>
          <w:iCs/>
          <w:sz w:val="22"/>
          <w:szCs w:val="22"/>
        </w:rPr>
        <w:t>Epilepsy &amp; Behavior</w:t>
      </w:r>
      <w:r w:rsidRPr="00A50693">
        <w:rPr>
          <w:rFonts w:asciiTheme="minorHAnsi" w:hAnsiTheme="minorHAnsi" w:cstheme="minorHAnsi"/>
          <w:sz w:val="22"/>
          <w:szCs w:val="22"/>
        </w:rPr>
        <w:t xml:space="preserve">, </w:t>
      </w:r>
      <w:r w:rsidRPr="00A50693">
        <w:rPr>
          <w:rFonts w:asciiTheme="minorHAnsi" w:hAnsiTheme="minorHAnsi" w:cstheme="minorHAnsi"/>
          <w:i/>
          <w:iCs/>
          <w:sz w:val="22"/>
          <w:szCs w:val="22"/>
        </w:rPr>
        <w:t>102</w:t>
      </w:r>
      <w:r w:rsidRPr="00A50693">
        <w:rPr>
          <w:rFonts w:asciiTheme="minorHAnsi" w:hAnsiTheme="minorHAnsi" w:cstheme="minorHAnsi"/>
          <w:sz w:val="22"/>
          <w:szCs w:val="22"/>
        </w:rPr>
        <w:t>, 106649. https://doi.org/10.1016/j.yebeh.2019.106649</w:t>
      </w:r>
    </w:p>
    <w:p w14:paraId="27D28BE2" w14:textId="77777777" w:rsidR="007617A5" w:rsidRPr="00A50693" w:rsidRDefault="007617A5"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 xml:space="preserve">Barahmand, U., &amp; Haji, A. (2014). The impact of intolerance of uncertainty, worry and irritability on quality of life in persons with epilepsy: Irritability as mediator. </w:t>
      </w:r>
      <w:r w:rsidRPr="00A50693">
        <w:rPr>
          <w:rFonts w:asciiTheme="minorHAnsi" w:hAnsiTheme="minorHAnsi" w:cstheme="minorHAnsi"/>
          <w:i/>
          <w:iCs/>
          <w:sz w:val="22"/>
          <w:szCs w:val="22"/>
        </w:rPr>
        <w:t>Epilepsy Research</w:t>
      </w:r>
      <w:r w:rsidRPr="00A50693">
        <w:rPr>
          <w:rFonts w:asciiTheme="minorHAnsi" w:hAnsiTheme="minorHAnsi" w:cstheme="minorHAnsi"/>
          <w:sz w:val="22"/>
          <w:szCs w:val="22"/>
        </w:rPr>
        <w:t xml:space="preserve">, </w:t>
      </w:r>
      <w:r w:rsidRPr="00A50693">
        <w:rPr>
          <w:rFonts w:asciiTheme="minorHAnsi" w:hAnsiTheme="minorHAnsi" w:cstheme="minorHAnsi"/>
          <w:i/>
          <w:iCs/>
          <w:sz w:val="22"/>
          <w:szCs w:val="22"/>
        </w:rPr>
        <w:t>108</w:t>
      </w:r>
      <w:r w:rsidRPr="00A50693">
        <w:rPr>
          <w:rFonts w:asciiTheme="minorHAnsi" w:hAnsiTheme="minorHAnsi" w:cstheme="minorHAnsi"/>
          <w:sz w:val="22"/>
          <w:szCs w:val="22"/>
        </w:rPr>
        <w:t>(8), 1335–1344. https://doi.org/10.1016/j.eplepsyres.2014.07.002</w:t>
      </w:r>
    </w:p>
    <w:p w14:paraId="534D2CAD" w14:textId="77777777" w:rsidR="007617A5" w:rsidRPr="00A50693" w:rsidRDefault="007617A5"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 xml:space="preserve">Boswell, J. F., Thompson-Hollands, J., Farchione, T. J., &amp; Barlow, D. H. (2013). Intolerance of Uncertainty: A Common Factor in the Treatment of Emotional Disorders. </w:t>
      </w:r>
      <w:r w:rsidRPr="00A50693">
        <w:rPr>
          <w:rFonts w:asciiTheme="minorHAnsi" w:hAnsiTheme="minorHAnsi" w:cstheme="minorHAnsi"/>
          <w:i/>
          <w:iCs/>
          <w:sz w:val="22"/>
          <w:szCs w:val="22"/>
        </w:rPr>
        <w:t>Journal of Clinical Psychology</w:t>
      </w:r>
      <w:r w:rsidRPr="00A50693">
        <w:rPr>
          <w:rFonts w:asciiTheme="minorHAnsi" w:hAnsiTheme="minorHAnsi" w:cstheme="minorHAnsi"/>
          <w:sz w:val="22"/>
          <w:szCs w:val="22"/>
        </w:rPr>
        <w:t xml:space="preserve">, </w:t>
      </w:r>
      <w:r w:rsidRPr="00A50693">
        <w:rPr>
          <w:rFonts w:asciiTheme="minorHAnsi" w:hAnsiTheme="minorHAnsi" w:cstheme="minorHAnsi"/>
          <w:i/>
          <w:iCs/>
          <w:sz w:val="22"/>
          <w:szCs w:val="22"/>
        </w:rPr>
        <w:t>69</w:t>
      </w:r>
      <w:r w:rsidRPr="00A50693">
        <w:rPr>
          <w:rFonts w:asciiTheme="minorHAnsi" w:hAnsiTheme="minorHAnsi" w:cstheme="minorHAnsi"/>
          <w:sz w:val="22"/>
          <w:szCs w:val="22"/>
        </w:rPr>
        <w:t>(6), 630–645. https://doi.org/10.1002/jclp.21965</w:t>
      </w:r>
    </w:p>
    <w:p w14:paraId="52B7BEF0" w14:textId="77777777" w:rsidR="007617A5" w:rsidRPr="00A50693" w:rsidRDefault="007617A5"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 xml:space="preserve">Brandt, C., &amp; Mula, M. (2016). Anxiety disorders in people with epilepsy. </w:t>
      </w:r>
      <w:r w:rsidRPr="00A50693">
        <w:rPr>
          <w:rFonts w:asciiTheme="minorHAnsi" w:hAnsiTheme="minorHAnsi" w:cstheme="minorHAnsi"/>
          <w:i/>
          <w:iCs/>
          <w:sz w:val="22"/>
          <w:szCs w:val="22"/>
        </w:rPr>
        <w:t>Epilepsy &amp; Behavior</w:t>
      </w:r>
      <w:r w:rsidRPr="00A50693">
        <w:rPr>
          <w:rFonts w:asciiTheme="minorHAnsi" w:hAnsiTheme="minorHAnsi" w:cstheme="minorHAnsi"/>
          <w:sz w:val="22"/>
          <w:szCs w:val="22"/>
        </w:rPr>
        <w:t xml:space="preserve">, </w:t>
      </w:r>
      <w:r w:rsidRPr="00A50693">
        <w:rPr>
          <w:rFonts w:asciiTheme="minorHAnsi" w:hAnsiTheme="minorHAnsi" w:cstheme="minorHAnsi"/>
          <w:i/>
          <w:iCs/>
          <w:sz w:val="22"/>
          <w:szCs w:val="22"/>
        </w:rPr>
        <w:t>59</w:t>
      </w:r>
      <w:r w:rsidRPr="00A50693">
        <w:rPr>
          <w:rFonts w:asciiTheme="minorHAnsi" w:hAnsiTheme="minorHAnsi" w:cstheme="minorHAnsi"/>
          <w:sz w:val="22"/>
          <w:szCs w:val="22"/>
        </w:rPr>
        <w:t>, 87–91. https://doi.org/10.1016/j.yebeh.2016.03.020</w:t>
      </w:r>
    </w:p>
    <w:p w14:paraId="6E24F213" w14:textId="77777777" w:rsidR="007617A5" w:rsidRPr="00A50693" w:rsidRDefault="007617A5"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 xml:space="preserve">Buhr, K., &amp; Dugas, M. J. (2002). The intolerance of uncertainty scale: psychometric properties of the English version. </w:t>
      </w:r>
      <w:r w:rsidRPr="00A50693">
        <w:rPr>
          <w:rFonts w:asciiTheme="minorHAnsi" w:hAnsiTheme="minorHAnsi" w:cstheme="minorHAnsi"/>
          <w:i/>
          <w:iCs/>
          <w:sz w:val="22"/>
          <w:szCs w:val="22"/>
        </w:rPr>
        <w:t>Behaviour Research and Therapy</w:t>
      </w:r>
      <w:r w:rsidRPr="00A50693">
        <w:rPr>
          <w:rFonts w:asciiTheme="minorHAnsi" w:hAnsiTheme="minorHAnsi" w:cstheme="minorHAnsi"/>
          <w:sz w:val="22"/>
          <w:szCs w:val="22"/>
        </w:rPr>
        <w:t xml:space="preserve">, </w:t>
      </w:r>
      <w:r w:rsidRPr="00A50693">
        <w:rPr>
          <w:rFonts w:asciiTheme="minorHAnsi" w:hAnsiTheme="minorHAnsi" w:cstheme="minorHAnsi"/>
          <w:i/>
          <w:iCs/>
          <w:sz w:val="22"/>
          <w:szCs w:val="22"/>
        </w:rPr>
        <w:t>40</w:t>
      </w:r>
      <w:r w:rsidRPr="00A50693">
        <w:rPr>
          <w:rFonts w:asciiTheme="minorHAnsi" w:hAnsiTheme="minorHAnsi" w:cstheme="minorHAnsi"/>
          <w:sz w:val="22"/>
          <w:szCs w:val="22"/>
        </w:rPr>
        <w:t>(8), 931–945. https://doi.org/10.1016/s0005-7967(01)00092-4</w:t>
      </w:r>
    </w:p>
    <w:p w14:paraId="1A67AA88" w14:textId="77777777" w:rsidR="007617A5" w:rsidRPr="00A50693" w:rsidRDefault="007617A5"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 xml:space="preserve">Carleton, R. N., Norton, M. A. P. J., &amp; Asmundson, G. J. G. (2007). Fearing the unknown: A short version of the Intolerance of Uncertainty Scale. </w:t>
      </w:r>
      <w:r w:rsidRPr="00A50693">
        <w:rPr>
          <w:rFonts w:asciiTheme="minorHAnsi" w:hAnsiTheme="minorHAnsi" w:cstheme="minorHAnsi"/>
          <w:i/>
          <w:iCs/>
          <w:sz w:val="22"/>
          <w:szCs w:val="22"/>
        </w:rPr>
        <w:t>Journal of Anxiety Disorders</w:t>
      </w:r>
      <w:r w:rsidRPr="00A50693">
        <w:rPr>
          <w:rFonts w:asciiTheme="minorHAnsi" w:hAnsiTheme="minorHAnsi" w:cstheme="minorHAnsi"/>
          <w:sz w:val="22"/>
          <w:szCs w:val="22"/>
        </w:rPr>
        <w:t xml:space="preserve">, </w:t>
      </w:r>
      <w:r w:rsidRPr="00A50693">
        <w:rPr>
          <w:rFonts w:asciiTheme="minorHAnsi" w:hAnsiTheme="minorHAnsi" w:cstheme="minorHAnsi"/>
          <w:i/>
          <w:iCs/>
          <w:sz w:val="22"/>
          <w:szCs w:val="22"/>
        </w:rPr>
        <w:t>21</w:t>
      </w:r>
      <w:r w:rsidRPr="00A50693">
        <w:rPr>
          <w:rFonts w:asciiTheme="minorHAnsi" w:hAnsiTheme="minorHAnsi" w:cstheme="minorHAnsi"/>
          <w:sz w:val="22"/>
          <w:szCs w:val="22"/>
        </w:rPr>
        <w:t>(1), 105–117. https://doi.org/10.1016/j.janxdis.2006.03.014</w:t>
      </w:r>
    </w:p>
    <w:p w14:paraId="1605DEFA" w14:textId="3D8B8AD0" w:rsidR="007617A5" w:rsidRPr="00A50693" w:rsidRDefault="007617A5"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 xml:space="preserve">Centers for Disease Control and Prevention. (2019). </w:t>
      </w:r>
      <w:r w:rsidRPr="00A50693">
        <w:rPr>
          <w:rFonts w:asciiTheme="minorHAnsi" w:hAnsiTheme="minorHAnsi" w:cstheme="minorHAnsi"/>
          <w:i/>
          <w:iCs/>
          <w:sz w:val="22"/>
          <w:szCs w:val="22"/>
        </w:rPr>
        <w:t>Types of Seizures</w:t>
      </w:r>
      <w:r w:rsidRPr="00A50693">
        <w:rPr>
          <w:rFonts w:asciiTheme="minorHAnsi" w:hAnsiTheme="minorHAnsi" w:cstheme="minorHAnsi"/>
          <w:sz w:val="22"/>
          <w:szCs w:val="22"/>
        </w:rPr>
        <w:t xml:space="preserve">. Centers for Disease Control and Prevention. </w:t>
      </w:r>
      <w:hyperlink r:id="rId201" w:history="1">
        <w:r w:rsidR="00602898" w:rsidRPr="00A50693">
          <w:rPr>
            <w:rStyle w:val="Hyperlink"/>
            <w:rFonts w:asciiTheme="minorHAnsi" w:hAnsiTheme="minorHAnsi" w:cstheme="minorHAnsi"/>
            <w:sz w:val="22"/>
            <w:szCs w:val="22"/>
          </w:rPr>
          <w:t>https://www.cdc.gov/epilepsy/about/types-of-seizures.htm</w:t>
        </w:r>
      </w:hyperlink>
    </w:p>
    <w:p w14:paraId="3B935D59" w14:textId="7402ED0D" w:rsidR="00602898" w:rsidRPr="00A50693" w:rsidRDefault="00602898"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Diprose, W., Sundram, F., &amp; Menkes, D. B. (2016). Psychiatric comorbidity in psychogenic nonepileptic seizures compared with epilepsy. Epilepsy &amp; Behavior, 56, 123–130. https://doi.org/10.1016/j.yebeh.2015.12.037</w:t>
      </w:r>
    </w:p>
    <w:p w14:paraId="7A47DFCE" w14:textId="0DD31F49" w:rsidR="007617A5" w:rsidRPr="00A50693" w:rsidRDefault="007617A5"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 xml:space="preserve">Cullingham, T., Kirkby, A., Eccles, F. J. R., &amp; Sellwood, W. (2020). Psychological inflexibility and somatization in nonepileptic attack disorder. </w:t>
      </w:r>
      <w:r w:rsidRPr="00A50693">
        <w:rPr>
          <w:rFonts w:asciiTheme="minorHAnsi" w:hAnsiTheme="minorHAnsi" w:cstheme="minorHAnsi"/>
          <w:i/>
          <w:iCs/>
          <w:sz w:val="22"/>
          <w:szCs w:val="22"/>
        </w:rPr>
        <w:t>Epilepsy &amp; Behavior</w:t>
      </w:r>
      <w:r w:rsidRPr="00A50693">
        <w:rPr>
          <w:rFonts w:asciiTheme="minorHAnsi" w:hAnsiTheme="minorHAnsi" w:cstheme="minorHAnsi"/>
          <w:sz w:val="22"/>
          <w:szCs w:val="22"/>
        </w:rPr>
        <w:t xml:space="preserve">, </w:t>
      </w:r>
      <w:r w:rsidRPr="00A50693">
        <w:rPr>
          <w:rFonts w:asciiTheme="minorHAnsi" w:hAnsiTheme="minorHAnsi" w:cstheme="minorHAnsi"/>
          <w:i/>
          <w:iCs/>
          <w:sz w:val="22"/>
          <w:szCs w:val="22"/>
        </w:rPr>
        <w:t>111</w:t>
      </w:r>
      <w:r w:rsidRPr="00A50693">
        <w:rPr>
          <w:rFonts w:asciiTheme="minorHAnsi" w:hAnsiTheme="minorHAnsi" w:cstheme="minorHAnsi"/>
          <w:sz w:val="22"/>
          <w:szCs w:val="22"/>
        </w:rPr>
        <w:t xml:space="preserve">, 107155. </w:t>
      </w:r>
      <w:hyperlink r:id="rId202" w:history="1">
        <w:r w:rsidR="00600187" w:rsidRPr="00A50693">
          <w:rPr>
            <w:rStyle w:val="Hyperlink"/>
            <w:rFonts w:asciiTheme="minorHAnsi" w:hAnsiTheme="minorHAnsi" w:cstheme="minorHAnsi"/>
            <w:sz w:val="22"/>
            <w:szCs w:val="22"/>
          </w:rPr>
          <w:t>https://doi.org/10.1016/j.yebeh.2020.107155</w:t>
        </w:r>
      </w:hyperlink>
    </w:p>
    <w:p w14:paraId="1F02E62A" w14:textId="1AA4F00B" w:rsidR="00600187" w:rsidRPr="00A50693" w:rsidRDefault="00600187"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Fisher, R. S., Vickrey, B. G., Gibson, P., Hermann, B., Penovich, P., Scherer, A., &amp; Walker, S. (2000). The impact of epilepsy from the patient’s perspective I. Descriptions and subjective perceptions. Epilepsy Research, 41(1), 39–51. https://doi.org/10.1016/s0920-1211(00)00126-1</w:t>
      </w:r>
    </w:p>
    <w:p w14:paraId="3261CA83" w14:textId="0B688B46" w:rsidR="007617A5" w:rsidRPr="00A50693" w:rsidRDefault="007617A5"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Gica, S., Kavakli, M., Durduran, Y., &amp; Ak, M. (2020). The Effect of COVID-19 Pandemic on Psychosomatic C</w:t>
      </w:r>
      <w:r w:rsidR="00A50693">
        <w:rPr>
          <w:rFonts w:asciiTheme="minorHAnsi" w:hAnsiTheme="minorHAnsi" w:cstheme="minorHAnsi"/>
          <w:sz w:val="22"/>
          <w:szCs w:val="22"/>
        </w:rPr>
        <w:t>omplaints and Investigation of t</w:t>
      </w:r>
      <w:r w:rsidRPr="00A50693">
        <w:rPr>
          <w:rFonts w:asciiTheme="minorHAnsi" w:hAnsiTheme="minorHAnsi" w:cstheme="minorHAnsi"/>
          <w:sz w:val="22"/>
          <w:szCs w:val="22"/>
        </w:rPr>
        <w:t xml:space="preserve">he Mediating Role of Intolerance to Uncertainty, Biological Rhythm Changes and Perceived COVID-19 Threat in this Relationship: A Web-Based Community Survey. </w:t>
      </w:r>
      <w:r w:rsidRPr="00A50693">
        <w:rPr>
          <w:rFonts w:asciiTheme="minorHAnsi" w:hAnsiTheme="minorHAnsi" w:cstheme="minorHAnsi"/>
          <w:i/>
          <w:iCs/>
          <w:sz w:val="22"/>
          <w:szCs w:val="22"/>
        </w:rPr>
        <w:t>Psychiatry and Clinical Psychopharmacology</w:t>
      </w:r>
      <w:r w:rsidRPr="00A50693">
        <w:rPr>
          <w:rFonts w:asciiTheme="minorHAnsi" w:hAnsiTheme="minorHAnsi" w:cstheme="minorHAnsi"/>
          <w:sz w:val="22"/>
          <w:szCs w:val="22"/>
        </w:rPr>
        <w:t xml:space="preserve">, </w:t>
      </w:r>
      <w:r w:rsidRPr="00A50693">
        <w:rPr>
          <w:rFonts w:asciiTheme="minorHAnsi" w:hAnsiTheme="minorHAnsi" w:cstheme="minorHAnsi"/>
          <w:i/>
          <w:iCs/>
          <w:sz w:val="22"/>
          <w:szCs w:val="22"/>
        </w:rPr>
        <w:t>30</w:t>
      </w:r>
      <w:r w:rsidRPr="00A50693">
        <w:rPr>
          <w:rFonts w:asciiTheme="minorHAnsi" w:hAnsiTheme="minorHAnsi" w:cstheme="minorHAnsi"/>
          <w:sz w:val="22"/>
          <w:szCs w:val="22"/>
        </w:rPr>
        <w:t>(2), 89. https://doi.org/10.5455/pcp.20200514033022</w:t>
      </w:r>
    </w:p>
    <w:p w14:paraId="6CA2D3FC" w14:textId="77777777" w:rsidR="007617A5" w:rsidRPr="00A50693" w:rsidRDefault="007617A5"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 xml:space="preserve">Goldstein, L. H., Robinson, E. J., Mellers, J. D. C., Stone, J., Carson, A., Reuber, M., Medford, N., McCrone, P., Murray, J., Richardson, M. P., Pilecka, I., Eastwood, C., Moore, M., Mosweu, I., Perdue, I., Landau, S., Chalder, T., Abe, A-M., Adab, N., &amp; Agrawal, N. (2020). Cognitive behavioural therapy for adults with dissociative seizures (CODES): a pragmatic, multicentre, randomised controlled trial. </w:t>
      </w:r>
      <w:r w:rsidRPr="00A50693">
        <w:rPr>
          <w:rFonts w:asciiTheme="minorHAnsi" w:hAnsiTheme="minorHAnsi" w:cstheme="minorHAnsi"/>
          <w:i/>
          <w:iCs/>
          <w:sz w:val="22"/>
          <w:szCs w:val="22"/>
        </w:rPr>
        <w:t>The Lancet Psychiatry</w:t>
      </w:r>
      <w:r w:rsidRPr="00A50693">
        <w:rPr>
          <w:rFonts w:asciiTheme="minorHAnsi" w:hAnsiTheme="minorHAnsi" w:cstheme="minorHAnsi"/>
          <w:sz w:val="22"/>
          <w:szCs w:val="22"/>
        </w:rPr>
        <w:t xml:space="preserve">, </w:t>
      </w:r>
      <w:r w:rsidRPr="00A50693">
        <w:rPr>
          <w:rFonts w:asciiTheme="minorHAnsi" w:hAnsiTheme="minorHAnsi" w:cstheme="minorHAnsi"/>
          <w:i/>
          <w:iCs/>
          <w:sz w:val="22"/>
          <w:szCs w:val="22"/>
        </w:rPr>
        <w:t>7</w:t>
      </w:r>
      <w:r w:rsidRPr="00A50693">
        <w:rPr>
          <w:rFonts w:asciiTheme="minorHAnsi" w:hAnsiTheme="minorHAnsi" w:cstheme="minorHAnsi"/>
          <w:sz w:val="22"/>
          <w:szCs w:val="22"/>
        </w:rPr>
        <w:t>(6), 491–505. https://doi.org/10.1016/s2215-0366(20)30128-0</w:t>
      </w:r>
    </w:p>
    <w:p w14:paraId="3DAB66EE" w14:textId="26F2F0EE" w:rsidR="007617A5" w:rsidRPr="00A50693" w:rsidRDefault="007617A5"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 xml:space="preserve">He, K., Hong, N., Lapalme-Remis, S., Lan, Y., Huang, M., Li, C., &amp; Yao, L. (2019). Understanding the patient perspective of epilepsy treatment through text mining of online patient support groups. </w:t>
      </w:r>
      <w:r w:rsidRPr="00A50693">
        <w:rPr>
          <w:rFonts w:asciiTheme="minorHAnsi" w:hAnsiTheme="minorHAnsi" w:cstheme="minorHAnsi"/>
          <w:i/>
          <w:iCs/>
          <w:sz w:val="22"/>
          <w:szCs w:val="22"/>
        </w:rPr>
        <w:t>Epilepsy &amp; Behavior</w:t>
      </w:r>
      <w:r w:rsidRPr="00A50693">
        <w:rPr>
          <w:rFonts w:asciiTheme="minorHAnsi" w:hAnsiTheme="minorHAnsi" w:cstheme="minorHAnsi"/>
          <w:sz w:val="22"/>
          <w:szCs w:val="22"/>
        </w:rPr>
        <w:t xml:space="preserve">, </w:t>
      </w:r>
      <w:r w:rsidRPr="00A50693">
        <w:rPr>
          <w:rFonts w:asciiTheme="minorHAnsi" w:hAnsiTheme="minorHAnsi" w:cstheme="minorHAnsi"/>
          <w:i/>
          <w:iCs/>
          <w:sz w:val="22"/>
          <w:szCs w:val="22"/>
        </w:rPr>
        <w:t>94</w:t>
      </w:r>
      <w:r w:rsidRPr="00A50693">
        <w:rPr>
          <w:rFonts w:asciiTheme="minorHAnsi" w:hAnsiTheme="minorHAnsi" w:cstheme="minorHAnsi"/>
          <w:sz w:val="22"/>
          <w:szCs w:val="22"/>
        </w:rPr>
        <w:t xml:space="preserve">, 65–71. </w:t>
      </w:r>
      <w:hyperlink r:id="rId203" w:history="1">
        <w:r w:rsidR="00054F3F" w:rsidRPr="00A50693">
          <w:rPr>
            <w:rStyle w:val="Hyperlink"/>
            <w:rFonts w:asciiTheme="minorHAnsi" w:hAnsiTheme="minorHAnsi" w:cstheme="minorHAnsi"/>
            <w:sz w:val="22"/>
            <w:szCs w:val="22"/>
          </w:rPr>
          <w:t>https://doi.org/10.1016/j.yebeh.2019.02.002</w:t>
        </w:r>
      </w:hyperlink>
    </w:p>
    <w:p w14:paraId="3DA91AFF" w14:textId="7ED9FEC6" w:rsidR="00054F3F" w:rsidRPr="00A50693" w:rsidRDefault="00054F3F"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Hovorka, J., Nezadal, T., Herman, E., Iveta Nemcova, &amp; Bajaček, M. (2007). Psychogenic non-epileptic seizures, prospective clinical experience: diagnosis, clinical features, risk factors, psychiatric comorbidity, treatment outcome. Epileptic Disorders, 9 Suppl 1, S52-8. https://</w:t>
      </w:r>
      <w:r w:rsidR="00A50693" w:rsidRPr="00A50693">
        <w:rPr>
          <w:rFonts w:asciiTheme="minorHAnsi" w:hAnsiTheme="minorHAnsi" w:cstheme="minorHAnsi"/>
          <w:sz w:val="22"/>
          <w:szCs w:val="22"/>
        </w:rPr>
        <w:t>doi</w:t>
      </w:r>
      <w:r w:rsidR="00A50693">
        <w:rPr>
          <w:rFonts w:asciiTheme="minorHAnsi" w:hAnsiTheme="minorHAnsi" w:cstheme="minorHAnsi"/>
          <w:sz w:val="22"/>
          <w:szCs w:val="22"/>
        </w:rPr>
        <w:t>.org/</w:t>
      </w:r>
      <w:r w:rsidR="00A50693" w:rsidRPr="00A50693">
        <w:rPr>
          <w:rFonts w:asciiTheme="minorHAnsi" w:hAnsiTheme="minorHAnsi" w:cstheme="minorHAnsi"/>
          <w:sz w:val="22"/>
          <w:szCs w:val="22"/>
        </w:rPr>
        <w:t>10.1684/epd.2008.0156</w:t>
      </w:r>
    </w:p>
    <w:p w14:paraId="73988004" w14:textId="77777777" w:rsidR="007617A5" w:rsidRPr="00A50693" w:rsidRDefault="007617A5"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 xml:space="preserve">Hubsch, C., Baumann, C., Hingray, C., Gospodaru, N., Vignal, J.-P., Vespignani, H., &amp; Maillard, L. (2011). Clinical classification of psychogenic non-epileptic seizures based on video-EEG analysis and automatic clustering. </w:t>
      </w:r>
      <w:r w:rsidRPr="00A50693">
        <w:rPr>
          <w:rFonts w:asciiTheme="minorHAnsi" w:hAnsiTheme="minorHAnsi" w:cstheme="minorHAnsi"/>
          <w:i/>
          <w:iCs/>
          <w:sz w:val="22"/>
          <w:szCs w:val="22"/>
        </w:rPr>
        <w:t>Journal of Neurology, Neurosurgery &amp; Psychiatry</w:t>
      </w:r>
      <w:r w:rsidRPr="00A50693">
        <w:rPr>
          <w:rFonts w:asciiTheme="minorHAnsi" w:hAnsiTheme="minorHAnsi" w:cstheme="minorHAnsi"/>
          <w:sz w:val="22"/>
          <w:szCs w:val="22"/>
        </w:rPr>
        <w:t xml:space="preserve">, </w:t>
      </w:r>
      <w:r w:rsidRPr="00A50693">
        <w:rPr>
          <w:rFonts w:asciiTheme="minorHAnsi" w:hAnsiTheme="minorHAnsi" w:cstheme="minorHAnsi"/>
          <w:i/>
          <w:iCs/>
          <w:sz w:val="22"/>
          <w:szCs w:val="22"/>
        </w:rPr>
        <w:t>82</w:t>
      </w:r>
      <w:r w:rsidRPr="00A50693">
        <w:rPr>
          <w:rFonts w:asciiTheme="minorHAnsi" w:hAnsiTheme="minorHAnsi" w:cstheme="minorHAnsi"/>
          <w:sz w:val="22"/>
          <w:szCs w:val="22"/>
        </w:rPr>
        <w:t>(9), 955–960. https://doi.org/10.1136/jnnp.2010.235424</w:t>
      </w:r>
    </w:p>
    <w:p w14:paraId="3C740533" w14:textId="6517B42B" w:rsidR="007617A5" w:rsidRPr="00A50693" w:rsidRDefault="007617A5"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Johnson, A. L., McLeish, A. C., Alsaid-Habia, T., Shear, P. K., &amp; Privitera, M. (2018). Anxiety Sensitivity as a Predictor of Epilepsy-Related Qualit</w:t>
      </w:r>
      <w:r w:rsidR="00A50693">
        <w:rPr>
          <w:rFonts w:asciiTheme="minorHAnsi" w:hAnsiTheme="minorHAnsi" w:cstheme="minorHAnsi"/>
          <w:sz w:val="22"/>
          <w:szCs w:val="22"/>
        </w:rPr>
        <w:t>y of Life and Illness Severity a</w:t>
      </w:r>
      <w:r w:rsidRPr="00A50693">
        <w:rPr>
          <w:rFonts w:asciiTheme="minorHAnsi" w:hAnsiTheme="minorHAnsi" w:cstheme="minorHAnsi"/>
          <w:sz w:val="22"/>
          <w:szCs w:val="22"/>
        </w:rPr>
        <w:t xml:space="preserve">mong Adult Epilepsy. </w:t>
      </w:r>
      <w:r w:rsidRPr="00A50693">
        <w:rPr>
          <w:rFonts w:asciiTheme="minorHAnsi" w:hAnsiTheme="minorHAnsi" w:cstheme="minorHAnsi"/>
          <w:i/>
          <w:iCs/>
          <w:sz w:val="22"/>
          <w:szCs w:val="22"/>
        </w:rPr>
        <w:t>Cognitive Therapy and Research</w:t>
      </w:r>
      <w:r w:rsidRPr="00A50693">
        <w:rPr>
          <w:rFonts w:asciiTheme="minorHAnsi" w:hAnsiTheme="minorHAnsi" w:cstheme="minorHAnsi"/>
          <w:sz w:val="22"/>
          <w:szCs w:val="22"/>
        </w:rPr>
        <w:t xml:space="preserve">, </w:t>
      </w:r>
      <w:r w:rsidRPr="00A50693">
        <w:rPr>
          <w:rFonts w:asciiTheme="minorHAnsi" w:hAnsiTheme="minorHAnsi" w:cstheme="minorHAnsi"/>
          <w:i/>
          <w:iCs/>
          <w:sz w:val="22"/>
          <w:szCs w:val="22"/>
        </w:rPr>
        <w:t>43</w:t>
      </w:r>
      <w:r w:rsidRPr="00A50693">
        <w:rPr>
          <w:rFonts w:asciiTheme="minorHAnsi" w:hAnsiTheme="minorHAnsi" w:cstheme="minorHAnsi"/>
          <w:sz w:val="22"/>
          <w:szCs w:val="22"/>
        </w:rPr>
        <w:t>(1), 6–13. https://doi.org/10.1007/s10608-018-9951-4</w:t>
      </w:r>
    </w:p>
    <w:p w14:paraId="49F85729" w14:textId="77777777" w:rsidR="007617A5" w:rsidRPr="00A50693" w:rsidRDefault="007617A5"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 xml:space="preserve">Kanner, A. M. (2003). Depression in epilepsy: prevalence, clinical semiology, pathogenic mechanisms, and treatment. </w:t>
      </w:r>
      <w:r w:rsidRPr="00A50693">
        <w:rPr>
          <w:rFonts w:asciiTheme="minorHAnsi" w:hAnsiTheme="minorHAnsi" w:cstheme="minorHAnsi"/>
          <w:i/>
          <w:iCs/>
          <w:sz w:val="22"/>
          <w:szCs w:val="22"/>
        </w:rPr>
        <w:t>Biological Psychiatry</w:t>
      </w:r>
      <w:r w:rsidRPr="00A50693">
        <w:rPr>
          <w:rFonts w:asciiTheme="minorHAnsi" w:hAnsiTheme="minorHAnsi" w:cstheme="minorHAnsi"/>
          <w:sz w:val="22"/>
          <w:szCs w:val="22"/>
        </w:rPr>
        <w:t xml:space="preserve">, </w:t>
      </w:r>
      <w:r w:rsidRPr="00A50693">
        <w:rPr>
          <w:rFonts w:asciiTheme="minorHAnsi" w:hAnsiTheme="minorHAnsi" w:cstheme="minorHAnsi"/>
          <w:i/>
          <w:iCs/>
          <w:sz w:val="22"/>
          <w:szCs w:val="22"/>
        </w:rPr>
        <w:t>54</w:t>
      </w:r>
      <w:r w:rsidRPr="00A50693">
        <w:rPr>
          <w:rFonts w:asciiTheme="minorHAnsi" w:hAnsiTheme="minorHAnsi" w:cstheme="minorHAnsi"/>
          <w:sz w:val="22"/>
          <w:szCs w:val="22"/>
        </w:rPr>
        <w:t>(3), 388–398. https://doi.org/10.1016/s0006-3223(03)00469-4</w:t>
      </w:r>
    </w:p>
    <w:p w14:paraId="57348D5F" w14:textId="77777777" w:rsidR="007617A5" w:rsidRPr="00A50693" w:rsidRDefault="007617A5"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 xml:space="preserve">Kroenke, K., Spitzer, R. L., &amp; Williams, J. B. W. (2001). The PHQ-9: Validity of a brief depression severity measure. </w:t>
      </w:r>
      <w:r w:rsidRPr="00A50693">
        <w:rPr>
          <w:rFonts w:asciiTheme="minorHAnsi" w:hAnsiTheme="minorHAnsi" w:cstheme="minorHAnsi"/>
          <w:i/>
          <w:iCs/>
          <w:sz w:val="22"/>
          <w:szCs w:val="22"/>
        </w:rPr>
        <w:t>Journal of General Internal Medicine</w:t>
      </w:r>
      <w:r w:rsidRPr="00A50693">
        <w:rPr>
          <w:rFonts w:asciiTheme="minorHAnsi" w:hAnsiTheme="minorHAnsi" w:cstheme="minorHAnsi"/>
          <w:sz w:val="22"/>
          <w:szCs w:val="22"/>
        </w:rPr>
        <w:t xml:space="preserve">, </w:t>
      </w:r>
      <w:r w:rsidRPr="00A50693">
        <w:rPr>
          <w:rFonts w:asciiTheme="minorHAnsi" w:hAnsiTheme="minorHAnsi" w:cstheme="minorHAnsi"/>
          <w:i/>
          <w:iCs/>
          <w:sz w:val="22"/>
          <w:szCs w:val="22"/>
        </w:rPr>
        <w:t>16</w:t>
      </w:r>
      <w:r w:rsidRPr="00A50693">
        <w:rPr>
          <w:rFonts w:asciiTheme="minorHAnsi" w:hAnsiTheme="minorHAnsi" w:cstheme="minorHAnsi"/>
          <w:sz w:val="22"/>
          <w:szCs w:val="22"/>
        </w:rPr>
        <w:t>(9), 606–613. https://doi.org/10.1046/j.1525-1497.2001.016009606.x</w:t>
      </w:r>
    </w:p>
    <w:p w14:paraId="1620484F" w14:textId="77777777" w:rsidR="007617A5" w:rsidRPr="00A50693" w:rsidRDefault="007617A5"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 xml:space="preserve">Kroenke, K., Spitzer, R. L., &amp; Williams, J. B. W. (2002). The PHQ-15: Validity of a New Measure for Evaluating the Severity of Somatic Symptoms. </w:t>
      </w:r>
      <w:r w:rsidRPr="00A50693">
        <w:rPr>
          <w:rFonts w:asciiTheme="minorHAnsi" w:hAnsiTheme="minorHAnsi" w:cstheme="minorHAnsi"/>
          <w:i/>
          <w:iCs/>
          <w:sz w:val="22"/>
          <w:szCs w:val="22"/>
        </w:rPr>
        <w:t>Psychosomatic Medicine</w:t>
      </w:r>
      <w:r w:rsidRPr="00A50693">
        <w:rPr>
          <w:rFonts w:asciiTheme="minorHAnsi" w:hAnsiTheme="minorHAnsi" w:cstheme="minorHAnsi"/>
          <w:sz w:val="22"/>
          <w:szCs w:val="22"/>
        </w:rPr>
        <w:t xml:space="preserve">, </w:t>
      </w:r>
      <w:r w:rsidRPr="00A50693">
        <w:rPr>
          <w:rFonts w:asciiTheme="minorHAnsi" w:hAnsiTheme="minorHAnsi" w:cstheme="minorHAnsi"/>
          <w:i/>
          <w:iCs/>
          <w:sz w:val="22"/>
          <w:szCs w:val="22"/>
        </w:rPr>
        <w:t>64</w:t>
      </w:r>
      <w:r w:rsidRPr="00A50693">
        <w:rPr>
          <w:rFonts w:asciiTheme="minorHAnsi" w:hAnsiTheme="minorHAnsi" w:cstheme="minorHAnsi"/>
          <w:sz w:val="22"/>
          <w:szCs w:val="22"/>
        </w:rPr>
        <w:t>(2), 258–266. https://doi.org/10.1097/00006842-200203000-00008</w:t>
      </w:r>
    </w:p>
    <w:p w14:paraId="6F82CD85" w14:textId="77777777" w:rsidR="007617A5" w:rsidRPr="00A50693" w:rsidRDefault="007617A5"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 xml:space="preserve">Kwon, O.-Y., &amp; Park, S.-P. (2014). Depression and Anxiety in People with Epilepsy. </w:t>
      </w:r>
      <w:r w:rsidRPr="00A50693">
        <w:rPr>
          <w:rFonts w:asciiTheme="minorHAnsi" w:hAnsiTheme="minorHAnsi" w:cstheme="minorHAnsi"/>
          <w:i/>
          <w:iCs/>
          <w:sz w:val="22"/>
          <w:szCs w:val="22"/>
        </w:rPr>
        <w:t>Journal of Clinical Neurology</w:t>
      </w:r>
      <w:r w:rsidRPr="00A50693">
        <w:rPr>
          <w:rFonts w:asciiTheme="minorHAnsi" w:hAnsiTheme="minorHAnsi" w:cstheme="minorHAnsi"/>
          <w:sz w:val="22"/>
          <w:szCs w:val="22"/>
        </w:rPr>
        <w:t xml:space="preserve">, </w:t>
      </w:r>
      <w:r w:rsidRPr="00A50693">
        <w:rPr>
          <w:rFonts w:asciiTheme="minorHAnsi" w:hAnsiTheme="minorHAnsi" w:cstheme="minorHAnsi"/>
          <w:i/>
          <w:iCs/>
          <w:sz w:val="22"/>
          <w:szCs w:val="22"/>
        </w:rPr>
        <w:t>10</w:t>
      </w:r>
      <w:r w:rsidRPr="00A50693">
        <w:rPr>
          <w:rFonts w:asciiTheme="minorHAnsi" w:hAnsiTheme="minorHAnsi" w:cstheme="minorHAnsi"/>
          <w:sz w:val="22"/>
          <w:szCs w:val="22"/>
        </w:rPr>
        <w:t>(3), 175. https://doi.org/10.3988/jcn.2014.10.3.175</w:t>
      </w:r>
    </w:p>
    <w:p w14:paraId="08136AD2" w14:textId="77777777" w:rsidR="007617A5" w:rsidRPr="00A50693" w:rsidRDefault="007617A5"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 xml:space="preserve">Löwe, B., Spitzer, R. L., Williams, J. B. W., Mussell, M., Schellberg, D., &amp; Kroenke, K. (2008). Depression, anxiety and somatization in primary care: syndrome overlap and functional impairment. </w:t>
      </w:r>
      <w:r w:rsidRPr="00A50693">
        <w:rPr>
          <w:rFonts w:asciiTheme="minorHAnsi" w:hAnsiTheme="minorHAnsi" w:cstheme="minorHAnsi"/>
          <w:i/>
          <w:iCs/>
          <w:sz w:val="22"/>
          <w:szCs w:val="22"/>
        </w:rPr>
        <w:t>General Hospital Psychiatry</w:t>
      </w:r>
      <w:r w:rsidRPr="00A50693">
        <w:rPr>
          <w:rFonts w:asciiTheme="minorHAnsi" w:hAnsiTheme="minorHAnsi" w:cstheme="minorHAnsi"/>
          <w:sz w:val="22"/>
          <w:szCs w:val="22"/>
        </w:rPr>
        <w:t xml:space="preserve">, </w:t>
      </w:r>
      <w:r w:rsidRPr="00A50693">
        <w:rPr>
          <w:rFonts w:asciiTheme="minorHAnsi" w:hAnsiTheme="minorHAnsi" w:cstheme="minorHAnsi"/>
          <w:i/>
          <w:iCs/>
          <w:sz w:val="22"/>
          <w:szCs w:val="22"/>
        </w:rPr>
        <w:t>30</w:t>
      </w:r>
      <w:r w:rsidRPr="00A50693">
        <w:rPr>
          <w:rFonts w:asciiTheme="minorHAnsi" w:hAnsiTheme="minorHAnsi" w:cstheme="minorHAnsi"/>
          <w:sz w:val="22"/>
          <w:szCs w:val="22"/>
        </w:rPr>
        <w:t>(3), 191–199. https://doi.org/10.1016/j.genhosppsych.2008.01.001</w:t>
      </w:r>
    </w:p>
    <w:p w14:paraId="6BF5A55F" w14:textId="77777777" w:rsidR="007617A5" w:rsidRPr="00A50693" w:rsidRDefault="007617A5"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 xml:space="preserve">Myers, L., Trobliger, R., Bortnik, K., Zeng, R., Saal, E., &amp; Lancman, M. (2019). Psychological trauma, somatization, dissociation, and psychiatric comorbidities in patients with psychogenic nonepileptic seizures compared with those in patients with intractable partial epilepsy. </w:t>
      </w:r>
      <w:r w:rsidRPr="00A50693">
        <w:rPr>
          <w:rFonts w:asciiTheme="minorHAnsi" w:hAnsiTheme="minorHAnsi" w:cstheme="minorHAnsi"/>
          <w:i/>
          <w:iCs/>
          <w:sz w:val="22"/>
          <w:szCs w:val="22"/>
        </w:rPr>
        <w:t>Epilepsy &amp; Behavior</w:t>
      </w:r>
      <w:r w:rsidRPr="00A50693">
        <w:rPr>
          <w:rFonts w:asciiTheme="minorHAnsi" w:hAnsiTheme="minorHAnsi" w:cstheme="minorHAnsi"/>
          <w:sz w:val="22"/>
          <w:szCs w:val="22"/>
        </w:rPr>
        <w:t xml:space="preserve">, </w:t>
      </w:r>
      <w:r w:rsidRPr="00A50693">
        <w:rPr>
          <w:rFonts w:asciiTheme="minorHAnsi" w:hAnsiTheme="minorHAnsi" w:cstheme="minorHAnsi"/>
          <w:i/>
          <w:iCs/>
          <w:sz w:val="22"/>
          <w:szCs w:val="22"/>
        </w:rPr>
        <w:t>92</w:t>
      </w:r>
      <w:r w:rsidRPr="00A50693">
        <w:rPr>
          <w:rFonts w:asciiTheme="minorHAnsi" w:hAnsiTheme="minorHAnsi" w:cstheme="minorHAnsi"/>
          <w:sz w:val="22"/>
          <w:szCs w:val="22"/>
        </w:rPr>
        <w:t>, 108–113. https://doi.org/10.1016/j.yebeh.2018.12.027</w:t>
      </w:r>
    </w:p>
    <w:p w14:paraId="49D6185C" w14:textId="77777777" w:rsidR="007617A5" w:rsidRPr="00A50693" w:rsidRDefault="007617A5"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 xml:space="preserve">Non-Epileptic Attacks. (2022). </w:t>
      </w:r>
      <w:r w:rsidRPr="00A50693">
        <w:rPr>
          <w:rFonts w:asciiTheme="minorHAnsi" w:hAnsiTheme="minorHAnsi" w:cstheme="minorHAnsi"/>
          <w:i/>
          <w:iCs/>
          <w:sz w:val="22"/>
          <w:szCs w:val="22"/>
        </w:rPr>
        <w:t>Non-Epileptic Attacks</w:t>
      </w:r>
      <w:r w:rsidRPr="00A50693">
        <w:rPr>
          <w:rFonts w:asciiTheme="minorHAnsi" w:hAnsiTheme="minorHAnsi" w:cstheme="minorHAnsi"/>
          <w:sz w:val="22"/>
          <w:szCs w:val="22"/>
        </w:rPr>
        <w:t>. Sites.google.com. https://sites.google.com/sheffield.ac.uk/non-epileptic-attacks/home</w:t>
      </w:r>
    </w:p>
    <w:p w14:paraId="35715C29" w14:textId="77777777" w:rsidR="007617A5" w:rsidRPr="00A50693" w:rsidRDefault="007617A5"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 xml:space="preserve">Perez, D. L. (2020). The CODES trial for dissociative seizures: a landmark study and inflection point. </w:t>
      </w:r>
      <w:r w:rsidRPr="00A50693">
        <w:rPr>
          <w:rFonts w:asciiTheme="minorHAnsi" w:hAnsiTheme="minorHAnsi" w:cstheme="minorHAnsi"/>
          <w:i/>
          <w:iCs/>
          <w:sz w:val="22"/>
          <w:szCs w:val="22"/>
        </w:rPr>
        <w:t>The Lancet Psychiatry</w:t>
      </w:r>
      <w:r w:rsidRPr="00A50693">
        <w:rPr>
          <w:rFonts w:asciiTheme="minorHAnsi" w:hAnsiTheme="minorHAnsi" w:cstheme="minorHAnsi"/>
          <w:sz w:val="22"/>
          <w:szCs w:val="22"/>
        </w:rPr>
        <w:t xml:space="preserve">, </w:t>
      </w:r>
      <w:r w:rsidRPr="00A50693">
        <w:rPr>
          <w:rFonts w:asciiTheme="minorHAnsi" w:hAnsiTheme="minorHAnsi" w:cstheme="minorHAnsi"/>
          <w:i/>
          <w:iCs/>
          <w:sz w:val="22"/>
          <w:szCs w:val="22"/>
        </w:rPr>
        <w:t>7</w:t>
      </w:r>
      <w:r w:rsidRPr="00A50693">
        <w:rPr>
          <w:rFonts w:asciiTheme="minorHAnsi" w:hAnsiTheme="minorHAnsi" w:cstheme="minorHAnsi"/>
          <w:sz w:val="22"/>
          <w:szCs w:val="22"/>
        </w:rPr>
        <w:t>(6), 464–465. https://doi.org/10.1016/s2215-0366(20)30143-7</w:t>
      </w:r>
    </w:p>
    <w:p w14:paraId="58E96975" w14:textId="77777777" w:rsidR="007617A5" w:rsidRPr="00A50693" w:rsidRDefault="007617A5"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 xml:space="preserve">Plioplys, S., Doss, J., Siddarth, P., Bursch, B., Falcone, T., Forgey, M., Hinman, K., LaFrance, W. C., Laptook, R., Shaw, R. J., Weisbrot, D. M., Willis, M. D., &amp; Caplan, R. (2014). A multisite controlled study of risk factors in pediatric psychogenic nonepileptic seizures. </w:t>
      </w:r>
      <w:r w:rsidRPr="00A50693">
        <w:rPr>
          <w:rFonts w:asciiTheme="minorHAnsi" w:hAnsiTheme="minorHAnsi" w:cstheme="minorHAnsi"/>
          <w:i/>
          <w:iCs/>
          <w:sz w:val="22"/>
          <w:szCs w:val="22"/>
        </w:rPr>
        <w:t>Epilepsia</w:t>
      </w:r>
      <w:r w:rsidRPr="00A50693">
        <w:rPr>
          <w:rFonts w:asciiTheme="minorHAnsi" w:hAnsiTheme="minorHAnsi" w:cstheme="minorHAnsi"/>
          <w:sz w:val="22"/>
          <w:szCs w:val="22"/>
        </w:rPr>
        <w:t xml:space="preserve">, </w:t>
      </w:r>
      <w:r w:rsidRPr="00A50693">
        <w:rPr>
          <w:rFonts w:asciiTheme="minorHAnsi" w:hAnsiTheme="minorHAnsi" w:cstheme="minorHAnsi"/>
          <w:i/>
          <w:iCs/>
          <w:sz w:val="22"/>
          <w:szCs w:val="22"/>
        </w:rPr>
        <w:t>55</w:t>
      </w:r>
      <w:r w:rsidRPr="00A50693">
        <w:rPr>
          <w:rFonts w:asciiTheme="minorHAnsi" w:hAnsiTheme="minorHAnsi" w:cstheme="minorHAnsi"/>
          <w:sz w:val="22"/>
          <w:szCs w:val="22"/>
        </w:rPr>
        <w:t>(11), 1739–1747. https://doi.org/10.1111/epi.12773</w:t>
      </w:r>
    </w:p>
    <w:p w14:paraId="0D7FA22C" w14:textId="77777777" w:rsidR="007617A5" w:rsidRPr="00A50693" w:rsidRDefault="007617A5"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 xml:space="preserve">Plioplys, S., Doss, J., Siddarth, P., Bursch, B., Falcone, T., Forgey, M., Hinman, K., LaFrance, W. C., Laptook, R., Shaw, R. J., Weisbrot, D. M., Willis, M. D., &amp; Caplan, R. (2016). Risk factors for comorbid psychopathology in youth with psychogenic nonepileptic seizures. </w:t>
      </w:r>
      <w:r w:rsidRPr="00A50693">
        <w:rPr>
          <w:rFonts w:asciiTheme="minorHAnsi" w:hAnsiTheme="minorHAnsi" w:cstheme="minorHAnsi"/>
          <w:i/>
          <w:iCs/>
          <w:sz w:val="22"/>
          <w:szCs w:val="22"/>
        </w:rPr>
        <w:t>Seizure</w:t>
      </w:r>
      <w:r w:rsidRPr="00A50693">
        <w:rPr>
          <w:rFonts w:asciiTheme="minorHAnsi" w:hAnsiTheme="minorHAnsi" w:cstheme="minorHAnsi"/>
          <w:sz w:val="22"/>
          <w:szCs w:val="22"/>
        </w:rPr>
        <w:t xml:space="preserve">, </w:t>
      </w:r>
      <w:r w:rsidRPr="00A50693">
        <w:rPr>
          <w:rFonts w:asciiTheme="minorHAnsi" w:hAnsiTheme="minorHAnsi" w:cstheme="minorHAnsi"/>
          <w:i/>
          <w:iCs/>
          <w:sz w:val="22"/>
          <w:szCs w:val="22"/>
        </w:rPr>
        <w:t>38</w:t>
      </w:r>
      <w:r w:rsidRPr="00A50693">
        <w:rPr>
          <w:rFonts w:asciiTheme="minorHAnsi" w:hAnsiTheme="minorHAnsi" w:cstheme="minorHAnsi"/>
          <w:sz w:val="22"/>
          <w:szCs w:val="22"/>
        </w:rPr>
        <w:t>, 32–37. https://doi.org/10.1016/j.seizure.2016.03.012</w:t>
      </w:r>
    </w:p>
    <w:p w14:paraId="747D1E57" w14:textId="77777777" w:rsidR="007617A5" w:rsidRPr="00A50693" w:rsidRDefault="007617A5"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 xml:space="preserve">Rawlings, G. H., &amp; Reuber, M. (2016). What patients say about living with psychogenic nonepileptic seizures: A systematic synthesis of qualitative studies. </w:t>
      </w:r>
      <w:r w:rsidRPr="00A50693">
        <w:rPr>
          <w:rFonts w:asciiTheme="minorHAnsi" w:hAnsiTheme="minorHAnsi" w:cstheme="minorHAnsi"/>
          <w:i/>
          <w:iCs/>
          <w:sz w:val="22"/>
          <w:szCs w:val="22"/>
        </w:rPr>
        <w:t>Seizure</w:t>
      </w:r>
      <w:r w:rsidRPr="00A50693">
        <w:rPr>
          <w:rFonts w:asciiTheme="minorHAnsi" w:hAnsiTheme="minorHAnsi" w:cstheme="minorHAnsi"/>
          <w:sz w:val="22"/>
          <w:szCs w:val="22"/>
        </w:rPr>
        <w:t xml:space="preserve">, </w:t>
      </w:r>
      <w:r w:rsidRPr="00A50693">
        <w:rPr>
          <w:rFonts w:asciiTheme="minorHAnsi" w:hAnsiTheme="minorHAnsi" w:cstheme="minorHAnsi"/>
          <w:i/>
          <w:iCs/>
          <w:sz w:val="22"/>
          <w:szCs w:val="22"/>
        </w:rPr>
        <w:t>41</w:t>
      </w:r>
      <w:r w:rsidRPr="00A50693">
        <w:rPr>
          <w:rFonts w:asciiTheme="minorHAnsi" w:hAnsiTheme="minorHAnsi" w:cstheme="minorHAnsi"/>
          <w:sz w:val="22"/>
          <w:szCs w:val="22"/>
        </w:rPr>
        <w:t>, 100–111. https://doi.org/10.1016/j.seizure.2016.07.014</w:t>
      </w:r>
    </w:p>
    <w:p w14:paraId="7F01DDD2" w14:textId="77777777" w:rsidR="007617A5" w:rsidRPr="00A50693" w:rsidRDefault="007617A5"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 xml:space="preserve">Spitzer, R. L., Kroenke, K., Williams, J. B. W., &amp; Löwe, B. (2006). A Brief Measure for Assessing Generalized Anxiety Disorder. </w:t>
      </w:r>
      <w:r w:rsidRPr="00A50693">
        <w:rPr>
          <w:rFonts w:asciiTheme="minorHAnsi" w:hAnsiTheme="minorHAnsi" w:cstheme="minorHAnsi"/>
          <w:i/>
          <w:iCs/>
          <w:sz w:val="22"/>
          <w:szCs w:val="22"/>
        </w:rPr>
        <w:t>Archives of Internal Medicine</w:t>
      </w:r>
      <w:r w:rsidRPr="00A50693">
        <w:rPr>
          <w:rFonts w:asciiTheme="minorHAnsi" w:hAnsiTheme="minorHAnsi" w:cstheme="minorHAnsi"/>
          <w:sz w:val="22"/>
          <w:szCs w:val="22"/>
        </w:rPr>
        <w:t xml:space="preserve">, </w:t>
      </w:r>
      <w:r w:rsidRPr="00A50693">
        <w:rPr>
          <w:rFonts w:asciiTheme="minorHAnsi" w:hAnsiTheme="minorHAnsi" w:cstheme="minorHAnsi"/>
          <w:i/>
          <w:iCs/>
          <w:sz w:val="22"/>
          <w:szCs w:val="22"/>
        </w:rPr>
        <w:t>166</w:t>
      </w:r>
      <w:r w:rsidRPr="00A50693">
        <w:rPr>
          <w:rFonts w:asciiTheme="minorHAnsi" w:hAnsiTheme="minorHAnsi" w:cstheme="minorHAnsi"/>
          <w:sz w:val="22"/>
          <w:szCs w:val="22"/>
        </w:rPr>
        <w:t>(10), 1092. https://doi.org/10.1001/archinte.166.10.1092</w:t>
      </w:r>
    </w:p>
    <w:p w14:paraId="05A7C8FD" w14:textId="77777777" w:rsidR="007617A5" w:rsidRPr="00A50693" w:rsidRDefault="007617A5"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 xml:space="preserve">Taylor, S., Zvolensky, M. J., Cox, B. J., Deacon, B., Heimberg, R. G., Ledley, D. R., Abramowitz, J. S., Holaway, R. M., Sandin, B., Stewart, S. H., Coles, M., Eng, W., Daly, E. S., Arrindell, W. A., Bouvard, M., &amp; Cardenas, S. J. (2007). Robust dimensions of anxiety sensitivity: Development and initial validation of the Anxiety Sensitivity Index-3. </w:t>
      </w:r>
      <w:r w:rsidRPr="00A50693">
        <w:rPr>
          <w:rFonts w:asciiTheme="minorHAnsi" w:hAnsiTheme="minorHAnsi" w:cstheme="minorHAnsi"/>
          <w:i/>
          <w:iCs/>
          <w:sz w:val="22"/>
          <w:szCs w:val="22"/>
        </w:rPr>
        <w:t>Psychological Assessment</w:t>
      </w:r>
      <w:r w:rsidRPr="00A50693">
        <w:rPr>
          <w:rFonts w:asciiTheme="minorHAnsi" w:hAnsiTheme="minorHAnsi" w:cstheme="minorHAnsi"/>
          <w:sz w:val="22"/>
          <w:szCs w:val="22"/>
        </w:rPr>
        <w:t xml:space="preserve">, </w:t>
      </w:r>
      <w:r w:rsidRPr="00A50693">
        <w:rPr>
          <w:rFonts w:asciiTheme="minorHAnsi" w:hAnsiTheme="minorHAnsi" w:cstheme="minorHAnsi"/>
          <w:i/>
          <w:iCs/>
          <w:sz w:val="22"/>
          <w:szCs w:val="22"/>
        </w:rPr>
        <w:t>19</w:t>
      </w:r>
      <w:r w:rsidRPr="00A50693">
        <w:rPr>
          <w:rFonts w:asciiTheme="minorHAnsi" w:hAnsiTheme="minorHAnsi" w:cstheme="minorHAnsi"/>
          <w:sz w:val="22"/>
          <w:szCs w:val="22"/>
        </w:rPr>
        <w:t>(2), 176–188. https://doi.org/10.1037/1040-3590.19.2.176</w:t>
      </w:r>
    </w:p>
    <w:p w14:paraId="10D64397" w14:textId="77777777" w:rsidR="007617A5" w:rsidRPr="00A50693" w:rsidRDefault="007617A5"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 xml:space="preserve">Urbanek, M., Harvey, M., McGowan, J., &amp; Agrawal, N. (2014). Regulation of emotions in psychogenic nonepileptic seizures. </w:t>
      </w:r>
      <w:r w:rsidRPr="00A50693">
        <w:rPr>
          <w:rFonts w:asciiTheme="minorHAnsi" w:hAnsiTheme="minorHAnsi" w:cstheme="minorHAnsi"/>
          <w:i/>
          <w:iCs/>
          <w:sz w:val="22"/>
          <w:szCs w:val="22"/>
        </w:rPr>
        <w:t>Epilepsy &amp; Behavior</w:t>
      </w:r>
      <w:r w:rsidRPr="00A50693">
        <w:rPr>
          <w:rFonts w:asciiTheme="minorHAnsi" w:hAnsiTheme="minorHAnsi" w:cstheme="minorHAnsi"/>
          <w:sz w:val="22"/>
          <w:szCs w:val="22"/>
        </w:rPr>
        <w:t xml:space="preserve">, </w:t>
      </w:r>
      <w:r w:rsidRPr="00A50693">
        <w:rPr>
          <w:rFonts w:asciiTheme="minorHAnsi" w:hAnsiTheme="minorHAnsi" w:cstheme="minorHAnsi"/>
          <w:i/>
          <w:iCs/>
          <w:sz w:val="22"/>
          <w:szCs w:val="22"/>
        </w:rPr>
        <w:t>37</w:t>
      </w:r>
      <w:r w:rsidRPr="00A50693">
        <w:rPr>
          <w:rFonts w:asciiTheme="minorHAnsi" w:hAnsiTheme="minorHAnsi" w:cstheme="minorHAnsi"/>
          <w:sz w:val="22"/>
          <w:szCs w:val="22"/>
        </w:rPr>
        <w:t>, 110–115. https://doi.org/10.1016/j.yebeh.2014.06.004</w:t>
      </w:r>
    </w:p>
    <w:p w14:paraId="2EE556B0" w14:textId="25705831" w:rsidR="00054F3F" w:rsidRPr="00A50693" w:rsidRDefault="00054F3F"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Vilyte, G., &amp; Pretorius, C. (2019). Personality traits, illness behaviors, and psychiatric comorbidity in individuals with psychogenic nonepileptic seizures (PNES), epilepsy, and other nonepileptic seizures (oNES): Differentiating between the conditions. Epilepsy &amp; Behavior, 98, 210–219. https://doi.org/10.1016/j.yebeh.2019.05.043</w:t>
      </w:r>
    </w:p>
    <w:p w14:paraId="06EBBBBF" w14:textId="3A2AACA6" w:rsidR="007617A5" w:rsidRPr="00A50693" w:rsidRDefault="007617A5"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 xml:space="preserve">Whitfield, A., Walsh, S., Levita, L., &amp; Reuber, M. (2020). Catastrophising and repetitive negative thinking tendencies in patients with psychogenic non-epileptic seizures or epilepsy. </w:t>
      </w:r>
      <w:r w:rsidRPr="00A50693">
        <w:rPr>
          <w:rFonts w:asciiTheme="minorHAnsi" w:hAnsiTheme="minorHAnsi" w:cstheme="minorHAnsi"/>
          <w:i/>
          <w:iCs/>
          <w:sz w:val="22"/>
          <w:szCs w:val="22"/>
        </w:rPr>
        <w:t>Seizure</w:t>
      </w:r>
      <w:r w:rsidRPr="00A50693">
        <w:rPr>
          <w:rFonts w:asciiTheme="minorHAnsi" w:hAnsiTheme="minorHAnsi" w:cstheme="minorHAnsi"/>
          <w:sz w:val="22"/>
          <w:szCs w:val="22"/>
        </w:rPr>
        <w:t xml:space="preserve">, </w:t>
      </w:r>
      <w:r w:rsidRPr="00A50693">
        <w:rPr>
          <w:rFonts w:asciiTheme="minorHAnsi" w:hAnsiTheme="minorHAnsi" w:cstheme="minorHAnsi"/>
          <w:i/>
          <w:iCs/>
          <w:sz w:val="22"/>
          <w:szCs w:val="22"/>
        </w:rPr>
        <w:t>83</w:t>
      </w:r>
      <w:r w:rsidRPr="00A50693">
        <w:rPr>
          <w:rFonts w:asciiTheme="minorHAnsi" w:hAnsiTheme="minorHAnsi" w:cstheme="minorHAnsi"/>
          <w:sz w:val="22"/>
          <w:szCs w:val="22"/>
        </w:rPr>
        <w:t xml:space="preserve">, 57–62. </w:t>
      </w:r>
      <w:hyperlink r:id="rId204" w:history="1">
        <w:r w:rsidR="00602898" w:rsidRPr="00A50693">
          <w:rPr>
            <w:rStyle w:val="Hyperlink"/>
            <w:rFonts w:asciiTheme="minorHAnsi" w:hAnsiTheme="minorHAnsi" w:cstheme="minorHAnsi"/>
            <w:sz w:val="22"/>
            <w:szCs w:val="22"/>
          </w:rPr>
          <w:t>https://doi.org/10.1016/j.seizure.2020.09.034</w:t>
        </w:r>
      </w:hyperlink>
    </w:p>
    <w:p w14:paraId="7AE0AD98" w14:textId="1DE415FF" w:rsidR="00602898" w:rsidRPr="00A50693" w:rsidRDefault="00602898"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Wood, R. Ll., Maclean, L., &amp; Pallister, I. (2011). Psychological factors contributing to perceptions pain intensity after acute orthopaedic injury. Injury, 42(11), 1214–1218. https://doi.org/10.1016/j.injury.2010.07.245</w:t>
      </w:r>
    </w:p>
    <w:p w14:paraId="1C8E313B" w14:textId="77777777" w:rsidR="007617A5" w:rsidRPr="00A50693" w:rsidRDefault="007617A5"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 xml:space="preserve">World Health Organization. (2023a, February 9). </w:t>
      </w:r>
      <w:r w:rsidRPr="00A50693">
        <w:rPr>
          <w:rFonts w:asciiTheme="minorHAnsi" w:hAnsiTheme="minorHAnsi" w:cstheme="minorHAnsi"/>
          <w:i/>
          <w:iCs/>
          <w:sz w:val="22"/>
          <w:szCs w:val="22"/>
        </w:rPr>
        <w:t>Epilepsy</w:t>
      </w:r>
      <w:r w:rsidRPr="00A50693">
        <w:rPr>
          <w:rFonts w:asciiTheme="minorHAnsi" w:hAnsiTheme="minorHAnsi" w:cstheme="minorHAnsi"/>
          <w:sz w:val="22"/>
          <w:szCs w:val="22"/>
        </w:rPr>
        <w:t>. Www.who.int. https://www.who.int/news-room/fact-sheets/detail/epilepsy#:~:text=Around%2050%20million%20people%20worldwide%20have%20epilepsy%2C%20making%20it%20one</w:t>
      </w:r>
    </w:p>
    <w:p w14:paraId="160369AC" w14:textId="77777777" w:rsidR="007617A5" w:rsidRPr="00A50693" w:rsidRDefault="007617A5" w:rsidP="00A53770">
      <w:pPr>
        <w:pStyle w:val="NormalWeb"/>
        <w:spacing w:before="0" w:beforeAutospacing="0" w:after="0" w:afterAutospacing="0" w:line="360" w:lineRule="auto"/>
        <w:ind w:left="720" w:firstLine="720"/>
        <w:jc w:val="both"/>
        <w:rPr>
          <w:rFonts w:asciiTheme="minorHAnsi" w:hAnsiTheme="minorHAnsi" w:cstheme="minorHAnsi"/>
          <w:sz w:val="22"/>
          <w:szCs w:val="22"/>
        </w:rPr>
      </w:pPr>
      <w:r w:rsidRPr="00A50693">
        <w:rPr>
          <w:rFonts w:asciiTheme="minorHAnsi" w:hAnsiTheme="minorHAnsi" w:cstheme="minorHAnsi"/>
          <w:sz w:val="22"/>
          <w:szCs w:val="22"/>
        </w:rPr>
        <w:t xml:space="preserve">World Health Organization. (2023b, March 31). </w:t>
      </w:r>
      <w:r w:rsidRPr="00A50693">
        <w:rPr>
          <w:rFonts w:asciiTheme="minorHAnsi" w:hAnsiTheme="minorHAnsi" w:cstheme="minorHAnsi"/>
          <w:i/>
          <w:iCs/>
          <w:sz w:val="22"/>
          <w:szCs w:val="22"/>
        </w:rPr>
        <w:t>Depressive Disorder (Depression)</w:t>
      </w:r>
      <w:r w:rsidRPr="00A50693">
        <w:rPr>
          <w:rFonts w:asciiTheme="minorHAnsi" w:hAnsiTheme="minorHAnsi" w:cstheme="minorHAnsi"/>
          <w:sz w:val="22"/>
          <w:szCs w:val="22"/>
        </w:rPr>
        <w:t>. World Health Organization. https://www.who.int/news-room/fact-sheets/detail/depression</w:t>
      </w:r>
    </w:p>
    <w:p w14:paraId="1BF998AB" w14:textId="77777777" w:rsidR="007617A5" w:rsidRPr="00CB3832" w:rsidRDefault="007617A5" w:rsidP="00A53770">
      <w:pPr>
        <w:spacing w:line="360" w:lineRule="auto"/>
        <w:ind w:firstLine="720"/>
        <w:jc w:val="both"/>
        <w:rPr>
          <w:rFonts w:cstheme="minorHAnsi"/>
        </w:rPr>
      </w:pPr>
    </w:p>
    <w:p w14:paraId="51629FE7" w14:textId="77777777" w:rsidR="007617A5" w:rsidRDefault="007617A5" w:rsidP="00436994">
      <w:pPr>
        <w:spacing w:line="360" w:lineRule="auto"/>
        <w:ind w:firstLine="720"/>
      </w:pPr>
    </w:p>
    <w:p w14:paraId="4F9D3B35" w14:textId="77777777" w:rsidR="009C3C86" w:rsidRPr="00A62F2F" w:rsidRDefault="009C3C86" w:rsidP="001435E1">
      <w:pPr>
        <w:rPr>
          <w:rFonts w:ascii="Arial" w:hAnsi="Arial" w:cs="Arial"/>
          <w:sz w:val="24"/>
          <w:szCs w:val="24"/>
        </w:rPr>
      </w:pPr>
    </w:p>
    <w:sectPr w:rsidR="009C3C86" w:rsidRPr="00A62F2F" w:rsidSect="009427A4">
      <w:headerReference w:type="default" r:id="rId20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71BAA" w14:textId="77777777" w:rsidR="005B2432" w:rsidRDefault="005B2432" w:rsidP="00834545">
      <w:pPr>
        <w:spacing w:after="0" w:line="240" w:lineRule="auto"/>
      </w:pPr>
      <w:r>
        <w:separator/>
      </w:r>
    </w:p>
  </w:endnote>
  <w:endnote w:type="continuationSeparator" w:id="0">
    <w:p w14:paraId="1392D50C" w14:textId="77777777" w:rsidR="005B2432" w:rsidRDefault="005B2432" w:rsidP="00834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180D8" w14:textId="77777777" w:rsidR="005B2432" w:rsidRDefault="005B2432" w:rsidP="00834545">
      <w:pPr>
        <w:spacing w:after="0" w:line="240" w:lineRule="auto"/>
      </w:pPr>
      <w:r>
        <w:separator/>
      </w:r>
    </w:p>
  </w:footnote>
  <w:footnote w:type="continuationSeparator" w:id="0">
    <w:p w14:paraId="15661FEE" w14:textId="77777777" w:rsidR="005B2432" w:rsidRDefault="005B2432" w:rsidP="008345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0587772"/>
      <w:docPartObj>
        <w:docPartGallery w:val="Page Numbers (Top of Page)"/>
        <w:docPartUnique/>
      </w:docPartObj>
    </w:sdtPr>
    <w:sdtEndPr>
      <w:rPr>
        <w:rFonts w:asciiTheme="minorHAnsi" w:hAnsiTheme="minorHAnsi" w:cstheme="minorHAnsi"/>
        <w:noProof/>
        <w:color w:val="auto"/>
        <w:sz w:val="18"/>
        <w:szCs w:val="18"/>
      </w:rPr>
    </w:sdtEndPr>
    <w:sdtContent>
      <w:p w14:paraId="7D7A05B8" w14:textId="763283D2" w:rsidR="000D292E" w:rsidRPr="004869DC" w:rsidRDefault="000D292E">
        <w:pPr>
          <w:pStyle w:val="Header"/>
          <w:jc w:val="right"/>
          <w:rPr>
            <w:rFonts w:asciiTheme="minorHAnsi" w:hAnsiTheme="minorHAnsi" w:cstheme="minorHAnsi"/>
            <w:color w:val="auto"/>
            <w:sz w:val="18"/>
            <w:szCs w:val="18"/>
          </w:rPr>
        </w:pPr>
        <w:r w:rsidRPr="004869DC">
          <w:rPr>
            <w:rFonts w:asciiTheme="minorHAnsi" w:hAnsiTheme="minorHAnsi" w:cstheme="minorHAnsi"/>
            <w:color w:val="auto"/>
            <w:sz w:val="18"/>
            <w:szCs w:val="18"/>
          </w:rPr>
          <w:fldChar w:fldCharType="begin"/>
        </w:r>
        <w:r w:rsidRPr="004869DC">
          <w:rPr>
            <w:rFonts w:asciiTheme="minorHAnsi" w:hAnsiTheme="minorHAnsi" w:cstheme="minorHAnsi"/>
            <w:color w:val="auto"/>
            <w:sz w:val="18"/>
            <w:szCs w:val="18"/>
          </w:rPr>
          <w:instrText xml:space="preserve"> PAGE   \* MERGEFORMAT </w:instrText>
        </w:r>
        <w:r w:rsidRPr="004869DC">
          <w:rPr>
            <w:rFonts w:asciiTheme="minorHAnsi" w:hAnsiTheme="minorHAnsi" w:cstheme="minorHAnsi"/>
            <w:color w:val="auto"/>
            <w:sz w:val="18"/>
            <w:szCs w:val="18"/>
          </w:rPr>
          <w:fldChar w:fldCharType="separate"/>
        </w:r>
        <w:r w:rsidR="00E60326">
          <w:rPr>
            <w:rFonts w:asciiTheme="minorHAnsi" w:hAnsiTheme="minorHAnsi" w:cstheme="minorHAnsi"/>
            <w:noProof/>
            <w:color w:val="auto"/>
            <w:sz w:val="18"/>
            <w:szCs w:val="18"/>
          </w:rPr>
          <w:t>11</w:t>
        </w:r>
        <w:r w:rsidRPr="004869DC">
          <w:rPr>
            <w:rFonts w:asciiTheme="minorHAnsi" w:hAnsiTheme="minorHAnsi" w:cstheme="minorHAnsi"/>
            <w:noProof/>
            <w:color w:val="auto"/>
            <w:sz w:val="18"/>
            <w:szCs w:val="18"/>
          </w:rPr>
          <w:fldChar w:fldCharType="end"/>
        </w:r>
      </w:p>
    </w:sdtContent>
  </w:sdt>
  <w:p w14:paraId="36CA1EBB" w14:textId="77777777" w:rsidR="000D292E" w:rsidRDefault="000D29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9495079"/>
      <w:docPartObj>
        <w:docPartGallery w:val="Page Numbers (Top of Page)"/>
        <w:docPartUnique/>
      </w:docPartObj>
    </w:sdtPr>
    <w:sdtEndPr>
      <w:rPr>
        <w:rFonts w:asciiTheme="minorHAnsi" w:hAnsiTheme="minorHAnsi" w:cstheme="minorHAnsi"/>
        <w:noProof/>
        <w:color w:val="auto"/>
        <w:sz w:val="22"/>
        <w:szCs w:val="22"/>
      </w:rPr>
    </w:sdtEndPr>
    <w:sdtContent>
      <w:p w14:paraId="230D648A" w14:textId="0F1EE8AA" w:rsidR="000D292E" w:rsidRPr="00E62C26" w:rsidRDefault="000D292E">
        <w:pPr>
          <w:pStyle w:val="Header"/>
          <w:jc w:val="right"/>
          <w:rPr>
            <w:rFonts w:asciiTheme="minorHAnsi" w:hAnsiTheme="minorHAnsi" w:cstheme="minorHAnsi"/>
            <w:color w:val="auto"/>
            <w:sz w:val="22"/>
            <w:szCs w:val="22"/>
          </w:rPr>
        </w:pPr>
        <w:r w:rsidRPr="00E62C26">
          <w:rPr>
            <w:rFonts w:asciiTheme="minorHAnsi" w:hAnsiTheme="minorHAnsi" w:cstheme="minorHAnsi"/>
            <w:color w:val="auto"/>
            <w:sz w:val="22"/>
            <w:szCs w:val="22"/>
          </w:rPr>
          <w:fldChar w:fldCharType="begin"/>
        </w:r>
        <w:r w:rsidRPr="00E62C26">
          <w:rPr>
            <w:rFonts w:asciiTheme="minorHAnsi" w:hAnsiTheme="minorHAnsi" w:cstheme="minorHAnsi"/>
            <w:color w:val="auto"/>
            <w:sz w:val="22"/>
            <w:szCs w:val="22"/>
          </w:rPr>
          <w:instrText xml:space="preserve"> PAGE   \* MERGEFORMAT </w:instrText>
        </w:r>
        <w:r w:rsidRPr="00E62C26">
          <w:rPr>
            <w:rFonts w:asciiTheme="minorHAnsi" w:hAnsiTheme="minorHAnsi" w:cstheme="minorHAnsi"/>
            <w:color w:val="auto"/>
            <w:sz w:val="22"/>
            <w:szCs w:val="22"/>
          </w:rPr>
          <w:fldChar w:fldCharType="separate"/>
        </w:r>
        <w:r w:rsidR="00A50693">
          <w:rPr>
            <w:rFonts w:asciiTheme="minorHAnsi" w:hAnsiTheme="minorHAnsi" w:cstheme="minorHAnsi"/>
            <w:noProof/>
            <w:color w:val="auto"/>
            <w:sz w:val="22"/>
            <w:szCs w:val="22"/>
          </w:rPr>
          <w:t>52</w:t>
        </w:r>
        <w:r w:rsidRPr="00E62C26">
          <w:rPr>
            <w:rFonts w:asciiTheme="minorHAnsi" w:hAnsiTheme="minorHAnsi" w:cstheme="minorHAnsi"/>
            <w:noProof/>
            <w:color w:val="auto"/>
            <w:sz w:val="22"/>
            <w:szCs w:val="22"/>
          </w:rPr>
          <w:fldChar w:fldCharType="end"/>
        </w:r>
      </w:p>
    </w:sdtContent>
  </w:sdt>
  <w:p w14:paraId="53D6D29B" w14:textId="77777777" w:rsidR="000D292E" w:rsidRDefault="000D29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C397D"/>
    <w:multiLevelType w:val="hybridMultilevel"/>
    <w:tmpl w:val="FA9E032E"/>
    <w:lvl w:ilvl="0" w:tplc="1082B226">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51556"/>
    <w:multiLevelType w:val="hybridMultilevel"/>
    <w:tmpl w:val="E78475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101D12"/>
    <w:multiLevelType w:val="hybridMultilevel"/>
    <w:tmpl w:val="07FA77AE"/>
    <w:lvl w:ilvl="0" w:tplc="CA326832">
      <w:start w:val="1"/>
      <w:numFmt w:val="bullet"/>
      <w:lvlText w:val="•"/>
      <w:lvlJc w:val="left"/>
      <w:pPr>
        <w:tabs>
          <w:tab w:val="num" w:pos="720"/>
        </w:tabs>
        <w:ind w:left="720" w:hanging="360"/>
      </w:pPr>
      <w:rPr>
        <w:rFonts w:ascii="Arial" w:hAnsi="Arial" w:hint="default"/>
      </w:rPr>
    </w:lvl>
    <w:lvl w:ilvl="1" w:tplc="B528647E" w:tentative="1">
      <w:start w:val="1"/>
      <w:numFmt w:val="bullet"/>
      <w:lvlText w:val="•"/>
      <w:lvlJc w:val="left"/>
      <w:pPr>
        <w:tabs>
          <w:tab w:val="num" w:pos="1440"/>
        </w:tabs>
        <w:ind w:left="1440" w:hanging="360"/>
      </w:pPr>
      <w:rPr>
        <w:rFonts w:ascii="Arial" w:hAnsi="Arial" w:hint="default"/>
      </w:rPr>
    </w:lvl>
    <w:lvl w:ilvl="2" w:tplc="C5B66118" w:tentative="1">
      <w:start w:val="1"/>
      <w:numFmt w:val="bullet"/>
      <w:lvlText w:val="•"/>
      <w:lvlJc w:val="left"/>
      <w:pPr>
        <w:tabs>
          <w:tab w:val="num" w:pos="2160"/>
        </w:tabs>
        <w:ind w:left="2160" w:hanging="360"/>
      </w:pPr>
      <w:rPr>
        <w:rFonts w:ascii="Arial" w:hAnsi="Arial" w:hint="default"/>
      </w:rPr>
    </w:lvl>
    <w:lvl w:ilvl="3" w:tplc="58FC2898" w:tentative="1">
      <w:start w:val="1"/>
      <w:numFmt w:val="bullet"/>
      <w:lvlText w:val="•"/>
      <w:lvlJc w:val="left"/>
      <w:pPr>
        <w:tabs>
          <w:tab w:val="num" w:pos="2880"/>
        </w:tabs>
        <w:ind w:left="2880" w:hanging="360"/>
      </w:pPr>
      <w:rPr>
        <w:rFonts w:ascii="Arial" w:hAnsi="Arial" w:hint="default"/>
      </w:rPr>
    </w:lvl>
    <w:lvl w:ilvl="4" w:tplc="CFD0D8B4" w:tentative="1">
      <w:start w:val="1"/>
      <w:numFmt w:val="bullet"/>
      <w:lvlText w:val="•"/>
      <w:lvlJc w:val="left"/>
      <w:pPr>
        <w:tabs>
          <w:tab w:val="num" w:pos="3600"/>
        </w:tabs>
        <w:ind w:left="3600" w:hanging="360"/>
      </w:pPr>
      <w:rPr>
        <w:rFonts w:ascii="Arial" w:hAnsi="Arial" w:hint="default"/>
      </w:rPr>
    </w:lvl>
    <w:lvl w:ilvl="5" w:tplc="2B34CC9E" w:tentative="1">
      <w:start w:val="1"/>
      <w:numFmt w:val="bullet"/>
      <w:lvlText w:val="•"/>
      <w:lvlJc w:val="left"/>
      <w:pPr>
        <w:tabs>
          <w:tab w:val="num" w:pos="4320"/>
        </w:tabs>
        <w:ind w:left="4320" w:hanging="360"/>
      </w:pPr>
      <w:rPr>
        <w:rFonts w:ascii="Arial" w:hAnsi="Arial" w:hint="default"/>
      </w:rPr>
    </w:lvl>
    <w:lvl w:ilvl="6" w:tplc="3D320A82" w:tentative="1">
      <w:start w:val="1"/>
      <w:numFmt w:val="bullet"/>
      <w:lvlText w:val="•"/>
      <w:lvlJc w:val="left"/>
      <w:pPr>
        <w:tabs>
          <w:tab w:val="num" w:pos="5040"/>
        </w:tabs>
        <w:ind w:left="5040" w:hanging="360"/>
      </w:pPr>
      <w:rPr>
        <w:rFonts w:ascii="Arial" w:hAnsi="Arial" w:hint="default"/>
      </w:rPr>
    </w:lvl>
    <w:lvl w:ilvl="7" w:tplc="69321CEE" w:tentative="1">
      <w:start w:val="1"/>
      <w:numFmt w:val="bullet"/>
      <w:lvlText w:val="•"/>
      <w:lvlJc w:val="left"/>
      <w:pPr>
        <w:tabs>
          <w:tab w:val="num" w:pos="5760"/>
        </w:tabs>
        <w:ind w:left="5760" w:hanging="360"/>
      </w:pPr>
      <w:rPr>
        <w:rFonts w:ascii="Arial" w:hAnsi="Arial" w:hint="default"/>
      </w:rPr>
    </w:lvl>
    <w:lvl w:ilvl="8" w:tplc="3ECC6BE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B951A4"/>
    <w:multiLevelType w:val="hybridMultilevel"/>
    <w:tmpl w:val="3DAA13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060ACF"/>
    <w:multiLevelType w:val="hybridMultilevel"/>
    <w:tmpl w:val="E32EF0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F92F16"/>
    <w:multiLevelType w:val="hybridMultilevel"/>
    <w:tmpl w:val="79227E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7E55D2"/>
    <w:multiLevelType w:val="hybridMultilevel"/>
    <w:tmpl w:val="29224466"/>
    <w:lvl w:ilvl="0" w:tplc="64A8F5AE">
      <w:start w:val="1"/>
      <w:numFmt w:val="bullet"/>
      <w:lvlText w:val="•"/>
      <w:lvlJc w:val="left"/>
      <w:pPr>
        <w:tabs>
          <w:tab w:val="num" w:pos="720"/>
        </w:tabs>
        <w:ind w:left="720" w:hanging="360"/>
      </w:pPr>
      <w:rPr>
        <w:rFonts w:ascii="Arial" w:hAnsi="Arial" w:hint="default"/>
      </w:rPr>
    </w:lvl>
    <w:lvl w:ilvl="1" w:tplc="DDF0FA7E" w:tentative="1">
      <w:start w:val="1"/>
      <w:numFmt w:val="bullet"/>
      <w:lvlText w:val="•"/>
      <w:lvlJc w:val="left"/>
      <w:pPr>
        <w:tabs>
          <w:tab w:val="num" w:pos="1440"/>
        </w:tabs>
        <w:ind w:left="1440" w:hanging="360"/>
      </w:pPr>
      <w:rPr>
        <w:rFonts w:ascii="Arial" w:hAnsi="Arial" w:hint="default"/>
      </w:rPr>
    </w:lvl>
    <w:lvl w:ilvl="2" w:tplc="651A1CF8" w:tentative="1">
      <w:start w:val="1"/>
      <w:numFmt w:val="bullet"/>
      <w:lvlText w:val="•"/>
      <w:lvlJc w:val="left"/>
      <w:pPr>
        <w:tabs>
          <w:tab w:val="num" w:pos="2160"/>
        </w:tabs>
        <w:ind w:left="2160" w:hanging="360"/>
      </w:pPr>
      <w:rPr>
        <w:rFonts w:ascii="Arial" w:hAnsi="Arial" w:hint="default"/>
      </w:rPr>
    </w:lvl>
    <w:lvl w:ilvl="3" w:tplc="C0589C82" w:tentative="1">
      <w:start w:val="1"/>
      <w:numFmt w:val="bullet"/>
      <w:lvlText w:val="•"/>
      <w:lvlJc w:val="left"/>
      <w:pPr>
        <w:tabs>
          <w:tab w:val="num" w:pos="2880"/>
        </w:tabs>
        <w:ind w:left="2880" w:hanging="360"/>
      </w:pPr>
      <w:rPr>
        <w:rFonts w:ascii="Arial" w:hAnsi="Arial" w:hint="default"/>
      </w:rPr>
    </w:lvl>
    <w:lvl w:ilvl="4" w:tplc="AE3EFFC6" w:tentative="1">
      <w:start w:val="1"/>
      <w:numFmt w:val="bullet"/>
      <w:lvlText w:val="•"/>
      <w:lvlJc w:val="left"/>
      <w:pPr>
        <w:tabs>
          <w:tab w:val="num" w:pos="3600"/>
        </w:tabs>
        <w:ind w:left="3600" w:hanging="360"/>
      </w:pPr>
      <w:rPr>
        <w:rFonts w:ascii="Arial" w:hAnsi="Arial" w:hint="default"/>
      </w:rPr>
    </w:lvl>
    <w:lvl w:ilvl="5" w:tplc="0820F6BC" w:tentative="1">
      <w:start w:val="1"/>
      <w:numFmt w:val="bullet"/>
      <w:lvlText w:val="•"/>
      <w:lvlJc w:val="left"/>
      <w:pPr>
        <w:tabs>
          <w:tab w:val="num" w:pos="4320"/>
        </w:tabs>
        <w:ind w:left="4320" w:hanging="360"/>
      </w:pPr>
      <w:rPr>
        <w:rFonts w:ascii="Arial" w:hAnsi="Arial" w:hint="default"/>
      </w:rPr>
    </w:lvl>
    <w:lvl w:ilvl="6" w:tplc="46382104" w:tentative="1">
      <w:start w:val="1"/>
      <w:numFmt w:val="bullet"/>
      <w:lvlText w:val="•"/>
      <w:lvlJc w:val="left"/>
      <w:pPr>
        <w:tabs>
          <w:tab w:val="num" w:pos="5040"/>
        </w:tabs>
        <w:ind w:left="5040" w:hanging="360"/>
      </w:pPr>
      <w:rPr>
        <w:rFonts w:ascii="Arial" w:hAnsi="Arial" w:hint="default"/>
      </w:rPr>
    </w:lvl>
    <w:lvl w:ilvl="7" w:tplc="FB7EAABA" w:tentative="1">
      <w:start w:val="1"/>
      <w:numFmt w:val="bullet"/>
      <w:lvlText w:val="•"/>
      <w:lvlJc w:val="left"/>
      <w:pPr>
        <w:tabs>
          <w:tab w:val="num" w:pos="5760"/>
        </w:tabs>
        <w:ind w:left="5760" w:hanging="360"/>
      </w:pPr>
      <w:rPr>
        <w:rFonts w:ascii="Arial" w:hAnsi="Arial" w:hint="default"/>
      </w:rPr>
    </w:lvl>
    <w:lvl w:ilvl="8" w:tplc="34A279F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F3E0D13"/>
    <w:multiLevelType w:val="hybridMultilevel"/>
    <w:tmpl w:val="A6E2A400"/>
    <w:lvl w:ilvl="0" w:tplc="3F283618">
      <w:start w:val="1"/>
      <w:numFmt w:val="bullet"/>
      <w:lvlText w:val="•"/>
      <w:lvlJc w:val="left"/>
      <w:pPr>
        <w:tabs>
          <w:tab w:val="num" w:pos="720"/>
        </w:tabs>
        <w:ind w:left="720" w:hanging="360"/>
      </w:pPr>
      <w:rPr>
        <w:rFonts w:ascii="Arial" w:hAnsi="Arial" w:hint="default"/>
      </w:rPr>
    </w:lvl>
    <w:lvl w:ilvl="1" w:tplc="A3A6AB46" w:tentative="1">
      <w:start w:val="1"/>
      <w:numFmt w:val="bullet"/>
      <w:lvlText w:val="•"/>
      <w:lvlJc w:val="left"/>
      <w:pPr>
        <w:tabs>
          <w:tab w:val="num" w:pos="1440"/>
        </w:tabs>
        <w:ind w:left="1440" w:hanging="360"/>
      </w:pPr>
      <w:rPr>
        <w:rFonts w:ascii="Arial" w:hAnsi="Arial" w:hint="default"/>
      </w:rPr>
    </w:lvl>
    <w:lvl w:ilvl="2" w:tplc="4C96AF0C" w:tentative="1">
      <w:start w:val="1"/>
      <w:numFmt w:val="bullet"/>
      <w:lvlText w:val="•"/>
      <w:lvlJc w:val="left"/>
      <w:pPr>
        <w:tabs>
          <w:tab w:val="num" w:pos="2160"/>
        </w:tabs>
        <w:ind w:left="2160" w:hanging="360"/>
      </w:pPr>
      <w:rPr>
        <w:rFonts w:ascii="Arial" w:hAnsi="Arial" w:hint="default"/>
      </w:rPr>
    </w:lvl>
    <w:lvl w:ilvl="3" w:tplc="E5DE36AE" w:tentative="1">
      <w:start w:val="1"/>
      <w:numFmt w:val="bullet"/>
      <w:lvlText w:val="•"/>
      <w:lvlJc w:val="left"/>
      <w:pPr>
        <w:tabs>
          <w:tab w:val="num" w:pos="2880"/>
        </w:tabs>
        <w:ind w:left="2880" w:hanging="360"/>
      </w:pPr>
      <w:rPr>
        <w:rFonts w:ascii="Arial" w:hAnsi="Arial" w:hint="default"/>
      </w:rPr>
    </w:lvl>
    <w:lvl w:ilvl="4" w:tplc="40F8EAB8" w:tentative="1">
      <w:start w:val="1"/>
      <w:numFmt w:val="bullet"/>
      <w:lvlText w:val="•"/>
      <w:lvlJc w:val="left"/>
      <w:pPr>
        <w:tabs>
          <w:tab w:val="num" w:pos="3600"/>
        </w:tabs>
        <w:ind w:left="3600" w:hanging="360"/>
      </w:pPr>
      <w:rPr>
        <w:rFonts w:ascii="Arial" w:hAnsi="Arial" w:hint="default"/>
      </w:rPr>
    </w:lvl>
    <w:lvl w:ilvl="5" w:tplc="4A9C935C" w:tentative="1">
      <w:start w:val="1"/>
      <w:numFmt w:val="bullet"/>
      <w:lvlText w:val="•"/>
      <w:lvlJc w:val="left"/>
      <w:pPr>
        <w:tabs>
          <w:tab w:val="num" w:pos="4320"/>
        </w:tabs>
        <w:ind w:left="4320" w:hanging="360"/>
      </w:pPr>
      <w:rPr>
        <w:rFonts w:ascii="Arial" w:hAnsi="Arial" w:hint="default"/>
      </w:rPr>
    </w:lvl>
    <w:lvl w:ilvl="6" w:tplc="DB8E531E" w:tentative="1">
      <w:start w:val="1"/>
      <w:numFmt w:val="bullet"/>
      <w:lvlText w:val="•"/>
      <w:lvlJc w:val="left"/>
      <w:pPr>
        <w:tabs>
          <w:tab w:val="num" w:pos="5040"/>
        </w:tabs>
        <w:ind w:left="5040" w:hanging="360"/>
      </w:pPr>
      <w:rPr>
        <w:rFonts w:ascii="Arial" w:hAnsi="Arial" w:hint="default"/>
      </w:rPr>
    </w:lvl>
    <w:lvl w:ilvl="7" w:tplc="150CDB9E" w:tentative="1">
      <w:start w:val="1"/>
      <w:numFmt w:val="bullet"/>
      <w:lvlText w:val="•"/>
      <w:lvlJc w:val="left"/>
      <w:pPr>
        <w:tabs>
          <w:tab w:val="num" w:pos="5760"/>
        </w:tabs>
        <w:ind w:left="5760" w:hanging="360"/>
      </w:pPr>
      <w:rPr>
        <w:rFonts w:ascii="Arial" w:hAnsi="Arial" w:hint="default"/>
      </w:rPr>
    </w:lvl>
    <w:lvl w:ilvl="8" w:tplc="B62406C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0BD726D"/>
    <w:multiLevelType w:val="hybridMultilevel"/>
    <w:tmpl w:val="6002A2CE"/>
    <w:lvl w:ilvl="0" w:tplc="C636B3BA">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CB6821"/>
    <w:multiLevelType w:val="hybridMultilevel"/>
    <w:tmpl w:val="1B88A8D8"/>
    <w:lvl w:ilvl="0" w:tplc="0D141714">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C158CDD2">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9410BD80">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79FAD01A">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A36D3A6">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2B9C7902">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AE52305A">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3918D146">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E4064C7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3B295A28"/>
    <w:multiLevelType w:val="hybridMultilevel"/>
    <w:tmpl w:val="AE428A72"/>
    <w:lvl w:ilvl="0" w:tplc="BBB82CD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720A10"/>
    <w:multiLevelType w:val="hybridMultilevel"/>
    <w:tmpl w:val="2FEA8BAE"/>
    <w:lvl w:ilvl="0" w:tplc="30B63532">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0B08DB"/>
    <w:multiLevelType w:val="hybridMultilevel"/>
    <w:tmpl w:val="E6340F8A"/>
    <w:lvl w:ilvl="0" w:tplc="8564B712">
      <w:start w:val="1"/>
      <w:numFmt w:val="bullet"/>
      <w:lvlText w:val="•"/>
      <w:lvlJc w:val="left"/>
      <w:pPr>
        <w:tabs>
          <w:tab w:val="num" w:pos="720"/>
        </w:tabs>
        <w:ind w:left="720" w:hanging="360"/>
      </w:pPr>
      <w:rPr>
        <w:rFonts w:ascii="Arial" w:hAnsi="Arial" w:hint="default"/>
      </w:rPr>
    </w:lvl>
    <w:lvl w:ilvl="1" w:tplc="9EC4746A" w:tentative="1">
      <w:start w:val="1"/>
      <w:numFmt w:val="bullet"/>
      <w:lvlText w:val="•"/>
      <w:lvlJc w:val="left"/>
      <w:pPr>
        <w:tabs>
          <w:tab w:val="num" w:pos="1440"/>
        </w:tabs>
        <w:ind w:left="1440" w:hanging="360"/>
      </w:pPr>
      <w:rPr>
        <w:rFonts w:ascii="Arial" w:hAnsi="Arial" w:hint="default"/>
      </w:rPr>
    </w:lvl>
    <w:lvl w:ilvl="2" w:tplc="7A6E3B20" w:tentative="1">
      <w:start w:val="1"/>
      <w:numFmt w:val="bullet"/>
      <w:lvlText w:val="•"/>
      <w:lvlJc w:val="left"/>
      <w:pPr>
        <w:tabs>
          <w:tab w:val="num" w:pos="2160"/>
        </w:tabs>
        <w:ind w:left="2160" w:hanging="360"/>
      </w:pPr>
      <w:rPr>
        <w:rFonts w:ascii="Arial" w:hAnsi="Arial" w:hint="default"/>
      </w:rPr>
    </w:lvl>
    <w:lvl w:ilvl="3" w:tplc="9CB2FCBE" w:tentative="1">
      <w:start w:val="1"/>
      <w:numFmt w:val="bullet"/>
      <w:lvlText w:val="•"/>
      <w:lvlJc w:val="left"/>
      <w:pPr>
        <w:tabs>
          <w:tab w:val="num" w:pos="2880"/>
        </w:tabs>
        <w:ind w:left="2880" w:hanging="360"/>
      </w:pPr>
      <w:rPr>
        <w:rFonts w:ascii="Arial" w:hAnsi="Arial" w:hint="default"/>
      </w:rPr>
    </w:lvl>
    <w:lvl w:ilvl="4" w:tplc="D390F58E" w:tentative="1">
      <w:start w:val="1"/>
      <w:numFmt w:val="bullet"/>
      <w:lvlText w:val="•"/>
      <w:lvlJc w:val="left"/>
      <w:pPr>
        <w:tabs>
          <w:tab w:val="num" w:pos="3600"/>
        </w:tabs>
        <w:ind w:left="3600" w:hanging="360"/>
      </w:pPr>
      <w:rPr>
        <w:rFonts w:ascii="Arial" w:hAnsi="Arial" w:hint="default"/>
      </w:rPr>
    </w:lvl>
    <w:lvl w:ilvl="5" w:tplc="F348BABA" w:tentative="1">
      <w:start w:val="1"/>
      <w:numFmt w:val="bullet"/>
      <w:lvlText w:val="•"/>
      <w:lvlJc w:val="left"/>
      <w:pPr>
        <w:tabs>
          <w:tab w:val="num" w:pos="4320"/>
        </w:tabs>
        <w:ind w:left="4320" w:hanging="360"/>
      </w:pPr>
      <w:rPr>
        <w:rFonts w:ascii="Arial" w:hAnsi="Arial" w:hint="default"/>
      </w:rPr>
    </w:lvl>
    <w:lvl w:ilvl="6" w:tplc="EBB2AB06" w:tentative="1">
      <w:start w:val="1"/>
      <w:numFmt w:val="bullet"/>
      <w:lvlText w:val="•"/>
      <w:lvlJc w:val="left"/>
      <w:pPr>
        <w:tabs>
          <w:tab w:val="num" w:pos="5040"/>
        </w:tabs>
        <w:ind w:left="5040" w:hanging="360"/>
      </w:pPr>
      <w:rPr>
        <w:rFonts w:ascii="Arial" w:hAnsi="Arial" w:hint="default"/>
      </w:rPr>
    </w:lvl>
    <w:lvl w:ilvl="7" w:tplc="8848C21C" w:tentative="1">
      <w:start w:val="1"/>
      <w:numFmt w:val="bullet"/>
      <w:lvlText w:val="•"/>
      <w:lvlJc w:val="left"/>
      <w:pPr>
        <w:tabs>
          <w:tab w:val="num" w:pos="5760"/>
        </w:tabs>
        <w:ind w:left="5760" w:hanging="360"/>
      </w:pPr>
      <w:rPr>
        <w:rFonts w:ascii="Arial" w:hAnsi="Arial" w:hint="default"/>
      </w:rPr>
    </w:lvl>
    <w:lvl w:ilvl="8" w:tplc="6348508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5BF670A"/>
    <w:multiLevelType w:val="hybridMultilevel"/>
    <w:tmpl w:val="69101700"/>
    <w:lvl w:ilvl="0" w:tplc="D92AC960">
      <w:start w:val="1"/>
      <w:numFmt w:val="bullet"/>
      <w:lvlText w:val="•"/>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0338C348">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4D449096">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328817CA">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FBAC95C2">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98801212">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90BE5EA4">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25B4C722">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1EA04D66">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4" w15:restartNumberingAfterBreak="0">
    <w:nsid w:val="47E67759"/>
    <w:multiLevelType w:val="hybridMultilevel"/>
    <w:tmpl w:val="A81AA1A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ADD369E"/>
    <w:multiLevelType w:val="multilevel"/>
    <w:tmpl w:val="F23A5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D47FEA"/>
    <w:multiLevelType w:val="hybridMultilevel"/>
    <w:tmpl w:val="22125E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30A5FBC"/>
    <w:multiLevelType w:val="hybridMultilevel"/>
    <w:tmpl w:val="48C41F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57C4FB1"/>
    <w:multiLevelType w:val="hybridMultilevel"/>
    <w:tmpl w:val="FB64F378"/>
    <w:lvl w:ilvl="0" w:tplc="ED28AAAC">
      <w:start w:val="1"/>
      <w:numFmt w:val="bullet"/>
      <w:lvlText w:val="•"/>
      <w:lvlJc w:val="left"/>
      <w:pPr>
        <w:tabs>
          <w:tab w:val="num" w:pos="720"/>
        </w:tabs>
        <w:ind w:left="720" w:hanging="360"/>
      </w:pPr>
      <w:rPr>
        <w:rFonts w:ascii="Arial" w:hAnsi="Arial" w:hint="default"/>
      </w:rPr>
    </w:lvl>
    <w:lvl w:ilvl="1" w:tplc="0068F290" w:tentative="1">
      <w:start w:val="1"/>
      <w:numFmt w:val="bullet"/>
      <w:lvlText w:val="•"/>
      <w:lvlJc w:val="left"/>
      <w:pPr>
        <w:tabs>
          <w:tab w:val="num" w:pos="1440"/>
        </w:tabs>
        <w:ind w:left="1440" w:hanging="360"/>
      </w:pPr>
      <w:rPr>
        <w:rFonts w:ascii="Arial" w:hAnsi="Arial" w:hint="default"/>
      </w:rPr>
    </w:lvl>
    <w:lvl w:ilvl="2" w:tplc="FFC02FDC" w:tentative="1">
      <w:start w:val="1"/>
      <w:numFmt w:val="bullet"/>
      <w:lvlText w:val="•"/>
      <w:lvlJc w:val="left"/>
      <w:pPr>
        <w:tabs>
          <w:tab w:val="num" w:pos="2160"/>
        </w:tabs>
        <w:ind w:left="2160" w:hanging="360"/>
      </w:pPr>
      <w:rPr>
        <w:rFonts w:ascii="Arial" w:hAnsi="Arial" w:hint="default"/>
      </w:rPr>
    </w:lvl>
    <w:lvl w:ilvl="3" w:tplc="980CAA30" w:tentative="1">
      <w:start w:val="1"/>
      <w:numFmt w:val="bullet"/>
      <w:lvlText w:val="•"/>
      <w:lvlJc w:val="left"/>
      <w:pPr>
        <w:tabs>
          <w:tab w:val="num" w:pos="2880"/>
        </w:tabs>
        <w:ind w:left="2880" w:hanging="360"/>
      </w:pPr>
      <w:rPr>
        <w:rFonts w:ascii="Arial" w:hAnsi="Arial" w:hint="default"/>
      </w:rPr>
    </w:lvl>
    <w:lvl w:ilvl="4" w:tplc="6220E8E2" w:tentative="1">
      <w:start w:val="1"/>
      <w:numFmt w:val="bullet"/>
      <w:lvlText w:val="•"/>
      <w:lvlJc w:val="left"/>
      <w:pPr>
        <w:tabs>
          <w:tab w:val="num" w:pos="3600"/>
        </w:tabs>
        <w:ind w:left="3600" w:hanging="360"/>
      </w:pPr>
      <w:rPr>
        <w:rFonts w:ascii="Arial" w:hAnsi="Arial" w:hint="default"/>
      </w:rPr>
    </w:lvl>
    <w:lvl w:ilvl="5" w:tplc="E1EA7B08" w:tentative="1">
      <w:start w:val="1"/>
      <w:numFmt w:val="bullet"/>
      <w:lvlText w:val="•"/>
      <w:lvlJc w:val="left"/>
      <w:pPr>
        <w:tabs>
          <w:tab w:val="num" w:pos="4320"/>
        </w:tabs>
        <w:ind w:left="4320" w:hanging="360"/>
      </w:pPr>
      <w:rPr>
        <w:rFonts w:ascii="Arial" w:hAnsi="Arial" w:hint="default"/>
      </w:rPr>
    </w:lvl>
    <w:lvl w:ilvl="6" w:tplc="40849286" w:tentative="1">
      <w:start w:val="1"/>
      <w:numFmt w:val="bullet"/>
      <w:lvlText w:val="•"/>
      <w:lvlJc w:val="left"/>
      <w:pPr>
        <w:tabs>
          <w:tab w:val="num" w:pos="5040"/>
        </w:tabs>
        <w:ind w:left="5040" w:hanging="360"/>
      </w:pPr>
      <w:rPr>
        <w:rFonts w:ascii="Arial" w:hAnsi="Arial" w:hint="default"/>
      </w:rPr>
    </w:lvl>
    <w:lvl w:ilvl="7" w:tplc="C23E5F6E" w:tentative="1">
      <w:start w:val="1"/>
      <w:numFmt w:val="bullet"/>
      <w:lvlText w:val="•"/>
      <w:lvlJc w:val="left"/>
      <w:pPr>
        <w:tabs>
          <w:tab w:val="num" w:pos="5760"/>
        </w:tabs>
        <w:ind w:left="5760" w:hanging="360"/>
      </w:pPr>
      <w:rPr>
        <w:rFonts w:ascii="Arial" w:hAnsi="Arial" w:hint="default"/>
      </w:rPr>
    </w:lvl>
    <w:lvl w:ilvl="8" w:tplc="8F2E7C8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60B1C90"/>
    <w:multiLevelType w:val="hybridMultilevel"/>
    <w:tmpl w:val="EEBEAC06"/>
    <w:lvl w:ilvl="0" w:tplc="9B0498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630506"/>
    <w:multiLevelType w:val="hybridMultilevel"/>
    <w:tmpl w:val="EE6C33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BD67429"/>
    <w:multiLevelType w:val="hybridMultilevel"/>
    <w:tmpl w:val="59BCF830"/>
    <w:lvl w:ilvl="0" w:tplc="CE2C109E">
      <w:start w:val="1"/>
      <w:numFmt w:val="bullet"/>
      <w:lvlText w:val="•"/>
      <w:lvlJc w:val="left"/>
      <w:pPr>
        <w:tabs>
          <w:tab w:val="num" w:pos="720"/>
        </w:tabs>
        <w:ind w:left="720" w:hanging="360"/>
      </w:pPr>
      <w:rPr>
        <w:rFonts w:ascii="Arial" w:hAnsi="Arial" w:hint="default"/>
      </w:rPr>
    </w:lvl>
    <w:lvl w:ilvl="1" w:tplc="F8CEA210" w:tentative="1">
      <w:start w:val="1"/>
      <w:numFmt w:val="bullet"/>
      <w:lvlText w:val="•"/>
      <w:lvlJc w:val="left"/>
      <w:pPr>
        <w:tabs>
          <w:tab w:val="num" w:pos="1440"/>
        </w:tabs>
        <w:ind w:left="1440" w:hanging="360"/>
      </w:pPr>
      <w:rPr>
        <w:rFonts w:ascii="Arial" w:hAnsi="Arial" w:hint="default"/>
      </w:rPr>
    </w:lvl>
    <w:lvl w:ilvl="2" w:tplc="D988B940" w:tentative="1">
      <w:start w:val="1"/>
      <w:numFmt w:val="bullet"/>
      <w:lvlText w:val="•"/>
      <w:lvlJc w:val="left"/>
      <w:pPr>
        <w:tabs>
          <w:tab w:val="num" w:pos="2160"/>
        </w:tabs>
        <w:ind w:left="2160" w:hanging="360"/>
      </w:pPr>
      <w:rPr>
        <w:rFonts w:ascii="Arial" w:hAnsi="Arial" w:hint="default"/>
      </w:rPr>
    </w:lvl>
    <w:lvl w:ilvl="3" w:tplc="4CC8E67C" w:tentative="1">
      <w:start w:val="1"/>
      <w:numFmt w:val="bullet"/>
      <w:lvlText w:val="•"/>
      <w:lvlJc w:val="left"/>
      <w:pPr>
        <w:tabs>
          <w:tab w:val="num" w:pos="2880"/>
        </w:tabs>
        <w:ind w:left="2880" w:hanging="360"/>
      </w:pPr>
      <w:rPr>
        <w:rFonts w:ascii="Arial" w:hAnsi="Arial" w:hint="default"/>
      </w:rPr>
    </w:lvl>
    <w:lvl w:ilvl="4" w:tplc="C6FAF7BA" w:tentative="1">
      <w:start w:val="1"/>
      <w:numFmt w:val="bullet"/>
      <w:lvlText w:val="•"/>
      <w:lvlJc w:val="left"/>
      <w:pPr>
        <w:tabs>
          <w:tab w:val="num" w:pos="3600"/>
        </w:tabs>
        <w:ind w:left="3600" w:hanging="360"/>
      </w:pPr>
      <w:rPr>
        <w:rFonts w:ascii="Arial" w:hAnsi="Arial" w:hint="default"/>
      </w:rPr>
    </w:lvl>
    <w:lvl w:ilvl="5" w:tplc="2F484410" w:tentative="1">
      <w:start w:val="1"/>
      <w:numFmt w:val="bullet"/>
      <w:lvlText w:val="•"/>
      <w:lvlJc w:val="left"/>
      <w:pPr>
        <w:tabs>
          <w:tab w:val="num" w:pos="4320"/>
        </w:tabs>
        <w:ind w:left="4320" w:hanging="360"/>
      </w:pPr>
      <w:rPr>
        <w:rFonts w:ascii="Arial" w:hAnsi="Arial" w:hint="default"/>
      </w:rPr>
    </w:lvl>
    <w:lvl w:ilvl="6" w:tplc="7CEAB76E" w:tentative="1">
      <w:start w:val="1"/>
      <w:numFmt w:val="bullet"/>
      <w:lvlText w:val="•"/>
      <w:lvlJc w:val="left"/>
      <w:pPr>
        <w:tabs>
          <w:tab w:val="num" w:pos="5040"/>
        </w:tabs>
        <w:ind w:left="5040" w:hanging="360"/>
      </w:pPr>
      <w:rPr>
        <w:rFonts w:ascii="Arial" w:hAnsi="Arial" w:hint="default"/>
      </w:rPr>
    </w:lvl>
    <w:lvl w:ilvl="7" w:tplc="8CCE26E2" w:tentative="1">
      <w:start w:val="1"/>
      <w:numFmt w:val="bullet"/>
      <w:lvlText w:val="•"/>
      <w:lvlJc w:val="left"/>
      <w:pPr>
        <w:tabs>
          <w:tab w:val="num" w:pos="5760"/>
        </w:tabs>
        <w:ind w:left="5760" w:hanging="360"/>
      </w:pPr>
      <w:rPr>
        <w:rFonts w:ascii="Arial" w:hAnsi="Arial" w:hint="default"/>
      </w:rPr>
    </w:lvl>
    <w:lvl w:ilvl="8" w:tplc="1808666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C5E561D"/>
    <w:multiLevelType w:val="hybridMultilevel"/>
    <w:tmpl w:val="1E18D9EE"/>
    <w:lvl w:ilvl="0" w:tplc="4EAA440E">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4A7150"/>
    <w:multiLevelType w:val="hybridMultilevel"/>
    <w:tmpl w:val="B590D062"/>
    <w:lvl w:ilvl="0" w:tplc="C164B4F6">
      <w:start w:val="1"/>
      <w:numFmt w:val="bullet"/>
      <w:lvlText w:val="•"/>
      <w:lvlJc w:val="left"/>
      <w:pPr>
        <w:tabs>
          <w:tab w:val="num" w:pos="720"/>
        </w:tabs>
        <w:ind w:left="720" w:hanging="360"/>
      </w:pPr>
      <w:rPr>
        <w:rFonts w:ascii="Arial" w:hAnsi="Arial" w:hint="default"/>
      </w:rPr>
    </w:lvl>
    <w:lvl w:ilvl="1" w:tplc="C50A99CA" w:tentative="1">
      <w:start w:val="1"/>
      <w:numFmt w:val="bullet"/>
      <w:lvlText w:val="•"/>
      <w:lvlJc w:val="left"/>
      <w:pPr>
        <w:tabs>
          <w:tab w:val="num" w:pos="1440"/>
        </w:tabs>
        <w:ind w:left="1440" w:hanging="360"/>
      </w:pPr>
      <w:rPr>
        <w:rFonts w:ascii="Arial" w:hAnsi="Arial" w:hint="default"/>
      </w:rPr>
    </w:lvl>
    <w:lvl w:ilvl="2" w:tplc="6D76A1A4" w:tentative="1">
      <w:start w:val="1"/>
      <w:numFmt w:val="bullet"/>
      <w:lvlText w:val="•"/>
      <w:lvlJc w:val="left"/>
      <w:pPr>
        <w:tabs>
          <w:tab w:val="num" w:pos="2160"/>
        </w:tabs>
        <w:ind w:left="2160" w:hanging="360"/>
      </w:pPr>
      <w:rPr>
        <w:rFonts w:ascii="Arial" w:hAnsi="Arial" w:hint="default"/>
      </w:rPr>
    </w:lvl>
    <w:lvl w:ilvl="3" w:tplc="AF666780" w:tentative="1">
      <w:start w:val="1"/>
      <w:numFmt w:val="bullet"/>
      <w:lvlText w:val="•"/>
      <w:lvlJc w:val="left"/>
      <w:pPr>
        <w:tabs>
          <w:tab w:val="num" w:pos="2880"/>
        </w:tabs>
        <w:ind w:left="2880" w:hanging="360"/>
      </w:pPr>
      <w:rPr>
        <w:rFonts w:ascii="Arial" w:hAnsi="Arial" w:hint="default"/>
      </w:rPr>
    </w:lvl>
    <w:lvl w:ilvl="4" w:tplc="0F06D556" w:tentative="1">
      <w:start w:val="1"/>
      <w:numFmt w:val="bullet"/>
      <w:lvlText w:val="•"/>
      <w:lvlJc w:val="left"/>
      <w:pPr>
        <w:tabs>
          <w:tab w:val="num" w:pos="3600"/>
        </w:tabs>
        <w:ind w:left="3600" w:hanging="360"/>
      </w:pPr>
      <w:rPr>
        <w:rFonts w:ascii="Arial" w:hAnsi="Arial" w:hint="default"/>
      </w:rPr>
    </w:lvl>
    <w:lvl w:ilvl="5" w:tplc="EFDC5E8E" w:tentative="1">
      <w:start w:val="1"/>
      <w:numFmt w:val="bullet"/>
      <w:lvlText w:val="•"/>
      <w:lvlJc w:val="left"/>
      <w:pPr>
        <w:tabs>
          <w:tab w:val="num" w:pos="4320"/>
        </w:tabs>
        <w:ind w:left="4320" w:hanging="360"/>
      </w:pPr>
      <w:rPr>
        <w:rFonts w:ascii="Arial" w:hAnsi="Arial" w:hint="default"/>
      </w:rPr>
    </w:lvl>
    <w:lvl w:ilvl="6" w:tplc="ED80E424" w:tentative="1">
      <w:start w:val="1"/>
      <w:numFmt w:val="bullet"/>
      <w:lvlText w:val="•"/>
      <w:lvlJc w:val="left"/>
      <w:pPr>
        <w:tabs>
          <w:tab w:val="num" w:pos="5040"/>
        </w:tabs>
        <w:ind w:left="5040" w:hanging="360"/>
      </w:pPr>
      <w:rPr>
        <w:rFonts w:ascii="Arial" w:hAnsi="Arial" w:hint="default"/>
      </w:rPr>
    </w:lvl>
    <w:lvl w:ilvl="7" w:tplc="EA1A801A" w:tentative="1">
      <w:start w:val="1"/>
      <w:numFmt w:val="bullet"/>
      <w:lvlText w:val="•"/>
      <w:lvlJc w:val="left"/>
      <w:pPr>
        <w:tabs>
          <w:tab w:val="num" w:pos="5760"/>
        </w:tabs>
        <w:ind w:left="5760" w:hanging="360"/>
      </w:pPr>
      <w:rPr>
        <w:rFonts w:ascii="Arial" w:hAnsi="Arial" w:hint="default"/>
      </w:rPr>
    </w:lvl>
    <w:lvl w:ilvl="8" w:tplc="C87AA6A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3685673"/>
    <w:multiLevelType w:val="hybridMultilevel"/>
    <w:tmpl w:val="866679C0"/>
    <w:lvl w:ilvl="0" w:tplc="286C3692">
      <w:start w:val="1"/>
      <w:numFmt w:val="bullet"/>
      <w:lvlText w:val="•"/>
      <w:lvlJc w:val="left"/>
      <w:pPr>
        <w:tabs>
          <w:tab w:val="num" w:pos="720"/>
        </w:tabs>
        <w:ind w:left="720" w:hanging="360"/>
      </w:pPr>
      <w:rPr>
        <w:rFonts w:ascii="Arial" w:hAnsi="Arial" w:hint="default"/>
      </w:rPr>
    </w:lvl>
    <w:lvl w:ilvl="1" w:tplc="F53E0354" w:tentative="1">
      <w:start w:val="1"/>
      <w:numFmt w:val="bullet"/>
      <w:lvlText w:val="•"/>
      <w:lvlJc w:val="left"/>
      <w:pPr>
        <w:tabs>
          <w:tab w:val="num" w:pos="1440"/>
        </w:tabs>
        <w:ind w:left="1440" w:hanging="360"/>
      </w:pPr>
      <w:rPr>
        <w:rFonts w:ascii="Arial" w:hAnsi="Arial" w:hint="default"/>
      </w:rPr>
    </w:lvl>
    <w:lvl w:ilvl="2" w:tplc="0C2A01F0" w:tentative="1">
      <w:start w:val="1"/>
      <w:numFmt w:val="bullet"/>
      <w:lvlText w:val="•"/>
      <w:lvlJc w:val="left"/>
      <w:pPr>
        <w:tabs>
          <w:tab w:val="num" w:pos="2160"/>
        </w:tabs>
        <w:ind w:left="2160" w:hanging="360"/>
      </w:pPr>
      <w:rPr>
        <w:rFonts w:ascii="Arial" w:hAnsi="Arial" w:hint="default"/>
      </w:rPr>
    </w:lvl>
    <w:lvl w:ilvl="3" w:tplc="93D27586" w:tentative="1">
      <w:start w:val="1"/>
      <w:numFmt w:val="bullet"/>
      <w:lvlText w:val="•"/>
      <w:lvlJc w:val="left"/>
      <w:pPr>
        <w:tabs>
          <w:tab w:val="num" w:pos="2880"/>
        </w:tabs>
        <w:ind w:left="2880" w:hanging="360"/>
      </w:pPr>
      <w:rPr>
        <w:rFonts w:ascii="Arial" w:hAnsi="Arial" w:hint="default"/>
      </w:rPr>
    </w:lvl>
    <w:lvl w:ilvl="4" w:tplc="189EDF62" w:tentative="1">
      <w:start w:val="1"/>
      <w:numFmt w:val="bullet"/>
      <w:lvlText w:val="•"/>
      <w:lvlJc w:val="left"/>
      <w:pPr>
        <w:tabs>
          <w:tab w:val="num" w:pos="3600"/>
        </w:tabs>
        <w:ind w:left="3600" w:hanging="360"/>
      </w:pPr>
      <w:rPr>
        <w:rFonts w:ascii="Arial" w:hAnsi="Arial" w:hint="default"/>
      </w:rPr>
    </w:lvl>
    <w:lvl w:ilvl="5" w:tplc="4C30395C" w:tentative="1">
      <w:start w:val="1"/>
      <w:numFmt w:val="bullet"/>
      <w:lvlText w:val="•"/>
      <w:lvlJc w:val="left"/>
      <w:pPr>
        <w:tabs>
          <w:tab w:val="num" w:pos="4320"/>
        </w:tabs>
        <w:ind w:left="4320" w:hanging="360"/>
      </w:pPr>
      <w:rPr>
        <w:rFonts w:ascii="Arial" w:hAnsi="Arial" w:hint="default"/>
      </w:rPr>
    </w:lvl>
    <w:lvl w:ilvl="6" w:tplc="EA7ACE76" w:tentative="1">
      <w:start w:val="1"/>
      <w:numFmt w:val="bullet"/>
      <w:lvlText w:val="•"/>
      <w:lvlJc w:val="left"/>
      <w:pPr>
        <w:tabs>
          <w:tab w:val="num" w:pos="5040"/>
        </w:tabs>
        <w:ind w:left="5040" w:hanging="360"/>
      </w:pPr>
      <w:rPr>
        <w:rFonts w:ascii="Arial" w:hAnsi="Arial" w:hint="default"/>
      </w:rPr>
    </w:lvl>
    <w:lvl w:ilvl="7" w:tplc="41E2CCE4" w:tentative="1">
      <w:start w:val="1"/>
      <w:numFmt w:val="bullet"/>
      <w:lvlText w:val="•"/>
      <w:lvlJc w:val="left"/>
      <w:pPr>
        <w:tabs>
          <w:tab w:val="num" w:pos="5760"/>
        </w:tabs>
        <w:ind w:left="5760" w:hanging="360"/>
      </w:pPr>
      <w:rPr>
        <w:rFonts w:ascii="Arial" w:hAnsi="Arial" w:hint="default"/>
      </w:rPr>
    </w:lvl>
    <w:lvl w:ilvl="8" w:tplc="CBB22AF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4485AD0"/>
    <w:multiLevelType w:val="hybridMultilevel"/>
    <w:tmpl w:val="3A9AA51C"/>
    <w:lvl w:ilvl="0" w:tplc="F36636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903A80"/>
    <w:multiLevelType w:val="hybridMultilevel"/>
    <w:tmpl w:val="EA3EEF0E"/>
    <w:lvl w:ilvl="0" w:tplc="868C49BA">
      <w:start w:val="1"/>
      <w:numFmt w:val="bullet"/>
      <w:lvlText w:val="•"/>
      <w:lvlJc w:val="left"/>
      <w:pPr>
        <w:ind w:left="70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ED2C718C">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934EA3FE">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AEB044F8">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5A025A1A">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F6363998">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E18C426E">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D7DCAC1E">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A08813F0">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7" w15:restartNumberingAfterBreak="0">
    <w:nsid w:val="65680E85"/>
    <w:multiLevelType w:val="hybridMultilevel"/>
    <w:tmpl w:val="DB2CBBA0"/>
    <w:lvl w:ilvl="0" w:tplc="04090001">
      <w:start w:val="1"/>
      <w:numFmt w:val="decimal"/>
      <w:lvlText w:val="%1."/>
      <w:lvlJc w:val="left"/>
      <w:pPr>
        <w:tabs>
          <w:tab w:val="num" w:pos="907"/>
        </w:tabs>
        <w:ind w:left="907" w:hanging="360"/>
      </w:pPr>
    </w:lvl>
    <w:lvl w:ilvl="1" w:tplc="08090019">
      <w:start w:val="1"/>
      <w:numFmt w:val="lowerLetter"/>
      <w:lvlText w:val="%2."/>
      <w:lvlJc w:val="left"/>
      <w:pPr>
        <w:ind w:left="1627" w:hanging="360"/>
      </w:pPr>
    </w:lvl>
    <w:lvl w:ilvl="2" w:tplc="0809001B">
      <w:start w:val="1"/>
      <w:numFmt w:val="lowerRoman"/>
      <w:lvlText w:val="%3."/>
      <w:lvlJc w:val="right"/>
      <w:pPr>
        <w:ind w:left="2347" w:hanging="180"/>
      </w:pPr>
    </w:lvl>
    <w:lvl w:ilvl="3" w:tplc="0809000F">
      <w:start w:val="1"/>
      <w:numFmt w:val="decimal"/>
      <w:lvlText w:val="%4."/>
      <w:lvlJc w:val="left"/>
      <w:pPr>
        <w:ind w:left="3067" w:hanging="360"/>
      </w:pPr>
    </w:lvl>
    <w:lvl w:ilvl="4" w:tplc="08090019">
      <w:start w:val="1"/>
      <w:numFmt w:val="lowerLetter"/>
      <w:lvlText w:val="%5."/>
      <w:lvlJc w:val="left"/>
      <w:pPr>
        <w:ind w:left="3787" w:hanging="360"/>
      </w:pPr>
    </w:lvl>
    <w:lvl w:ilvl="5" w:tplc="0809001B">
      <w:start w:val="1"/>
      <w:numFmt w:val="lowerRoman"/>
      <w:lvlText w:val="%6."/>
      <w:lvlJc w:val="right"/>
      <w:pPr>
        <w:ind w:left="4507" w:hanging="180"/>
      </w:pPr>
    </w:lvl>
    <w:lvl w:ilvl="6" w:tplc="0809000F">
      <w:start w:val="1"/>
      <w:numFmt w:val="decimal"/>
      <w:lvlText w:val="%7."/>
      <w:lvlJc w:val="left"/>
      <w:pPr>
        <w:ind w:left="5227" w:hanging="360"/>
      </w:pPr>
    </w:lvl>
    <w:lvl w:ilvl="7" w:tplc="08090019">
      <w:start w:val="1"/>
      <w:numFmt w:val="lowerLetter"/>
      <w:lvlText w:val="%8."/>
      <w:lvlJc w:val="left"/>
      <w:pPr>
        <w:ind w:left="5947" w:hanging="360"/>
      </w:pPr>
    </w:lvl>
    <w:lvl w:ilvl="8" w:tplc="0809001B">
      <w:start w:val="1"/>
      <w:numFmt w:val="lowerRoman"/>
      <w:lvlText w:val="%9."/>
      <w:lvlJc w:val="right"/>
      <w:pPr>
        <w:ind w:left="6667" w:hanging="180"/>
      </w:pPr>
    </w:lvl>
  </w:abstractNum>
  <w:abstractNum w:abstractNumId="28" w15:restartNumberingAfterBreak="0">
    <w:nsid w:val="659007C9"/>
    <w:multiLevelType w:val="hybridMultilevel"/>
    <w:tmpl w:val="CC660E6E"/>
    <w:lvl w:ilvl="0" w:tplc="CFFED926">
      <w:start w:val="1"/>
      <w:numFmt w:val="bullet"/>
      <w:lvlText w:val="•"/>
      <w:lvlJc w:val="left"/>
      <w:pPr>
        <w:tabs>
          <w:tab w:val="num" w:pos="720"/>
        </w:tabs>
        <w:ind w:left="720" w:hanging="360"/>
      </w:pPr>
      <w:rPr>
        <w:rFonts w:ascii="Arial" w:hAnsi="Arial" w:hint="default"/>
      </w:rPr>
    </w:lvl>
    <w:lvl w:ilvl="1" w:tplc="35961B84" w:tentative="1">
      <w:start w:val="1"/>
      <w:numFmt w:val="bullet"/>
      <w:lvlText w:val="•"/>
      <w:lvlJc w:val="left"/>
      <w:pPr>
        <w:tabs>
          <w:tab w:val="num" w:pos="1440"/>
        </w:tabs>
        <w:ind w:left="1440" w:hanging="360"/>
      </w:pPr>
      <w:rPr>
        <w:rFonts w:ascii="Arial" w:hAnsi="Arial" w:hint="default"/>
      </w:rPr>
    </w:lvl>
    <w:lvl w:ilvl="2" w:tplc="1780E5BE" w:tentative="1">
      <w:start w:val="1"/>
      <w:numFmt w:val="bullet"/>
      <w:lvlText w:val="•"/>
      <w:lvlJc w:val="left"/>
      <w:pPr>
        <w:tabs>
          <w:tab w:val="num" w:pos="2160"/>
        </w:tabs>
        <w:ind w:left="2160" w:hanging="360"/>
      </w:pPr>
      <w:rPr>
        <w:rFonts w:ascii="Arial" w:hAnsi="Arial" w:hint="default"/>
      </w:rPr>
    </w:lvl>
    <w:lvl w:ilvl="3" w:tplc="5C7091B2" w:tentative="1">
      <w:start w:val="1"/>
      <w:numFmt w:val="bullet"/>
      <w:lvlText w:val="•"/>
      <w:lvlJc w:val="left"/>
      <w:pPr>
        <w:tabs>
          <w:tab w:val="num" w:pos="2880"/>
        </w:tabs>
        <w:ind w:left="2880" w:hanging="360"/>
      </w:pPr>
      <w:rPr>
        <w:rFonts w:ascii="Arial" w:hAnsi="Arial" w:hint="default"/>
      </w:rPr>
    </w:lvl>
    <w:lvl w:ilvl="4" w:tplc="F5764EF2" w:tentative="1">
      <w:start w:val="1"/>
      <w:numFmt w:val="bullet"/>
      <w:lvlText w:val="•"/>
      <w:lvlJc w:val="left"/>
      <w:pPr>
        <w:tabs>
          <w:tab w:val="num" w:pos="3600"/>
        </w:tabs>
        <w:ind w:left="3600" w:hanging="360"/>
      </w:pPr>
      <w:rPr>
        <w:rFonts w:ascii="Arial" w:hAnsi="Arial" w:hint="default"/>
      </w:rPr>
    </w:lvl>
    <w:lvl w:ilvl="5" w:tplc="240A051A" w:tentative="1">
      <w:start w:val="1"/>
      <w:numFmt w:val="bullet"/>
      <w:lvlText w:val="•"/>
      <w:lvlJc w:val="left"/>
      <w:pPr>
        <w:tabs>
          <w:tab w:val="num" w:pos="4320"/>
        </w:tabs>
        <w:ind w:left="4320" w:hanging="360"/>
      </w:pPr>
      <w:rPr>
        <w:rFonts w:ascii="Arial" w:hAnsi="Arial" w:hint="default"/>
      </w:rPr>
    </w:lvl>
    <w:lvl w:ilvl="6" w:tplc="354035C6" w:tentative="1">
      <w:start w:val="1"/>
      <w:numFmt w:val="bullet"/>
      <w:lvlText w:val="•"/>
      <w:lvlJc w:val="left"/>
      <w:pPr>
        <w:tabs>
          <w:tab w:val="num" w:pos="5040"/>
        </w:tabs>
        <w:ind w:left="5040" w:hanging="360"/>
      </w:pPr>
      <w:rPr>
        <w:rFonts w:ascii="Arial" w:hAnsi="Arial" w:hint="default"/>
      </w:rPr>
    </w:lvl>
    <w:lvl w:ilvl="7" w:tplc="7876A5E6" w:tentative="1">
      <w:start w:val="1"/>
      <w:numFmt w:val="bullet"/>
      <w:lvlText w:val="•"/>
      <w:lvlJc w:val="left"/>
      <w:pPr>
        <w:tabs>
          <w:tab w:val="num" w:pos="5760"/>
        </w:tabs>
        <w:ind w:left="5760" w:hanging="360"/>
      </w:pPr>
      <w:rPr>
        <w:rFonts w:ascii="Arial" w:hAnsi="Arial" w:hint="default"/>
      </w:rPr>
    </w:lvl>
    <w:lvl w:ilvl="8" w:tplc="DCA8D3B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6DE13E3"/>
    <w:multiLevelType w:val="hybridMultilevel"/>
    <w:tmpl w:val="356CB970"/>
    <w:lvl w:ilvl="0" w:tplc="7030567C">
      <w:start w:val="1"/>
      <w:numFmt w:val="bullet"/>
      <w:lvlText w:val="•"/>
      <w:lvlJc w:val="left"/>
      <w:pPr>
        <w:tabs>
          <w:tab w:val="num" w:pos="720"/>
        </w:tabs>
        <w:ind w:left="720" w:hanging="360"/>
      </w:pPr>
      <w:rPr>
        <w:rFonts w:ascii="Arial" w:hAnsi="Arial" w:hint="default"/>
      </w:rPr>
    </w:lvl>
    <w:lvl w:ilvl="1" w:tplc="6B1EB5BA" w:tentative="1">
      <w:start w:val="1"/>
      <w:numFmt w:val="bullet"/>
      <w:lvlText w:val="•"/>
      <w:lvlJc w:val="left"/>
      <w:pPr>
        <w:tabs>
          <w:tab w:val="num" w:pos="1440"/>
        </w:tabs>
        <w:ind w:left="1440" w:hanging="360"/>
      </w:pPr>
      <w:rPr>
        <w:rFonts w:ascii="Arial" w:hAnsi="Arial" w:hint="default"/>
      </w:rPr>
    </w:lvl>
    <w:lvl w:ilvl="2" w:tplc="3FFC3C50" w:tentative="1">
      <w:start w:val="1"/>
      <w:numFmt w:val="bullet"/>
      <w:lvlText w:val="•"/>
      <w:lvlJc w:val="left"/>
      <w:pPr>
        <w:tabs>
          <w:tab w:val="num" w:pos="2160"/>
        </w:tabs>
        <w:ind w:left="2160" w:hanging="360"/>
      </w:pPr>
      <w:rPr>
        <w:rFonts w:ascii="Arial" w:hAnsi="Arial" w:hint="default"/>
      </w:rPr>
    </w:lvl>
    <w:lvl w:ilvl="3" w:tplc="15B876D0" w:tentative="1">
      <w:start w:val="1"/>
      <w:numFmt w:val="bullet"/>
      <w:lvlText w:val="•"/>
      <w:lvlJc w:val="left"/>
      <w:pPr>
        <w:tabs>
          <w:tab w:val="num" w:pos="2880"/>
        </w:tabs>
        <w:ind w:left="2880" w:hanging="360"/>
      </w:pPr>
      <w:rPr>
        <w:rFonts w:ascii="Arial" w:hAnsi="Arial" w:hint="default"/>
      </w:rPr>
    </w:lvl>
    <w:lvl w:ilvl="4" w:tplc="A9220BC0" w:tentative="1">
      <w:start w:val="1"/>
      <w:numFmt w:val="bullet"/>
      <w:lvlText w:val="•"/>
      <w:lvlJc w:val="left"/>
      <w:pPr>
        <w:tabs>
          <w:tab w:val="num" w:pos="3600"/>
        </w:tabs>
        <w:ind w:left="3600" w:hanging="360"/>
      </w:pPr>
      <w:rPr>
        <w:rFonts w:ascii="Arial" w:hAnsi="Arial" w:hint="default"/>
      </w:rPr>
    </w:lvl>
    <w:lvl w:ilvl="5" w:tplc="1C962B9A" w:tentative="1">
      <w:start w:val="1"/>
      <w:numFmt w:val="bullet"/>
      <w:lvlText w:val="•"/>
      <w:lvlJc w:val="left"/>
      <w:pPr>
        <w:tabs>
          <w:tab w:val="num" w:pos="4320"/>
        </w:tabs>
        <w:ind w:left="4320" w:hanging="360"/>
      </w:pPr>
      <w:rPr>
        <w:rFonts w:ascii="Arial" w:hAnsi="Arial" w:hint="default"/>
      </w:rPr>
    </w:lvl>
    <w:lvl w:ilvl="6" w:tplc="0E764070" w:tentative="1">
      <w:start w:val="1"/>
      <w:numFmt w:val="bullet"/>
      <w:lvlText w:val="•"/>
      <w:lvlJc w:val="left"/>
      <w:pPr>
        <w:tabs>
          <w:tab w:val="num" w:pos="5040"/>
        </w:tabs>
        <w:ind w:left="5040" w:hanging="360"/>
      </w:pPr>
      <w:rPr>
        <w:rFonts w:ascii="Arial" w:hAnsi="Arial" w:hint="default"/>
      </w:rPr>
    </w:lvl>
    <w:lvl w:ilvl="7" w:tplc="65CCCA86" w:tentative="1">
      <w:start w:val="1"/>
      <w:numFmt w:val="bullet"/>
      <w:lvlText w:val="•"/>
      <w:lvlJc w:val="left"/>
      <w:pPr>
        <w:tabs>
          <w:tab w:val="num" w:pos="5760"/>
        </w:tabs>
        <w:ind w:left="5760" w:hanging="360"/>
      </w:pPr>
      <w:rPr>
        <w:rFonts w:ascii="Arial" w:hAnsi="Arial" w:hint="default"/>
      </w:rPr>
    </w:lvl>
    <w:lvl w:ilvl="8" w:tplc="F0FA536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7A27B9B"/>
    <w:multiLevelType w:val="hybridMultilevel"/>
    <w:tmpl w:val="B6242746"/>
    <w:lvl w:ilvl="0" w:tplc="EED285A0">
      <w:start w:val="1"/>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DE3BD9"/>
    <w:multiLevelType w:val="hybridMultilevel"/>
    <w:tmpl w:val="6D92F0A0"/>
    <w:lvl w:ilvl="0" w:tplc="EFAE875C">
      <w:start w:val="1"/>
      <w:numFmt w:val="decimal"/>
      <w:lvlText w:val="%1."/>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55A277B4">
      <w:start w:val="1"/>
      <w:numFmt w:val="lowerLetter"/>
      <w:lvlText w:val="%2"/>
      <w:lvlJc w:val="left"/>
      <w:pPr>
        <w:ind w:left="14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A8FA2448">
      <w:start w:val="1"/>
      <w:numFmt w:val="lowerRoman"/>
      <w:lvlText w:val="%3"/>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5540E32A">
      <w:start w:val="1"/>
      <w:numFmt w:val="decimal"/>
      <w:lvlText w:val="%4"/>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87CAE8E6">
      <w:start w:val="1"/>
      <w:numFmt w:val="lowerLetter"/>
      <w:lvlText w:val="%5"/>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707E0062">
      <w:start w:val="1"/>
      <w:numFmt w:val="lowerRoman"/>
      <w:lvlText w:val="%6"/>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03CC1D7C">
      <w:start w:val="1"/>
      <w:numFmt w:val="decimal"/>
      <w:lvlText w:val="%7"/>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6B645D2E">
      <w:start w:val="1"/>
      <w:numFmt w:val="lowerLetter"/>
      <w:lvlText w:val="%8"/>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306AAB42">
      <w:start w:val="1"/>
      <w:numFmt w:val="lowerRoman"/>
      <w:lvlText w:val="%9"/>
      <w:lvlJc w:val="left"/>
      <w:pPr>
        <w:ind w:left="64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2" w15:restartNumberingAfterBreak="0">
    <w:nsid w:val="6BB720DB"/>
    <w:multiLevelType w:val="hybridMultilevel"/>
    <w:tmpl w:val="B31262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2B012D0"/>
    <w:multiLevelType w:val="hybridMultilevel"/>
    <w:tmpl w:val="BBCE6C96"/>
    <w:lvl w:ilvl="0" w:tplc="3360419A">
      <w:start w:val="1"/>
      <w:numFmt w:val="bullet"/>
      <w:lvlText w:val="•"/>
      <w:lvlJc w:val="left"/>
      <w:pPr>
        <w:tabs>
          <w:tab w:val="num" w:pos="720"/>
        </w:tabs>
        <w:ind w:left="720" w:hanging="360"/>
      </w:pPr>
      <w:rPr>
        <w:rFonts w:ascii="Arial" w:hAnsi="Arial" w:hint="default"/>
      </w:rPr>
    </w:lvl>
    <w:lvl w:ilvl="1" w:tplc="14381AE2" w:tentative="1">
      <w:start w:val="1"/>
      <w:numFmt w:val="bullet"/>
      <w:lvlText w:val="•"/>
      <w:lvlJc w:val="left"/>
      <w:pPr>
        <w:tabs>
          <w:tab w:val="num" w:pos="1440"/>
        </w:tabs>
        <w:ind w:left="1440" w:hanging="360"/>
      </w:pPr>
      <w:rPr>
        <w:rFonts w:ascii="Arial" w:hAnsi="Arial" w:hint="default"/>
      </w:rPr>
    </w:lvl>
    <w:lvl w:ilvl="2" w:tplc="B044A2E4" w:tentative="1">
      <w:start w:val="1"/>
      <w:numFmt w:val="bullet"/>
      <w:lvlText w:val="•"/>
      <w:lvlJc w:val="left"/>
      <w:pPr>
        <w:tabs>
          <w:tab w:val="num" w:pos="2160"/>
        </w:tabs>
        <w:ind w:left="2160" w:hanging="360"/>
      </w:pPr>
      <w:rPr>
        <w:rFonts w:ascii="Arial" w:hAnsi="Arial" w:hint="default"/>
      </w:rPr>
    </w:lvl>
    <w:lvl w:ilvl="3" w:tplc="7F64A08E" w:tentative="1">
      <w:start w:val="1"/>
      <w:numFmt w:val="bullet"/>
      <w:lvlText w:val="•"/>
      <w:lvlJc w:val="left"/>
      <w:pPr>
        <w:tabs>
          <w:tab w:val="num" w:pos="2880"/>
        </w:tabs>
        <w:ind w:left="2880" w:hanging="360"/>
      </w:pPr>
      <w:rPr>
        <w:rFonts w:ascii="Arial" w:hAnsi="Arial" w:hint="default"/>
      </w:rPr>
    </w:lvl>
    <w:lvl w:ilvl="4" w:tplc="12BE80C0" w:tentative="1">
      <w:start w:val="1"/>
      <w:numFmt w:val="bullet"/>
      <w:lvlText w:val="•"/>
      <w:lvlJc w:val="left"/>
      <w:pPr>
        <w:tabs>
          <w:tab w:val="num" w:pos="3600"/>
        </w:tabs>
        <w:ind w:left="3600" w:hanging="360"/>
      </w:pPr>
      <w:rPr>
        <w:rFonts w:ascii="Arial" w:hAnsi="Arial" w:hint="default"/>
      </w:rPr>
    </w:lvl>
    <w:lvl w:ilvl="5" w:tplc="AEC4380A" w:tentative="1">
      <w:start w:val="1"/>
      <w:numFmt w:val="bullet"/>
      <w:lvlText w:val="•"/>
      <w:lvlJc w:val="left"/>
      <w:pPr>
        <w:tabs>
          <w:tab w:val="num" w:pos="4320"/>
        </w:tabs>
        <w:ind w:left="4320" w:hanging="360"/>
      </w:pPr>
      <w:rPr>
        <w:rFonts w:ascii="Arial" w:hAnsi="Arial" w:hint="default"/>
      </w:rPr>
    </w:lvl>
    <w:lvl w:ilvl="6" w:tplc="4F5A8154" w:tentative="1">
      <w:start w:val="1"/>
      <w:numFmt w:val="bullet"/>
      <w:lvlText w:val="•"/>
      <w:lvlJc w:val="left"/>
      <w:pPr>
        <w:tabs>
          <w:tab w:val="num" w:pos="5040"/>
        </w:tabs>
        <w:ind w:left="5040" w:hanging="360"/>
      </w:pPr>
      <w:rPr>
        <w:rFonts w:ascii="Arial" w:hAnsi="Arial" w:hint="default"/>
      </w:rPr>
    </w:lvl>
    <w:lvl w:ilvl="7" w:tplc="FEACC276" w:tentative="1">
      <w:start w:val="1"/>
      <w:numFmt w:val="bullet"/>
      <w:lvlText w:val="•"/>
      <w:lvlJc w:val="left"/>
      <w:pPr>
        <w:tabs>
          <w:tab w:val="num" w:pos="5760"/>
        </w:tabs>
        <w:ind w:left="5760" w:hanging="360"/>
      </w:pPr>
      <w:rPr>
        <w:rFonts w:ascii="Arial" w:hAnsi="Arial" w:hint="default"/>
      </w:rPr>
    </w:lvl>
    <w:lvl w:ilvl="8" w:tplc="C4A0CC9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F594025"/>
    <w:multiLevelType w:val="hybridMultilevel"/>
    <w:tmpl w:val="4710A218"/>
    <w:lvl w:ilvl="0" w:tplc="8D44D4E0">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8721673">
    <w:abstractNumId w:val="19"/>
  </w:num>
  <w:num w:numId="2" w16cid:durableId="1541161145">
    <w:abstractNumId w:val="25"/>
  </w:num>
  <w:num w:numId="3" w16cid:durableId="770930141">
    <w:abstractNumId w:val="34"/>
  </w:num>
  <w:num w:numId="4" w16cid:durableId="1542815399">
    <w:abstractNumId w:val="10"/>
  </w:num>
  <w:num w:numId="5" w16cid:durableId="5612529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86361722">
    <w:abstractNumId w:val="13"/>
  </w:num>
  <w:num w:numId="7" w16cid:durableId="2144469171">
    <w:abstractNumId w:val="26"/>
  </w:num>
  <w:num w:numId="8" w16cid:durableId="579172403">
    <w:abstractNumId w:val="9"/>
  </w:num>
  <w:num w:numId="9" w16cid:durableId="1443225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70912062">
    <w:abstractNumId w:val="15"/>
  </w:num>
  <w:num w:numId="11" w16cid:durableId="608007299">
    <w:abstractNumId w:val="3"/>
  </w:num>
  <w:num w:numId="12" w16cid:durableId="1880973473">
    <w:abstractNumId w:val="32"/>
  </w:num>
  <w:num w:numId="13" w16cid:durableId="483473016">
    <w:abstractNumId w:val="14"/>
  </w:num>
  <w:num w:numId="14" w16cid:durableId="1272585669">
    <w:abstractNumId w:val="16"/>
  </w:num>
  <w:num w:numId="15" w16cid:durableId="1838644470">
    <w:abstractNumId w:val="4"/>
  </w:num>
  <w:num w:numId="16" w16cid:durableId="902518784">
    <w:abstractNumId w:val="17"/>
  </w:num>
  <w:num w:numId="17" w16cid:durableId="1511523997">
    <w:abstractNumId w:val="20"/>
  </w:num>
  <w:num w:numId="18" w16cid:durableId="559097048">
    <w:abstractNumId w:val="5"/>
  </w:num>
  <w:num w:numId="19" w16cid:durableId="404301021">
    <w:abstractNumId w:val="1"/>
  </w:num>
  <w:num w:numId="20" w16cid:durableId="801928171">
    <w:abstractNumId w:val="23"/>
  </w:num>
  <w:num w:numId="21" w16cid:durableId="5716335">
    <w:abstractNumId w:val="7"/>
  </w:num>
  <w:num w:numId="22" w16cid:durableId="394819299">
    <w:abstractNumId w:val="18"/>
  </w:num>
  <w:num w:numId="23" w16cid:durableId="224338524">
    <w:abstractNumId w:val="28"/>
  </w:num>
  <w:num w:numId="24" w16cid:durableId="1370447138">
    <w:abstractNumId w:val="2"/>
  </w:num>
  <w:num w:numId="25" w16cid:durableId="481503737">
    <w:abstractNumId w:val="29"/>
  </w:num>
  <w:num w:numId="26" w16cid:durableId="1754006312">
    <w:abstractNumId w:val="6"/>
  </w:num>
  <w:num w:numId="27" w16cid:durableId="2008358528">
    <w:abstractNumId w:val="12"/>
  </w:num>
  <w:num w:numId="28" w16cid:durableId="1107577284">
    <w:abstractNumId w:val="33"/>
  </w:num>
  <w:num w:numId="29" w16cid:durableId="1902400605">
    <w:abstractNumId w:val="24"/>
  </w:num>
  <w:num w:numId="30" w16cid:durableId="1310793885">
    <w:abstractNumId w:val="21"/>
  </w:num>
  <w:num w:numId="31" w16cid:durableId="531575102">
    <w:abstractNumId w:val="8"/>
  </w:num>
  <w:num w:numId="32" w16cid:durableId="940588">
    <w:abstractNumId w:val="0"/>
  </w:num>
  <w:num w:numId="33" w16cid:durableId="1587836535">
    <w:abstractNumId w:val="30"/>
  </w:num>
  <w:num w:numId="34" w16cid:durableId="501160228">
    <w:abstractNumId w:val="22"/>
  </w:num>
  <w:num w:numId="35" w16cid:durableId="15631764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4E1"/>
    <w:rsid w:val="00005683"/>
    <w:rsid w:val="00006390"/>
    <w:rsid w:val="00006FDF"/>
    <w:rsid w:val="0001065F"/>
    <w:rsid w:val="000141AE"/>
    <w:rsid w:val="00017779"/>
    <w:rsid w:val="00022181"/>
    <w:rsid w:val="00023489"/>
    <w:rsid w:val="00027769"/>
    <w:rsid w:val="00030504"/>
    <w:rsid w:val="00043BF4"/>
    <w:rsid w:val="00047C7F"/>
    <w:rsid w:val="00052A22"/>
    <w:rsid w:val="00054F3F"/>
    <w:rsid w:val="00071A94"/>
    <w:rsid w:val="00072E08"/>
    <w:rsid w:val="00082837"/>
    <w:rsid w:val="00084BD6"/>
    <w:rsid w:val="00086550"/>
    <w:rsid w:val="00095FAD"/>
    <w:rsid w:val="000A2008"/>
    <w:rsid w:val="000A2F19"/>
    <w:rsid w:val="000A37A5"/>
    <w:rsid w:val="000A3DAD"/>
    <w:rsid w:val="000A4698"/>
    <w:rsid w:val="000B56EA"/>
    <w:rsid w:val="000C4516"/>
    <w:rsid w:val="000D08C4"/>
    <w:rsid w:val="000D19DD"/>
    <w:rsid w:val="000D292E"/>
    <w:rsid w:val="000D2B7C"/>
    <w:rsid w:val="000E0155"/>
    <w:rsid w:val="000F0C18"/>
    <w:rsid w:val="000F62F6"/>
    <w:rsid w:val="001204B1"/>
    <w:rsid w:val="00122B95"/>
    <w:rsid w:val="001377F9"/>
    <w:rsid w:val="001413EF"/>
    <w:rsid w:val="001435E1"/>
    <w:rsid w:val="00147815"/>
    <w:rsid w:val="00154EFB"/>
    <w:rsid w:val="00176463"/>
    <w:rsid w:val="00185D2D"/>
    <w:rsid w:val="00187F65"/>
    <w:rsid w:val="001941F9"/>
    <w:rsid w:val="001944B0"/>
    <w:rsid w:val="00195CA4"/>
    <w:rsid w:val="001976DE"/>
    <w:rsid w:val="001B08DD"/>
    <w:rsid w:val="001B3205"/>
    <w:rsid w:val="001C066D"/>
    <w:rsid w:val="001C117E"/>
    <w:rsid w:val="001C3D6A"/>
    <w:rsid w:val="001C60B4"/>
    <w:rsid w:val="001D053B"/>
    <w:rsid w:val="001E78B1"/>
    <w:rsid w:val="0020464F"/>
    <w:rsid w:val="00214334"/>
    <w:rsid w:val="002148F5"/>
    <w:rsid w:val="00224C22"/>
    <w:rsid w:val="0022654D"/>
    <w:rsid w:val="00226A16"/>
    <w:rsid w:val="00227809"/>
    <w:rsid w:val="002311E2"/>
    <w:rsid w:val="00233BC1"/>
    <w:rsid w:val="0023617D"/>
    <w:rsid w:val="0023672F"/>
    <w:rsid w:val="002373FE"/>
    <w:rsid w:val="00240AD5"/>
    <w:rsid w:val="00241173"/>
    <w:rsid w:val="00241C9E"/>
    <w:rsid w:val="00253656"/>
    <w:rsid w:val="00262F30"/>
    <w:rsid w:val="0026505B"/>
    <w:rsid w:val="00272767"/>
    <w:rsid w:val="00273222"/>
    <w:rsid w:val="00280375"/>
    <w:rsid w:val="00286C30"/>
    <w:rsid w:val="002A0BA5"/>
    <w:rsid w:val="002B4489"/>
    <w:rsid w:val="002C06B3"/>
    <w:rsid w:val="002C1DE9"/>
    <w:rsid w:val="002C40FC"/>
    <w:rsid w:val="002E217B"/>
    <w:rsid w:val="002F7D00"/>
    <w:rsid w:val="00300182"/>
    <w:rsid w:val="00305631"/>
    <w:rsid w:val="00305C42"/>
    <w:rsid w:val="003227F0"/>
    <w:rsid w:val="003249F9"/>
    <w:rsid w:val="00325326"/>
    <w:rsid w:val="00330AAF"/>
    <w:rsid w:val="003510E9"/>
    <w:rsid w:val="00361BF6"/>
    <w:rsid w:val="00370668"/>
    <w:rsid w:val="0037375D"/>
    <w:rsid w:val="00376A32"/>
    <w:rsid w:val="00387E75"/>
    <w:rsid w:val="003A0104"/>
    <w:rsid w:val="003C0573"/>
    <w:rsid w:val="003C158D"/>
    <w:rsid w:val="003C1F79"/>
    <w:rsid w:val="003C306C"/>
    <w:rsid w:val="003C319D"/>
    <w:rsid w:val="003C48A1"/>
    <w:rsid w:val="003C588F"/>
    <w:rsid w:val="003C79A0"/>
    <w:rsid w:val="003F5138"/>
    <w:rsid w:val="00403BF5"/>
    <w:rsid w:val="004062A6"/>
    <w:rsid w:val="004126E1"/>
    <w:rsid w:val="004143FD"/>
    <w:rsid w:val="004149BA"/>
    <w:rsid w:val="0042434A"/>
    <w:rsid w:val="00424F88"/>
    <w:rsid w:val="00426601"/>
    <w:rsid w:val="00436994"/>
    <w:rsid w:val="00440E10"/>
    <w:rsid w:val="00440E91"/>
    <w:rsid w:val="00456B3E"/>
    <w:rsid w:val="0045732F"/>
    <w:rsid w:val="004665F2"/>
    <w:rsid w:val="00476035"/>
    <w:rsid w:val="004869DC"/>
    <w:rsid w:val="00492D09"/>
    <w:rsid w:val="004A0332"/>
    <w:rsid w:val="004A3598"/>
    <w:rsid w:val="004B1A1D"/>
    <w:rsid w:val="004B29D7"/>
    <w:rsid w:val="004B573F"/>
    <w:rsid w:val="004B5AC7"/>
    <w:rsid w:val="004B709E"/>
    <w:rsid w:val="004E05AF"/>
    <w:rsid w:val="004F5221"/>
    <w:rsid w:val="004F53E6"/>
    <w:rsid w:val="0050347D"/>
    <w:rsid w:val="005042A1"/>
    <w:rsid w:val="00504B86"/>
    <w:rsid w:val="00507A07"/>
    <w:rsid w:val="0051000B"/>
    <w:rsid w:val="00514BE2"/>
    <w:rsid w:val="00520993"/>
    <w:rsid w:val="00527DD3"/>
    <w:rsid w:val="005365CA"/>
    <w:rsid w:val="00537F47"/>
    <w:rsid w:val="0055208E"/>
    <w:rsid w:val="00562F2B"/>
    <w:rsid w:val="00573F30"/>
    <w:rsid w:val="00592514"/>
    <w:rsid w:val="00592DB1"/>
    <w:rsid w:val="005B2432"/>
    <w:rsid w:val="005B760F"/>
    <w:rsid w:val="005C176F"/>
    <w:rsid w:val="005C410C"/>
    <w:rsid w:val="005C502E"/>
    <w:rsid w:val="005C5556"/>
    <w:rsid w:val="005C5A5C"/>
    <w:rsid w:val="005C74E1"/>
    <w:rsid w:val="005D0976"/>
    <w:rsid w:val="005D3574"/>
    <w:rsid w:val="005E682B"/>
    <w:rsid w:val="005F0E65"/>
    <w:rsid w:val="005F7702"/>
    <w:rsid w:val="00600187"/>
    <w:rsid w:val="0060166E"/>
    <w:rsid w:val="00602898"/>
    <w:rsid w:val="0061003A"/>
    <w:rsid w:val="00614A78"/>
    <w:rsid w:val="00615B50"/>
    <w:rsid w:val="00630EC5"/>
    <w:rsid w:val="00656888"/>
    <w:rsid w:val="006579BB"/>
    <w:rsid w:val="00667361"/>
    <w:rsid w:val="00667B11"/>
    <w:rsid w:val="006719E8"/>
    <w:rsid w:val="006767FE"/>
    <w:rsid w:val="00677D25"/>
    <w:rsid w:val="006A496A"/>
    <w:rsid w:val="006B4350"/>
    <w:rsid w:val="006C4FB8"/>
    <w:rsid w:val="006D6486"/>
    <w:rsid w:val="006E6F06"/>
    <w:rsid w:val="006E7226"/>
    <w:rsid w:val="006F0558"/>
    <w:rsid w:val="006F58C4"/>
    <w:rsid w:val="00701AA0"/>
    <w:rsid w:val="00707078"/>
    <w:rsid w:val="007073D6"/>
    <w:rsid w:val="0071013D"/>
    <w:rsid w:val="00713063"/>
    <w:rsid w:val="00716423"/>
    <w:rsid w:val="00722835"/>
    <w:rsid w:val="00724B6C"/>
    <w:rsid w:val="00735C43"/>
    <w:rsid w:val="007363D8"/>
    <w:rsid w:val="00747028"/>
    <w:rsid w:val="00751574"/>
    <w:rsid w:val="00752838"/>
    <w:rsid w:val="007617A5"/>
    <w:rsid w:val="00766E6D"/>
    <w:rsid w:val="00770A75"/>
    <w:rsid w:val="007827F8"/>
    <w:rsid w:val="00787016"/>
    <w:rsid w:val="0079012D"/>
    <w:rsid w:val="007A032F"/>
    <w:rsid w:val="007A7112"/>
    <w:rsid w:val="007A7C90"/>
    <w:rsid w:val="007B1412"/>
    <w:rsid w:val="007B3E18"/>
    <w:rsid w:val="007B4DEB"/>
    <w:rsid w:val="007C11E1"/>
    <w:rsid w:val="007C291F"/>
    <w:rsid w:val="007D130A"/>
    <w:rsid w:val="007D1744"/>
    <w:rsid w:val="007D6C39"/>
    <w:rsid w:val="007E6E9A"/>
    <w:rsid w:val="007E76D4"/>
    <w:rsid w:val="007F7F71"/>
    <w:rsid w:val="008006F1"/>
    <w:rsid w:val="00800A16"/>
    <w:rsid w:val="00821D35"/>
    <w:rsid w:val="00823C76"/>
    <w:rsid w:val="00834545"/>
    <w:rsid w:val="00837560"/>
    <w:rsid w:val="00843057"/>
    <w:rsid w:val="00844FFB"/>
    <w:rsid w:val="00851D34"/>
    <w:rsid w:val="00851D76"/>
    <w:rsid w:val="00861F39"/>
    <w:rsid w:val="00867598"/>
    <w:rsid w:val="00874FFA"/>
    <w:rsid w:val="00886733"/>
    <w:rsid w:val="008933A6"/>
    <w:rsid w:val="008972A4"/>
    <w:rsid w:val="008977B0"/>
    <w:rsid w:val="008B1851"/>
    <w:rsid w:val="008B3232"/>
    <w:rsid w:val="008B50B4"/>
    <w:rsid w:val="008B520C"/>
    <w:rsid w:val="008F2064"/>
    <w:rsid w:val="008F4D76"/>
    <w:rsid w:val="009102ED"/>
    <w:rsid w:val="00910D87"/>
    <w:rsid w:val="00911232"/>
    <w:rsid w:val="009155F6"/>
    <w:rsid w:val="00921FD9"/>
    <w:rsid w:val="009328F4"/>
    <w:rsid w:val="009427A4"/>
    <w:rsid w:val="00942A52"/>
    <w:rsid w:val="0094344F"/>
    <w:rsid w:val="009467AF"/>
    <w:rsid w:val="00950673"/>
    <w:rsid w:val="00950F5C"/>
    <w:rsid w:val="00957B1C"/>
    <w:rsid w:val="0096458C"/>
    <w:rsid w:val="00967ECF"/>
    <w:rsid w:val="009727ED"/>
    <w:rsid w:val="00991696"/>
    <w:rsid w:val="00993649"/>
    <w:rsid w:val="009A588D"/>
    <w:rsid w:val="009A5C6B"/>
    <w:rsid w:val="009B0C46"/>
    <w:rsid w:val="009B1410"/>
    <w:rsid w:val="009B5163"/>
    <w:rsid w:val="009C3C86"/>
    <w:rsid w:val="009E0775"/>
    <w:rsid w:val="009E634E"/>
    <w:rsid w:val="009F7724"/>
    <w:rsid w:val="00A105E6"/>
    <w:rsid w:val="00A128FE"/>
    <w:rsid w:val="00A12AD1"/>
    <w:rsid w:val="00A171F4"/>
    <w:rsid w:val="00A30A2A"/>
    <w:rsid w:val="00A3582C"/>
    <w:rsid w:val="00A36F3E"/>
    <w:rsid w:val="00A379D0"/>
    <w:rsid w:val="00A50693"/>
    <w:rsid w:val="00A53169"/>
    <w:rsid w:val="00A53770"/>
    <w:rsid w:val="00A62F2F"/>
    <w:rsid w:val="00A67269"/>
    <w:rsid w:val="00A74260"/>
    <w:rsid w:val="00A856CF"/>
    <w:rsid w:val="00AA691D"/>
    <w:rsid w:val="00AA7337"/>
    <w:rsid w:val="00AB2C62"/>
    <w:rsid w:val="00AB5339"/>
    <w:rsid w:val="00AB7555"/>
    <w:rsid w:val="00AD2BC5"/>
    <w:rsid w:val="00AD341C"/>
    <w:rsid w:val="00AD55FC"/>
    <w:rsid w:val="00AF6E4F"/>
    <w:rsid w:val="00B06B55"/>
    <w:rsid w:val="00B20F38"/>
    <w:rsid w:val="00B2222D"/>
    <w:rsid w:val="00B271E6"/>
    <w:rsid w:val="00B37FB5"/>
    <w:rsid w:val="00B514EA"/>
    <w:rsid w:val="00B55941"/>
    <w:rsid w:val="00B61E8E"/>
    <w:rsid w:val="00B6642D"/>
    <w:rsid w:val="00B81975"/>
    <w:rsid w:val="00B85C7D"/>
    <w:rsid w:val="00B86A37"/>
    <w:rsid w:val="00BC1C17"/>
    <w:rsid w:val="00BD2E61"/>
    <w:rsid w:val="00BD3A69"/>
    <w:rsid w:val="00BE418C"/>
    <w:rsid w:val="00BF5538"/>
    <w:rsid w:val="00C10851"/>
    <w:rsid w:val="00C27D40"/>
    <w:rsid w:val="00C34B42"/>
    <w:rsid w:val="00C46947"/>
    <w:rsid w:val="00C470E0"/>
    <w:rsid w:val="00C52B54"/>
    <w:rsid w:val="00C62076"/>
    <w:rsid w:val="00C67E54"/>
    <w:rsid w:val="00C87AE1"/>
    <w:rsid w:val="00C87F7B"/>
    <w:rsid w:val="00CA2B55"/>
    <w:rsid w:val="00CA721F"/>
    <w:rsid w:val="00CA7347"/>
    <w:rsid w:val="00CA76A4"/>
    <w:rsid w:val="00CB2318"/>
    <w:rsid w:val="00CB4E0C"/>
    <w:rsid w:val="00CB7CF0"/>
    <w:rsid w:val="00CC5E04"/>
    <w:rsid w:val="00CD15F2"/>
    <w:rsid w:val="00CD5F9C"/>
    <w:rsid w:val="00CE122A"/>
    <w:rsid w:val="00CE3FBC"/>
    <w:rsid w:val="00CF1273"/>
    <w:rsid w:val="00CF510E"/>
    <w:rsid w:val="00D1127A"/>
    <w:rsid w:val="00D21AF1"/>
    <w:rsid w:val="00D25C55"/>
    <w:rsid w:val="00D36F58"/>
    <w:rsid w:val="00D37663"/>
    <w:rsid w:val="00D42187"/>
    <w:rsid w:val="00D45A18"/>
    <w:rsid w:val="00D644EB"/>
    <w:rsid w:val="00D815C5"/>
    <w:rsid w:val="00D8564C"/>
    <w:rsid w:val="00D928FB"/>
    <w:rsid w:val="00DA0DB8"/>
    <w:rsid w:val="00DB33A9"/>
    <w:rsid w:val="00DC4FB6"/>
    <w:rsid w:val="00DD232F"/>
    <w:rsid w:val="00DD5C9E"/>
    <w:rsid w:val="00DE470C"/>
    <w:rsid w:val="00DF772F"/>
    <w:rsid w:val="00E0332B"/>
    <w:rsid w:val="00E05508"/>
    <w:rsid w:val="00E0620C"/>
    <w:rsid w:val="00E10C82"/>
    <w:rsid w:val="00E13654"/>
    <w:rsid w:val="00E2226A"/>
    <w:rsid w:val="00E22C44"/>
    <w:rsid w:val="00E355D7"/>
    <w:rsid w:val="00E43DF9"/>
    <w:rsid w:val="00E60326"/>
    <w:rsid w:val="00E62C26"/>
    <w:rsid w:val="00E6427C"/>
    <w:rsid w:val="00E66857"/>
    <w:rsid w:val="00E70B48"/>
    <w:rsid w:val="00E711E4"/>
    <w:rsid w:val="00E77E90"/>
    <w:rsid w:val="00E82DB0"/>
    <w:rsid w:val="00E90CA3"/>
    <w:rsid w:val="00EA0746"/>
    <w:rsid w:val="00EA0F31"/>
    <w:rsid w:val="00EB0D5D"/>
    <w:rsid w:val="00EB7269"/>
    <w:rsid w:val="00EC2CEA"/>
    <w:rsid w:val="00EC5718"/>
    <w:rsid w:val="00EC5893"/>
    <w:rsid w:val="00ED052B"/>
    <w:rsid w:val="00ED5E4F"/>
    <w:rsid w:val="00EF1D2E"/>
    <w:rsid w:val="00EF3AF1"/>
    <w:rsid w:val="00F041FF"/>
    <w:rsid w:val="00F0559B"/>
    <w:rsid w:val="00F075B3"/>
    <w:rsid w:val="00F1159C"/>
    <w:rsid w:val="00F12447"/>
    <w:rsid w:val="00F15148"/>
    <w:rsid w:val="00F200A1"/>
    <w:rsid w:val="00F2542C"/>
    <w:rsid w:val="00F25A53"/>
    <w:rsid w:val="00F32334"/>
    <w:rsid w:val="00F3525F"/>
    <w:rsid w:val="00F40AB6"/>
    <w:rsid w:val="00F525E8"/>
    <w:rsid w:val="00F55DD1"/>
    <w:rsid w:val="00F61D3B"/>
    <w:rsid w:val="00F647B5"/>
    <w:rsid w:val="00F661C0"/>
    <w:rsid w:val="00F67A85"/>
    <w:rsid w:val="00F855DE"/>
    <w:rsid w:val="00F8631B"/>
    <w:rsid w:val="00F86B67"/>
    <w:rsid w:val="00F9378E"/>
    <w:rsid w:val="00FA1AA6"/>
    <w:rsid w:val="00FB4E11"/>
    <w:rsid w:val="00FC540E"/>
    <w:rsid w:val="00FD3727"/>
    <w:rsid w:val="00FD7A95"/>
    <w:rsid w:val="00FE790C"/>
    <w:rsid w:val="00FF0B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D2F22B"/>
  <w15:chartTrackingRefBased/>
  <w15:docId w15:val="{4264C455-6B3F-4CC7-9674-0DFC1BE2D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DB8"/>
  </w:style>
  <w:style w:type="paragraph" w:styleId="Heading1">
    <w:name w:val="heading 1"/>
    <w:basedOn w:val="Normal"/>
    <w:next w:val="Normal"/>
    <w:link w:val="Heading1Char"/>
    <w:uiPriority w:val="9"/>
    <w:qFormat/>
    <w:rsid w:val="00027769"/>
    <w:pPr>
      <w:keepNext/>
      <w:keepLines/>
      <w:spacing w:before="240" w:after="0" w:line="360" w:lineRule="auto"/>
      <w:jc w:val="center"/>
      <w:outlineLvl w:val="0"/>
    </w:pPr>
    <w:rPr>
      <w:rFonts w:eastAsiaTheme="majorEastAsia" w:cstheme="minorHAnsi"/>
      <w:b/>
    </w:rPr>
  </w:style>
  <w:style w:type="paragraph" w:styleId="Heading2">
    <w:name w:val="heading 2"/>
    <w:basedOn w:val="Normal"/>
    <w:next w:val="Normal"/>
    <w:link w:val="Heading2Char"/>
    <w:uiPriority w:val="9"/>
    <w:unhideWhenUsed/>
    <w:qFormat/>
    <w:rsid w:val="00A53770"/>
    <w:pPr>
      <w:keepNext/>
      <w:keepLines/>
      <w:spacing w:before="40" w:after="0" w:line="360" w:lineRule="auto"/>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unhideWhenUsed/>
    <w:qFormat/>
    <w:rsid w:val="005B76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02348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769"/>
    <w:rPr>
      <w:rFonts w:eastAsiaTheme="majorEastAsia" w:cstheme="minorHAnsi"/>
      <w:b/>
    </w:rPr>
  </w:style>
  <w:style w:type="character" w:customStyle="1" w:styleId="Heading2Char">
    <w:name w:val="Heading 2 Char"/>
    <w:basedOn w:val="DefaultParagraphFont"/>
    <w:link w:val="Heading2"/>
    <w:uiPriority w:val="9"/>
    <w:rsid w:val="00A53770"/>
    <w:rPr>
      <w:rFonts w:asciiTheme="majorHAnsi" w:eastAsiaTheme="majorEastAsia" w:hAnsiTheme="majorHAnsi" w:cstheme="majorBidi"/>
      <w:b/>
      <w:szCs w:val="26"/>
    </w:rPr>
  </w:style>
  <w:style w:type="character" w:customStyle="1" w:styleId="Heading3Char">
    <w:name w:val="Heading 3 Char"/>
    <w:basedOn w:val="DefaultParagraphFont"/>
    <w:link w:val="Heading3"/>
    <w:uiPriority w:val="9"/>
    <w:rsid w:val="005B760F"/>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023489"/>
    <w:rPr>
      <w:rFonts w:asciiTheme="majorHAnsi" w:eastAsiaTheme="majorEastAsia" w:hAnsiTheme="majorHAnsi" w:cstheme="majorBidi"/>
      <w:color w:val="2E74B5" w:themeColor="accent1" w:themeShade="BF"/>
    </w:rPr>
  </w:style>
  <w:style w:type="table" w:styleId="TableGrid">
    <w:name w:val="Table Grid"/>
    <w:basedOn w:val="TableNormal"/>
    <w:uiPriority w:val="39"/>
    <w:rsid w:val="00766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767FE"/>
    <w:pPr>
      <w:outlineLvl w:val="9"/>
    </w:pPr>
    <w:rPr>
      <w:lang w:val="en-US"/>
    </w:rPr>
  </w:style>
  <w:style w:type="paragraph" w:styleId="NormalWeb">
    <w:name w:val="Normal (Web)"/>
    <w:basedOn w:val="Normal"/>
    <w:uiPriority w:val="99"/>
    <w:unhideWhenUsed/>
    <w:rsid w:val="00A62F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62F2F"/>
    <w:rPr>
      <w:color w:val="0563C1" w:themeColor="hyperlink"/>
      <w:u w:val="single"/>
    </w:rPr>
  </w:style>
  <w:style w:type="paragraph" w:styleId="Header">
    <w:name w:val="header"/>
    <w:basedOn w:val="Normal"/>
    <w:link w:val="HeaderChar"/>
    <w:uiPriority w:val="99"/>
    <w:rsid w:val="00A62F2F"/>
    <w:pPr>
      <w:tabs>
        <w:tab w:val="center" w:pos="4320"/>
        <w:tab w:val="right" w:pos="8640"/>
      </w:tabs>
      <w:spacing w:after="0" w:line="240" w:lineRule="auto"/>
    </w:pPr>
    <w:rPr>
      <w:rFonts w:ascii="Garamond" w:eastAsia="Times New Roman" w:hAnsi="Garamond" w:cs="Times New Roman"/>
      <w:color w:val="008000"/>
      <w:w w:val="120"/>
      <w:sz w:val="24"/>
      <w:szCs w:val="24"/>
      <w:lang w:val="en-CA"/>
    </w:rPr>
  </w:style>
  <w:style w:type="character" w:customStyle="1" w:styleId="HeaderChar">
    <w:name w:val="Header Char"/>
    <w:basedOn w:val="DefaultParagraphFont"/>
    <w:link w:val="Header"/>
    <w:uiPriority w:val="99"/>
    <w:rsid w:val="00A62F2F"/>
    <w:rPr>
      <w:rFonts w:ascii="Garamond" w:eastAsia="Times New Roman" w:hAnsi="Garamond" w:cs="Times New Roman"/>
      <w:color w:val="008000"/>
      <w:w w:val="120"/>
      <w:sz w:val="24"/>
      <w:szCs w:val="24"/>
      <w:lang w:val="en-CA"/>
    </w:rPr>
  </w:style>
  <w:style w:type="paragraph" w:styleId="ListParagraph">
    <w:name w:val="List Paragraph"/>
    <w:basedOn w:val="Normal"/>
    <w:uiPriority w:val="34"/>
    <w:qFormat/>
    <w:rsid w:val="00A62F2F"/>
    <w:pPr>
      <w:ind w:left="720"/>
      <w:contextualSpacing/>
    </w:pPr>
  </w:style>
  <w:style w:type="paragraph" w:styleId="NoSpacing">
    <w:name w:val="No Spacing"/>
    <w:uiPriority w:val="1"/>
    <w:qFormat/>
    <w:rsid w:val="00A62F2F"/>
    <w:pPr>
      <w:spacing w:after="0" w:line="240" w:lineRule="auto"/>
    </w:pPr>
  </w:style>
  <w:style w:type="character" w:styleId="CommentReference">
    <w:name w:val="annotation reference"/>
    <w:basedOn w:val="DefaultParagraphFont"/>
    <w:uiPriority w:val="99"/>
    <w:semiHidden/>
    <w:unhideWhenUsed/>
    <w:rsid w:val="00A62F2F"/>
    <w:rPr>
      <w:sz w:val="16"/>
      <w:szCs w:val="16"/>
    </w:rPr>
  </w:style>
  <w:style w:type="paragraph" w:styleId="CommentText">
    <w:name w:val="annotation text"/>
    <w:basedOn w:val="Normal"/>
    <w:link w:val="CommentTextChar"/>
    <w:uiPriority w:val="99"/>
    <w:semiHidden/>
    <w:unhideWhenUsed/>
    <w:rsid w:val="00A62F2F"/>
    <w:pPr>
      <w:spacing w:line="240" w:lineRule="auto"/>
    </w:pPr>
    <w:rPr>
      <w:sz w:val="20"/>
      <w:szCs w:val="20"/>
    </w:rPr>
  </w:style>
  <w:style w:type="character" w:customStyle="1" w:styleId="CommentTextChar">
    <w:name w:val="Comment Text Char"/>
    <w:basedOn w:val="DefaultParagraphFont"/>
    <w:link w:val="CommentText"/>
    <w:uiPriority w:val="99"/>
    <w:semiHidden/>
    <w:rsid w:val="00A62F2F"/>
    <w:rPr>
      <w:sz w:val="20"/>
      <w:szCs w:val="20"/>
    </w:rPr>
  </w:style>
  <w:style w:type="paragraph" w:styleId="CommentSubject">
    <w:name w:val="annotation subject"/>
    <w:basedOn w:val="CommentText"/>
    <w:next w:val="CommentText"/>
    <w:link w:val="CommentSubjectChar"/>
    <w:uiPriority w:val="99"/>
    <w:semiHidden/>
    <w:unhideWhenUsed/>
    <w:rsid w:val="00A62F2F"/>
    <w:rPr>
      <w:b/>
      <w:bCs/>
    </w:rPr>
  </w:style>
  <w:style w:type="character" w:customStyle="1" w:styleId="CommentSubjectChar">
    <w:name w:val="Comment Subject Char"/>
    <w:basedOn w:val="CommentTextChar"/>
    <w:link w:val="CommentSubject"/>
    <w:uiPriority w:val="99"/>
    <w:semiHidden/>
    <w:rsid w:val="00A62F2F"/>
    <w:rPr>
      <w:b/>
      <w:bCs/>
      <w:sz w:val="20"/>
      <w:szCs w:val="20"/>
    </w:rPr>
  </w:style>
  <w:style w:type="paragraph" w:styleId="BalloonText">
    <w:name w:val="Balloon Text"/>
    <w:basedOn w:val="Normal"/>
    <w:link w:val="BalloonTextChar"/>
    <w:uiPriority w:val="99"/>
    <w:semiHidden/>
    <w:unhideWhenUsed/>
    <w:rsid w:val="00A62F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2F2F"/>
    <w:rPr>
      <w:rFonts w:ascii="Segoe UI" w:hAnsi="Segoe UI" w:cs="Segoe UI"/>
      <w:sz w:val="18"/>
      <w:szCs w:val="18"/>
    </w:rPr>
  </w:style>
  <w:style w:type="character" w:styleId="Emphasis">
    <w:name w:val="Emphasis"/>
    <w:basedOn w:val="DefaultParagraphFont"/>
    <w:uiPriority w:val="20"/>
    <w:qFormat/>
    <w:rsid w:val="00A62F2F"/>
    <w:rPr>
      <w:i/>
      <w:iCs/>
    </w:rPr>
  </w:style>
  <w:style w:type="paragraph" w:styleId="Footer">
    <w:name w:val="footer"/>
    <w:basedOn w:val="Normal"/>
    <w:link w:val="FooterChar"/>
    <w:uiPriority w:val="99"/>
    <w:unhideWhenUsed/>
    <w:rsid w:val="00A62F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2F2F"/>
  </w:style>
  <w:style w:type="paragraph" w:styleId="TOC1">
    <w:name w:val="toc 1"/>
    <w:basedOn w:val="Normal"/>
    <w:next w:val="Normal"/>
    <w:autoRedefine/>
    <w:uiPriority w:val="39"/>
    <w:unhideWhenUsed/>
    <w:rsid w:val="00BC1C17"/>
    <w:pPr>
      <w:tabs>
        <w:tab w:val="right" w:leader="dot" w:pos="9016"/>
      </w:tabs>
      <w:spacing w:after="100"/>
    </w:pPr>
    <w:rPr>
      <w:noProof/>
      <w:color w:val="000000" w:themeColor="text1"/>
    </w:rPr>
  </w:style>
  <w:style w:type="paragraph" w:styleId="TOC2">
    <w:name w:val="toc 2"/>
    <w:basedOn w:val="Normal"/>
    <w:next w:val="Normal"/>
    <w:autoRedefine/>
    <w:uiPriority w:val="39"/>
    <w:unhideWhenUsed/>
    <w:rsid w:val="009E634E"/>
    <w:pPr>
      <w:spacing w:after="100"/>
      <w:ind w:left="220"/>
    </w:pPr>
  </w:style>
  <w:style w:type="character" w:styleId="Strong">
    <w:name w:val="Strong"/>
    <w:basedOn w:val="DefaultParagraphFont"/>
    <w:uiPriority w:val="22"/>
    <w:qFormat/>
    <w:rsid w:val="00052A22"/>
    <w:rPr>
      <w:b/>
      <w:bCs/>
    </w:rPr>
  </w:style>
  <w:style w:type="paragraph" w:styleId="BodyText2">
    <w:name w:val="Body Text 2"/>
    <w:basedOn w:val="Normal"/>
    <w:link w:val="BodyText2Char"/>
    <w:rsid w:val="00023489"/>
    <w:pPr>
      <w:tabs>
        <w:tab w:val="left" w:pos="-356"/>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rPr>
      <w:rFonts w:ascii="Times New Roman" w:eastAsia="Times New Roman" w:hAnsi="Times New Roman" w:cs="Times New Roman"/>
      <w:b/>
      <w:szCs w:val="20"/>
      <w:lang w:val="en-US"/>
    </w:rPr>
  </w:style>
  <w:style w:type="character" w:customStyle="1" w:styleId="BodyText2Char">
    <w:name w:val="Body Text 2 Char"/>
    <w:basedOn w:val="DefaultParagraphFont"/>
    <w:link w:val="BodyText2"/>
    <w:rsid w:val="00023489"/>
    <w:rPr>
      <w:rFonts w:ascii="Times New Roman" w:eastAsia="Times New Roman" w:hAnsi="Times New Roman" w:cs="Times New Roman"/>
      <w:b/>
      <w:szCs w:val="20"/>
      <w:lang w:val="en-US"/>
    </w:rPr>
  </w:style>
  <w:style w:type="paragraph" w:customStyle="1" w:styleId="Default">
    <w:name w:val="Default"/>
    <w:rsid w:val="00023489"/>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link w:val="TitleChar"/>
    <w:uiPriority w:val="10"/>
    <w:qFormat/>
    <w:rsid w:val="00023489"/>
    <w:pPr>
      <w:spacing w:after="0" w:line="240" w:lineRule="auto"/>
      <w:jc w:val="center"/>
    </w:pPr>
    <w:rPr>
      <w:rFonts w:ascii="Arial Narrow" w:eastAsia="Times New Roman" w:hAnsi="Arial Narrow" w:cs="Times New Roman"/>
      <w:b/>
      <w:sz w:val="28"/>
      <w:szCs w:val="20"/>
      <w:lang w:eastAsia="en-GB"/>
    </w:rPr>
  </w:style>
  <w:style w:type="character" w:customStyle="1" w:styleId="TitleChar">
    <w:name w:val="Title Char"/>
    <w:basedOn w:val="DefaultParagraphFont"/>
    <w:link w:val="Title"/>
    <w:uiPriority w:val="10"/>
    <w:rsid w:val="00023489"/>
    <w:rPr>
      <w:rFonts w:ascii="Arial Narrow" w:eastAsia="Times New Roman" w:hAnsi="Arial Narrow" w:cs="Times New Roman"/>
      <w:b/>
      <w:sz w:val="28"/>
      <w:szCs w:val="20"/>
      <w:lang w:eastAsia="en-GB"/>
    </w:rPr>
  </w:style>
  <w:style w:type="character" w:customStyle="1" w:styleId="title-text">
    <w:name w:val="title-text"/>
    <w:basedOn w:val="DefaultParagraphFont"/>
    <w:rsid w:val="00023489"/>
  </w:style>
  <w:style w:type="table" w:customStyle="1" w:styleId="TableGrid0">
    <w:name w:val="TableGrid"/>
    <w:rsid w:val="009C3C86"/>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DecimalAligned">
    <w:name w:val="Decimal Aligned"/>
    <w:basedOn w:val="Normal"/>
    <w:uiPriority w:val="40"/>
    <w:qFormat/>
    <w:rsid w:val="00CA721F"/>
    <w:pPr>
      <w:tabs>
        <w:tab w:val="decimal" w:pos="360"/>
      </w:tabs>
      <w:spacing w:after="200" w:line="276" w:lineRule="auto"/>
    </w:pPr>
    <w:rPr>
      <w:rFonts w:eastAsiaTheme="minorEastAsia" w:cs="Times New Roman"/>
      <w:lang w:val="en-US"/>
    </w:rPr>
  </w:style>
  <w:style w:type="paragraph" w:styleId="FootnoteText">
    <w:name w:val="footnote text"/>
    <w:basedOn w:val="Normal"/>
    <w:link w:val="FootnoteTextChar"/>
    <w:uiPriority w:val="99"/>
    <w:unhideWhenUsed/>
    <w:rsid w:val="00CA721F"/>
    <w:pPr>
      <w:spacing w:after="0" w:line="240" w:lineRule="auto"/>
    </w:pPr>
    <w:rPr>
      <w:rFonts w:eastAsiaTheme="minorEastAsia" w:cs="Times New Roman"/>
      <w:sz w:val="20"/>
      <w:szCs w:val="20"/>
      <w:lang w:val="en-US"/>
    </w:rPr>
  </w:style>
  <w:style w:type="character" w:customStyle="1" w:styleId="FootnoteTextChar">
    <w:name w:val="Footnote Text Char"/>
    <w:basedOn w:val="DefaultParagraphFont"/>
    <w:link w:val="FootnoteText"/>
    <w:uiPriority w:val="99"/>
    <w:rsid w:val="00CA721F"/>
    <w:rPr>
      <w:rFonts w:eastAsiaTheme="minorEastAsia" w:cs="Times New Roman"/>
      <w:sz w:val="20"/>
      <w:szCs w:val="20"/>
      <w:lang w:val="en-US"/>
    </w:rPr>
  </w:style>
  <w:style w:type="character" w:styleId="SubtleEmphasis">
    <w:name w:val="Subtle Emphasis"/>
    <w:basedOn w:val="DefaultParagraphFont"/>
    <w:uiPriority w:val="19"/>
    <w:qFormat/>
    <w:rsid w:val="00CA721F"/>
    <w:rPr>
      <w:i/>
      <w:iCs/>
    </w:rPr>
  </w:style>
  <w:style w:type="table" w:styleId="MediumShading2-Accent5">
    <w:name w:val="Medium Shading 2 Accent 5"/>
    <w:basedOn w:val="TableNormal"/>
    <w:uiPriority w:val="64"/>
    <w:rsid w:val="00CA721F"/>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3">
    <w:name w:val="toc 3"/>
    <w:basedOn w:val="Normal"/>
    <w:next w:val="Normal"/>
    <w:autoRedefine/>
    <w:uiPriority w:val="39"/>
    <w:unhideWhenUsed/>
    <w:rsid w:val="00027769"/>
    <w:pPr>
      <w:spacing w:after="100"/>
      <w:ind w:left="440"/>
    </w:pPr>
    <w:rPr>
      <w:rFonts w:eastAsiaTheme="minorEastAsia"/>
      <w:lang w:eastAsia="en-GB"/>
    </w:rPr>
  </w:style>
  <w:style w:type="paragraph" w:styleId="TOC4">
    <w:name w:val="toc 4"/>
    <w:basedOn w:val="Normal"/>
    <w:next w:val="Normal"/>
    <w:autoRedefine/>
    <w:uiPriority w:val="39"/>
    <w:unhideWhenUsed/>
    <w:rsid w:val="00027769"/>
    <w:pPr>
      <w:spacing w:after="100"/>
      <w:ind w:left="660"/>
    </w:pPr>
    <w:rPr>
      <w:rFonts w:eastAsiaTheme="minorEastAsia"/>
      <w:lang w:eastAsia="en-GB"/>
    </w:rPr>
  </w:style>
  <w:style w:type="paragraph" w:styleId="TOC5">
    <w:name w:val="toc 5"/>
    <w:basedOn w:val="Normal"/>
    <w:next w:val="Normal"/>
    <w:autoRedefine/>
    <w:uiPriority w:val="39"/>
    <w:unhideWhenUsed/>
    <w:rsid w:val="00027769"/>
    <w:pPr>
      <w:spacing w:after="100"/>
      <w:ind w:left="880"/>
    </w:pPr>
    <w:rPr>
      <w:rFonts w:eastAsiaTheme="minorEastAsia"/>
      <w:lang w:eastAsia="en-GB"/>
    </w:rPr>
  </w:style>
  <w:style w:type="paragraph" w:styleId="TOC6">
    <w:name w:val="toc 6"/>
    <w:basedOn w:val="Normal"/>
    <w:next w:val="Normal"/>
    <w:autoRedefine/>
    <w:uiPriority w:val="39"/>
    <w:unhideWhenUsed/>
    <w:rsid w:val="00027769"/>
    <w:pPr>
      <w:spacing w:after="100"/>
      <w:ind w:left="1100"/>
    </w:pPr>
    <w:rPr>
      <w:rFonts w:eastAsiaTheme="minorEastAsia"/>
      <w:lang w:eastAsia="en-GB"/>
    </w:rPr>
  </w:style>
  <w:style w:type="paragraph" w:styleId="TOC7">
    <w:name w:val="toc 7"/>
    <w:basedOn w:val="Normal"/>
    <w:next w:val="Normal"/>
    <w:autoRedefine/>
    <w:uiPriority w:val="39"/>
    <w:unhideWhenUsed/>
    <w:rsid w:val="00027769"/>
    <w:pPr>
      <w:spacing w:after="100"/>
      <w:ind w:left="1320"/>
    </w:pPr>
    <w:rPr>
      <w:rFonts w:eastAsiaTheme="minorEastAsia"/>
      <w:lang w:eastAsia="en-GB"/>
    </w:rPr>
  </w:style>
  <w:style w:type="paragraph" w:styleId="TOC8">
    <w:name w:val="toc 8"/>
    <w:basedOn w:val="Normal"/>
    <w:next w:val="Normal"/>
    <w:autoRedefine/>
    <w:uiPriority w:val="39"/>
    <w:unhideWhenUsed/>
    <w:rsid w:val="00027769"/>
    <w:pPr>
      <w:spacing w:after="100"/>
      <w:ind w:left="1540"/>
    </w:pPr>
    <w:rPr>
      <w:rFonts w:eastAsiaTheme="minorEastAsia"/>
      <w:lang w:eastAsia="en-GB"/>
    </w:rPr>
  </w:style>
  <w:style w:type="paragraph" w:styleId="TOC9">
    <w:name w:val="toc 9"/>
    <w:basedOn w:val="Normal"/>
    <w:next w:val="Normal"/>
    <w:autoRedefine/>
    <w:uiPriority w:val="39"/>
    <w:unhideWhenUsed/>
    <w:rsid w:val="00027769"/>
    <w:pPr>
      <w:spacing w:after="100"/>
      <w:ind w:left="1760"/>
    </w:pPr>
    <w:rPr>
      <w:rFonts w:eastAsiaTheme="minorEastAsia"/>
      <w:lang w:eastAsia="en-GB"/>
    </w:rPr>
  </w:style>
  <w:style w:type="table" w:styleId="GridTable4-Accent5">
    <w:name w:val="Grid Table 4 Accent 5"/>
    <w:basedOn w:val="TableNormal"/>
    <w:uiPriority w:val="49"/>
    <w:rsid w:val="00F3525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FootnoteReference">
    <w:name w:val="footnote reference"/>
    <w:basedOn w:val="DefaultParagraphFont"/>
    <w:uiPriority w:val="99"/>
    <w:semiHidden/>
    <w:unhideWhenUsed/>
    <w:rsid w:val="00CE12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02879">
      <w:bodyDiv w:val="1"/>
      <w:marLeft w:val="0"/>
      <w:marRight w:val="0"/>
      <w:marTop w:val="0"/>
      <w:marBottom w:val="0"/>
      <w:divBdr>
        <w:top w:val="none" w:sz="0" w:space="0" w:color="auto"/>
        <w:left w:val="none" w:sz="0" w:space="0" w:color="auto"/>
        <w:bottom w:val="none" w:sz="0" w:space="0" w:color="auto"/>
        <w:right w:val="none" w:sz="0" w:space="0" w:color="auto"/>
      </w:divBdr>
      <w:divsChild>
        <w:div w:id="737822021">
          <w:marLeft w:val="0"/>
          <w:marRight w:val="0"/>
          <w:marTop w:val="0"/>
          <w:marBottom w:val="0"/>
          <w:divBdr>
            <w:top w:val="none" w:sz="0" w:space="0" w:color="auto"/>
            <w:left w:val="none" w:sz="0" w:space="0" w:color="auto"/>
            <w:bottom w:val="none" w:sz="0" w:space="0" w:color="auto"/>
            <w:right w:val="none" w:sz="0" w:space="0" w:color="auto"/>
          </w:divBdr>
        </w:div>
      </w:divsChild>
    </w:div>
    <w:div w:id="91055755">
      <w:bodyDiv w:val="1"/>
      <w:marLeft w:val="0"/>
      <w:marRight w:val="0"/>
      <w:marTop w:val="0"/>
      <w:marBottom w:val="0"/>
      <w:divBdr>
        <w:top w:val="none" w:sz="0" w:space="0" w:color="auto"/>
        <w:left w:val="none" w:sz="0" w:space="0" w:color="auto"/>
        <w:bottom w:val="none" w:sz="0" w:space="0" w:color="auto"/>
        <w:right w:val="none" w:sz="0" w:space="0" w:color="auto"/>
      </w:divBdr>
      <w:divsChild>
        <w:div w:id="945192315">
          <w:marLeft w:val="0"/>
          <w:marRight w:val="0"/>
          <w:marTop w:val="0"/>
          <w:marBottom w:val="0"/>
          <w:divBdr>
            <w:top w:val="none" w:sz="0" w:space="0" w:color="auto"/>
            <w:left w:val="none" w:sz="0" w:space="0" w:color="auto"/>
            <w:bottom w:val="none" w:sz="0" w:space="0" w:color="auto"/>
            <w:right w:val="none" w:sz="0" w:space="0" w:color="auto"/>
          </w:divBdr>
        </w:div>
      </w:divsChild>
    </w:div>
    <w:div w:id="190190663">
      <w:bodyDiv w:val="1"/>
      <w:marLeft w:val="0"/>
      <w:marRight w:val="0"/>
      <w:marTop w:val="0"/>
      <w:marBottom w:val="0"/>
      <w:divBdr>
        <w:top w:val="none" w:sz="0" w:space="0" w:color="auto"/>
        <w:left w:val="none" w:sz="0" w:space="0" w:color="auto"/>
        <w:bottom w:val="none" w:sz="0" w:space="0" w:color="auto"/>
        <w:right w:val="none" w:sz="0" w:space="0" w:color="auto"/>
      </w:divBdr>
    </w:div>
    <w:div w:id="411662604">
      <w:bodyDiv w:val="1"/>
      <w:marLeft w:val="0"/>
      <w:marRight w:val="0"/>
      <w:marTop w:val="0"/>
      <w:marBottom w:val="0"/>
      <w:divBdr>
        <w:top w:val="none" w:sz="0" w:space="0" w:color="auto"/>
        <w:left w:val="none" w:sz="0" w:space="0" w:color="auto"/>
        <w:bottom w:val="none" w:sz="0" w:space="0" w:color="auto"/>
        <w:right w:val="none" w:sz="0" w:space="0" w:color="auto"/>
      </w:divBdr>
    </w:div>
    <w:div w:id="506867262">
      <w:bodyDiv w:val="1"/>
      <w:marLeft w:val="0"/>
      <w:marRight w:val="0"/>
      <w:marTop w:val="0"/>
      <w:marBottom w:val="0"/>
      <w:divBdr>
        <w:top w:val="none" w:sz="0" w:space="0" w:color="auto"/>
        <w:left w:val="none" w:sz="0" w:space="0" w:color="auto"/>
        <w:bottom w:val="none" w:sz="0" w:space="0" w:color="auto"/>
        <w:right w:val="none" w:sz="0" w:space="0" w:color="auto"/>
      </w:divBdr>
    </w:div>
    <w:div w:id="832916416">
      <w:bodyDiv w:val="1"/>
      <w:marLeft w:val="0"/>
      <w:marRight w:val="0"/>
      <w:marTop w:val="0"/>
      <w:marBottom w:val="0"/>
      <w:divBdr>
        <w:top w:val="none" w:sz="0" w:space="0" w:color="auto"/>
        <w:left w:val="none" w:sz="0" w:space="0" w:color="auto"/>
        <w:bottom w:val="none" w:sz="0" w:space="0" w:color="auto"/>
        <w:right w:val="none" w:sz="0" w:space="0" w:color="auto"/>
      </w:divBdr>
    </w:div>
    <w:div w:id="920332279">
      <w:bodyDiv w:val="1"/>
      <w:marLeft w:val="0"/>
      <w:marRight w:val="0"/>
      <w:marTop w:val="0"/>
      <w:marBottom w:val="0"/>
      <w:divBdr>
        <w:top w:val="none" w:sz="0" w:space="0" w:color="auto"/>
        <w:left w:val="none" w:sz="0" w:space="0" w:color="auto"/>
        <w:bottom w:val="none" w:sz="0" w:space="0" w:color="auto"/>
        <w:right w:val="none" w:sz="0" w:space="0" w:color="auto"/>
      </w:divBdr>
    </w:div>
    <w:div w:id="1095904728">
      <w:bodyDiv w:val="1"/>
      <w:marLeft w:val="0"/>
      <w:marRight w:val="0"/>
      <w:marTop w:val="0"/>
      <w:marBottom w:val="0"/>
      <w:divBdr>
        <w:top w:val="none" w:sz="0" w:space="0" w:color="auto"/>
        <w:left w:val="none" w:sz="0" w:space="0" w:color="auto"/>
        <w:bottom w:val="none" w:sz="0" w:space="0" w:color="auto"/>
        <w:right w:val="none" w:sz="0" w:space="0" w:color="auto"/>
      </w:divBdr>
    </w:div>
    <w:div w:id="1186797124">
      <w:bodyDiv w:val="1"/>
      <w:marLeft w:val="0"/>
      <w:marRight w:val="0"/>
      <w:marTop w:val="0"/>
      <w:marBottom w:val="0"/>
      <w:divBdr>
        <w:top w:val="none" w:sz="0" w:space="0" w:color="auto"/>
        <w:left w:val="none" w:sz="0" w:space="0" w:color="auto"/>
        <w:bottom w:val="none" w:sz="0" w:space="0" w:color="auto"/>
        <w:right w:val="none" w:sz="0" w:space="0" w:color="auto"/>
      </w:divBdr>
    </w:div>
    <w:div w:id="1187214537">
      <w:bodyDiv w:val="1"/>
      <w:marLeft w:val="0"/>
      <w:marRight w:val="0"/>
      <w:marTop w:val="0"/>
      <w:marBottom w:val="0"/>
      <w:divBdr>
        <w:top w:val="none" w:sz="0" w:space="0" w:color="auto"/>
        <w:left w:val="none" w:sz="0" w:space="0" w:color="auto"/>
        <w:bottom w:val="none" w:sz="0" w:space="0" w:color="auto"/>
        <w:right w:val="none" w:sz="0" w:space="0" w:color="auto"/>
      </w:divBdr>
    </w:div>
    <w:div w:id="1221212412">
      <w:bodyDiv w:val="1"/>
      <w:marLeft w:val="0"/>
      <w:marRight w:val="0"/>
      <w:marTop w:val="0"/>
      <w:marBottom w:val="0"/>
      <w:divBdr>
        <w:top w:val="none" w:sz="0" w:space="0" w:color="auto"/>
        <w:left w:val="none" w:sz="0" w:space="0" w:color="auto"/>
        <w:bottom w:val="none" w:sz="0" w:space="0" w:color="auto"/>
        <w:right w:val="none" w:sz="0" w:space="0" w:color="auto"/>
      </w:divBdr>
    </w:div>
    <w:div w:id="1269972314">
      <w:bodyDiv w:val="1"/>
      <w:marLeft w:val="0"/>
      <w:marRight w:val="0"/>
      <w:marTop w:val="0"/>
      <w:marBottom w:val="0"/>
      <w:divBdr>
        <w:top w:val="none" w:sz="0" w:space="0" w:color="auto"/>
        <w:left w:val="none" w:sz="0" w:space="0" w:color="auto"/>
        <w:bottom w:val="none" w:sz="0" w:space="0" w:color="auto"/>
        <w:right w:val="none" w:sz="0" w:space="0" w:color="auto"/>
      </w:divBdr>
    </w:div>
    <w:div w:id="1302733221">
      <w:bodyDiv w:val="1"/>
      <w:marLeft w:val="0"/>
      <w:marRight w:val="0"/>
      <w:marTop w:val="0"/>
      <w:marBottom w:val="0"/>
      <w:divBdr>
        <w:top w:val="none" w:sz="0" w:space="0" w:color="auto"/>
        <w:left w:val="none" w:sz="0" w:space="0" w:color="auto"/>
        <w:bottom w:val="none" w:sz="0" w:space="0" w:color="auto"/>
        <w:right w:val="none" w:sz="0" w:space="0" w:color="auto"/>
      </w:divBdr>
      <w:divsChild>
        <w:div w:id="1717848238">
          <w:marLeft w:val="0"/>
          <w:marRight w:val="0"/>
          <w:marTop w:val="0"/>
          <w:marBottom w:val="0"/>
          <w:divBdr>
            <w:top w:val="none" w:sz="0" w:space="0" w:color="auto"/>
            <w:left w:val="none" w:sz="0" w:space="0" w:color="auto"/>
            <w:bottom w:val="none" w:sz="0" w:space="0" w:color="auto"/>
            <w:right w:val="none" w:sz="0" w:space="0" w:color="auto"/>
          </w:divBdr>
        </w:div>
      </w:divsChild>
    </w:div>
    <w:div w:id="1307859595">
      <w:bodyDiv w:val="1"/>
      <w:marLeft w:val="0"/>
      <w:marRight w:val="0"/>
      <w:marTop w:val="0"/>
      <w:marBottom w:val="0"/>
      <w:divBdr>
        <w:top w:val="none" w:sz="0" w:space="0" w:color="auto"/>
        <w:left w:val="none" w:sz="0" w:space="0" w:color="auto"/>
        <w:bottom w:val="none" w:sz="0" w:space="0" w:color="auto"/>
        <w:right w:val="none" w:sz="0" w:space="0" w:color="auto"/>
      </w:divBdr>
      <w:divsChild>
        <w:div w:id="489060286">
          <w:marLeft w:val="0"/>
          <w:marRight w:val="0"/>
          <w:marTop w:val="0"/>
          <w:marBottom w:val="0"/>
          <w:divBdr>
            <w:top w:val="none" w:sz="0" w:space="0" w:color="auto"/>
            <w:left w:val="none" w:sz="0" w:space="0" w:color="auto"/>
            <w:bottom w:val="none" w:sz="0" w:space="0" w:color="auto"/>
            <w:right w:val="none" w:sz="0" w:space="0" w:color="auto"/>
          </w:divBdr>
        </w:div>
      </w:divsChild>
    </w:div>
    <w:div w:id="1311520207">
      <w:bodyDiv w:val="1"/>
      <w:marLeft w:val="0"/>
      <w:marRight w:val="0"/>
      <w:marTop w:val="0"/>
      <w:marBottom w:val="0"/>
      <w:divBdr>
        <w:top w:val="none" w:sz="0" w:space="0" w:color="auto"/>
        <w:left w:val="none" w:sz="0" w:space="0" w:color="auto"/>
        <w:bottom w:val="none" w:sz="0" w:space="0" w:color="auto"/>
        <w:right w:val="none" w:sz="0" w:space="0" w:color="auto"/>
      </w:divBdr>
    </w:div>
    <w:div w:id="1333140011">
      <w:bodyDiv w:val="1"/>
      <w:marLeft w:val="0"/>
      <w:marRight w:val="0"/>
      <w:marTop w:val="0"/>
      <w:marBottom w:val="0"/>
      <w:divBdr>
        <w:top w:val="none" w:sz="0" w:space="0" w:color="auto"/>
        <w:left w:val="none" w:sz="0" w:space="0" w:color="auto"/>
        <w:bottom w:val="none" w:sz="0" w:space="0" w:color="auto"/>
        <w:right w:val="none" w:sz="0" w:space="0" w:color="auto"/>
      </w:divBdr>
      <w:divsChild>
        <w:div w:id="1479877743">
          <w:marLeft w:val="0"/>
          <w:marRight w:val="0"/>
          <w:marTop w:val="0"/>
          <w:marBottom w:val="0"/>
          <w:divBdr>
            <w:top w:val="none" w:sz="0" w:space="0" w:color="auto"/>
            <w:left w:val="none" w:sz="0" w:space="0" w:color="auto"/>
            <w:bottom w:val="none" w:sz="0" w:space="0" w:color="auto"/>
            <w:right w:val="none" w:sz="0" w:space="0" w:color="auto"/>
          </w:divBdr>
        </w:div>
      </w:divsChild>
    </w:div>
    <w:div w:id="1404789959">
      <w:bodyDiv w:val="1"/>
      <w:marLeft w:val="0"/>
      <w:marRight w:val="0"/>
      <w:marTop w:val="0"/>
      <w:marBottom w:val="0"/>
      <w:divBdr>
        <w:top w:val="none" w:sz="0" w:space="0" w:color="auto"/>
        <w:left w:val="none" w:sz="0" w:space="0" w:color="auto"/>
        <w:bottom w:val="none" w:sz="0" w:space="0" w:color="auto"/>
        <w:right w:val="none" w:sz="0" w:space="0" w:color="auto"/>
      </w:divBdr>
    </w:div>
    <w:div w:id="1502772716">
      <w:bodyDiv w:val="1"/>
      <w:marLeft w:val="0"/>
      <w:marRight w:val="0"/>
      <w:marTop w:val="0"/>
      <w:marBottom w:val="0"/>
      <w:divBdr>
        <w:top w:val="none" w:sz="0" w:space="0" w:color="auto"/>
        <w:left w:val="none" w:sz="0" w:space="0" w:color="auto"/>
        <w:bottom w:val="none" w:sz="0" w:space="0" w:color="auto"/>
        <w:right w:val="none" w:sz="0" w:space="0" w:color="auto"/>
      </w:divBdr>
    </w:div>
    <w:div w:id="1648709314">
      <w:bodyDiv w:val="1"/>
      <w:marLeft w:val="0"/>
      <w:marRight w:val="0"/>
      <w:marTop w:val="0"/>
      <w:marBottom w:val="0"/>
      <w:divBdr>
        <w:top w:val="none" w:sz="0" w:space="0" w:color="auto"/>
        <w:left w:val="none" w:sz="0" w:space="0" w:color="auto"/>
        <w:bottom w:val="none" w:sz="0" w:space="0" w:color="auto"/>
        <w:right w:val="none" w:sz="0" w:space="0" w:color="auto"/>
      </w:divBdr>
    </w:div>
    <w:div w:id="1767117829">
      <w:bodyDiv w:val="1"/>
      <w:marLeft w:val="0"/>
      <w:marRight w:val="0"/>
      <w:marTop w:val="0"/>
      <w:marBottom w:val="0"/>
      <w:divBdr>
        <w:top w:val="none" w:sz="0" w:space="0" w:color="auto"/>
        <w:left w:val="none" w:sz="0" w:space="0" w:color="auto"/>
        <w:bottom w:val="none" w:sz="0" w:space="0" w:color="auto"/>
        <w:right w:val="none" w:sz="0" w:space="0" w:color="auto"/>
      </w:divBdr>
      <w:divsChild>
        <w:div w:id="253822679">
          <w:marLeft w:val="0"/>
          <w:marRight w:val="0"/>
          <w:marTop w:val="0"/>
          <w:marBottom w:val="0"/>
          <w:divBdr>
            <w:top w:val="none" w:sz="0" w:space="0" w:color="auto"/>
            <w:left w:val="none" w:sz="0" w:space="0" w:color="auto"/>
            <w:bottom w:val="none" w:sz="0" w:space="0" w:color="auto"/>
            <w:right w:val="none" w:sz="0" w:space="0" w:color="auto"/>
          </w:divBdr>
        </w:div>
      </w:divsChild>
    </w:div>
    <w:div w:id="1784154793">
      <w:bodyDiv w:val="1"/>
      <w:marLeft w:val="0"/>
      <w:marRight w:val="0"/>
      <w:marTop w:val="0"/>
      <w:marBottom w:val="0"/>
      <w:divBdr>
        <w:top w:val="none" w:sz="0" w:space="0" w:color="auto"/>
        <w:left w:val="none" w:sz="0" w:space="0" w:color="auto"/>
        <w:bottom w:val="none" w:sz="0" w:space="0" w:color="auto"/>
        <w:right w:val="none" w:sz="0" w:space="0" w:color="auto"/>
      </w:divBdr>
    </w:div>
    <w:div w:id="1850368876">
      <w:bodyDiv w:val="1"/>
      <w:marLeft w:val="0"/>
      <w:marRight w:val="0"/>
      <w:marTop w:val="0"/>
      <w:marBottom w:val="0"/>
      <w:divBdr>
        <w:top w:val="none" w:sz="0" w:space="0" w:color="auto"/>
        <w:left w:val="none" w:sz="0" w:space="0" w:color="auto"/>
        <w:bottom w:val="none" w:sz="0" w:space="0" w:color="auto"/>
        <w:right w:val="none" w:sz="0" w:space="0" w:color="auto"/>
      </w:divBdr>
    </w:div>
    <w:div w:id="1989165564">
      <w:bodyDiv w:val="1"/>
      <w:marLeft w:val="0"/>
      <w:marRight w:val="0"/>
      <w:marTop w:val="0"/>
      <w:marBottom w:val="0"/>
      <w:divBdr>
        <w:top w:val="none" w:sz="0" w:space="0" w:color="auto"/>
        <w:left w:val="none" w:sz="0" w:space="0" w:color="auto"/>
        <w:bottom w:val="none" w:sz="0" w:space="0" w:color="auto"/>
        <w:right w:val="none" w:sz="0" w:space="0" w:color="auto"/>
      </w:divBdr>
      <w:divsChild>
        <w:div w:id="2062358773">
          <w:marLeft w:val="0"/>
          <w:marRight w:val="0"/>
          <w:marTop w:val="0"/>
          <w:marBottom w:val="0"/>
          <w:divBdr>
            <w:top w:val="none" w:sz="0" w:space="0" w:color="auto"/>
            <w:left w:val="none" w:sz="0" w:space="0" w:color="auto"/>
            <w:bottom w:val="none" w:sz="0" w:space="0" w:color="auto"/>
            <w:right w:val="none" w:sz="0" w:space="0" w:color="auto"/>
          </w:divBdr>
        </w:div>
      </w:divsChild>
    </w:div>
    <w:div w:id="1990017695">
      <w:bodyDiv w:val="1"/>
      <w:marLeft w:val="0"/>
      <w:marRight w:val="0"/>
      <w:marTop w:val="0"/>
      <w:marBottom w:val="0"/>
      <w:divBdr>
        <w:top w:val="none" w:sz="0" w:space="0" w:color="auto"/>
        <w:left w:val="none" w:sz="0" w:space="0" w:color="auto"/>
        <w:bottom w:val="none" w:sz="0" w:space="0" w:color="auto"/>
        <w:right w:val="none" w:sz="0" w:space="0" w:color="auto"/>
      </w:divBdr>
    </w:div>
    <w:div w:id="2087871766">
      <w:bodyDiv w:val="1"/>
      <w:marLeft w:val="0"/>
      <w:marRight w:val="0"/>
      <w:marTop w:val="0"/>
      <w:marBottom w:val="0"/>
      <w:divBdr>
        <w:top w:val="none" w:sz="0" w:space="0" w:color="auto"/>
        <w:left w:val="none" w:sz="0" w:space="0" w:color="auto"/>
        <w:bottom w:val="none" w:sz="0" w:space="0" w:color="auto"/>
        <w:right w:val="none" w:sz="0" w:space="0" w:color="auto"/>
      </w:divBdr>
      <w:divsChild>
        <w:div w:id="12516985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Tim.Horne@staffs.ac.uk" TargetMode="External"/><Relationship Id="rId21" Type="http://schemas.openxmlformats.org/officeDocument/2006/relationships/hyperlink" Target="https://doi.org/10.1007/s10902-020-00352-3" TargetMode="External"/><Relationship Id="rId42" Type="http://schemas.openxmlformats.org/officeDocument/2006/relationships/hyperlink" Target="https://www.hra.nhs.uk/" TargetMode="External"/><Relationship Id="rId63" Type="http://schemas.openxmlformats.org/officeDocument/2006/relationships/hyperlink" Target="https://doi.org/10.1111/acps.12956" TargetMode="External"/><Relationship Id="rId84" Type="http://schemas.openxmlformats.org/officeDocument/2006/relationships/hyperlink" Target="https://doi.org/10.1186/s12889-020-08903-2" TargetMode="External"/><Relationship Id="rId138" Type="http://schemas.openxmlformats.org/officeDocument/2006/relationships/image" Target="media/image3.png"/><Relationship Id="rId159" Type="http://schemas.openxmlformats.org/officeDocument/2006/relationships/hyperlink" Target="https://doi.org/10.1016/j.jpsychores.2013.06.005" TargetMode="External"/><Relationship Id="rId170" Type="http://schemas.openxmlformats.org/officeDocument/2006/relationships/hyperlink" Target="https://doi.org/10.1111/epi.12754" TargetMode="External"/><Relationship Id="rId191" Type="http://schemas.openxmlformats.org/officeDocument/2006/relationships/image" Target="media/image29.png"/><Relationship Id="rId205" Type="http://schemas.openxmlformats.org/officeDocument/2006/relationships/header" Target="header2.xml"/><Relationship Id="rId107" Type="http://schemas.openxmlformats.org/officeDocument/2006/relationships/hyperlink" Target="https://doi.org/10.1002/jts.22059" TargetMode="External"/><Relationship Id="rId11" Type="http://schemas.openxmlformats.org/officeDocument/2006/relationships/image" Target="media/image1.png"/><Relationship Id="rId32" Type="http://schemas.openxmlformats.org/officeDocument/2006/relationships/hyperlink" Target="mailto:james.rowland@student.staffs.ac.uk" TargetMode="External"/><Relationship Id="rId53" Type="http://schemas.openxmlformats.org/officeDocument/2006/relationships/hyperlink" Target="https://www.cdc.gov/epilepsy/about/types-of-seizures.htm" TargetMode="External"/><Relationship Id="rId74" Type="http://schemas.openxmlformats.org/officeDocument/2006/relationships/hyperlink" Target="https://doi.org/10.1016/j.eplepsyres.2003.11.004" TargetMode="External"/><Relationship Id="rId128" Type="http://schemas.openxmlformats.org/officeDocument/2006/relationships/hyperlink" Target="https://doi.org/10.2466/02.09.15.16.pr0.109.5.573-599" TargetMode="External"/><Relationship Id="rId149" Type="http://schemas.openxmlformats.org/officeDocument/2006/relationships/hyperlink" Target="https://doi.org/10.1097/01.xeb.0000511348.97198.8c" TargetMode="External"/><Relationship Id="rId5" Type="http://schemas.openxmlformats.org/officeDocument/2006/relationships/numbering" Target="numbering.xml"/><Relationship Id="rId95" Type="http://schemas.openxmlformats.org/officeDocument/2006/relationships/hyperlink" Target="https://www.myresearchproject.org.uk/help/hlpnhshscr.aspx" TargetMode="External"/><Relationship Id="rId160" Type="http://schemas.openxmlformats.org/officeDocument/2006/relationships/image" Target="media/image7.jpeg"/><Relationship Id="rId181" Type="http://schemas.openxmlformats.org/officeDocument/2006/relationships/image" Target="media/image19.png"/><Relationship Id="rId22" Type="http://schemas.openxmlformats.org/officeDocument/2006/relationships/hyperlink" Target="https://doi.org/10.3389/fnbeh.2018.00258" TargetMode="External"/><Relationship Id="rId43" Type="http://schemas.openxmlformats.org/officeDocument/2006/relationships/hyperlink" Target="https://doi.org/10.1007/s10615-010-0300-7" TargetMode="External"/><Relationship Id="rId64" Type="http://schemas.openxmlformats.org/officeDocument/2006/relationships/hyperlink" Target="https://doi.org/10.1016/s0005-7967(99)00133-3" TargetMode="External"/><Relationship Id="rId118" Type="http://schemas.openxmlformats.org/officeDocument/2006/relationships/hyperlink" Target="https://doi.org/10.1016/j.yebeh.2019.106649" TargetMode="External"/><Relationship Id="rId139" Type="http://schemas.openxmlformats.org/officeDocument/2006/relationships/hyperlink" Target="https://doi.org/10.1136/bmjopen-2016-011458" TargetMode="External"/><Relationship Id="rId85" Type="http://schemas.openxmlformats.org/officeDocument/2006/relationships/hyperlink" Target="https://doi.org/10.1016/j.brat.2011.12.005" TargetMode="External"/><Relationship Id="rId150" Type="http://schemas.openxmlformats.org/officeDocument/2006/relationships/hyperlink" Target="https://doi.org/10.1016/j.yebeh.2007.12.019" TargetMode="External"/><Relationship Id="rId171" Type="http://schemas.openxmlformats.org/officeDocument/2006/relationships/hyperlink" Target="https://doi.org/10.1111/j.0013-9580.2004.17504.x" TargetMode="External"/><Relationship Id="rId192" Type="http://schemas.openxmlformats.org/officeDocument/2006/relationships/image" Target="media/image30.png"/><Relationship Id="rId206" Type="http://schemas.openxmlformats.org/officeDocument/2006/relationships/fontTable" Target="fontTable.xml"/><Relationship Id="rId12" Type="http://schemas.openxmlformats.org/officeDocument/2006/relationships/hyperlink" Target="https://www.myresearchproject.org.uk/help/hlpsitespecific.aspx" TargetMode="External"/><Relationship Id="rId33" Type="http://schemas.openxmlformats.org/officeDocument/2006/relationships/hyperlink" Target="https://www.hra.nhs.uk/approvals-amendments/what-approvals-do-i-need/research-ethics-committee-review/applying-research-ethics-committee/" TargetMode="External"/><Relationship Id="rId108" Type="http://schemas.openxmlformats.org/officeDocument/2006/relationships/hyperlink" Target="https://doi.org/10.1016/j.janxdis.2010.08.010" TargetMode="External"/><Relationship Id="rId129" Type="http://schemas.openxmlformats.org/officeDocument/2006/relationships/hyperlink" Target="https://doi.org/10.1016/s0887-6185(02)00182-2" TargetMode="External"/><Relationship Id="rId54" Type="http://schemas.openxmlformats.org/officeDocument/2006/relationships/hyperlink" Target="https://doi.org/10.1097/wnp.0b013e3181fe0573" TargetMode="External"/><Relationship Id="rId75" Type="http://schemas.openxmlformats.org/officeDocument/2006/relationships/hyperlink" Target="https://www.myresearchproject.org.uk/help/hlpsitespecific.aspx" TargetMode="External"/><Relationship Id="rId96" Type="http://schemas.openxmlformats.org/officeDocument/2006/relationships/hyperlink" Target="mailto:james.rowland@student.staffs.ac.uk" TargetMode="External"/><Relationship Id="rId140" Type="http://schemas.openxmlformats.org/officeDocument/2006/relationships/hyperlink" Target="https://doi.org/10.1016/j.janxdis.2013.07.008" TargetMode="External"/><Relationship Id="rId161" Type="http://schemas.openxmlformats.org/officeDocument/2006/relationships/image" Target="media/image8.png"/><Relationship Id="rId182" Type="http://schemas.openxmlformats.org/officeDocument/2006/relationships/image" Target="media/image20.png"/><Relationship Id="rId6" Type="http://schemas.openxmlformats.org/officeDocument/2006/relationships/styles" Target="styles.xml"/><Relationship Id="rId23" Type="http://schemas.openxmlformats.org/officeDocument/2006/relationships/hyperlink" Target="https://doi.org/10.1016/j.janxdis.2018.12.002" TargetMode="External"/><Relationship Id="rId119" Type="http://schemas.openxmlformats.org/officeDocument/2006/relationships/hyperlink" Target="https://doi.org/10.1016/j.janxdis.2009.10.007" TargetMode="External"/><Relationship Id="rId44" Type="http://schemas.openxmlformats.org/officeDocument/2006/relationships/hyperlink" Target="https://doi.org/10.1111/epi.12106" TargetMode="External"/><Relationship Id="rId65" Type="http://schemas.openxmlformats.org/officeDocument/2006/relationships/hyperlink" Target="mailto:e.tolhurst@staffs.ac.uk" TargetMode="External"/><Relationship Id="rId86" Type="http://schemas.openxmlformats.org/officeDocument/2006/relationships/hyperlink" Target="https://doi.org/10.1080/10615806.2019.1623881" TargetMode="External"/><Relationship Id="rId130" Type="http://schemas.openxmlformats.org/officeDocument/2006/relationships/hyperlink" Target="https://doi.org/10.1016/0191-8869(94)90048-5" TargetMode="External"/><Relationship Id="rId151" Type="http://schemas.openxmlformats.org/officeDocument/2006/relationships/hyperlink" Target="https://doi.org/10.1016/j.yebeh.2014.02.016" TargetMode="External"/><Relationship Id="rId172" Type="http://schemas.openxmlformats.org/officeDocument/2006/relationships/hyperlink" Target="https://www.myresearchproject.org.uk/help/hlphraapproval.aspx" TargetMode="External"/><Relationship Id="rId193" Type="http://schemas.openxmlformats.org/officeDocument/2006/relationships/image" Target="media/image31.png"/><Relationship Id="rId207" Type="http://schemas.openxmlformats.org/officeDocument/2006/relationships/theme" Target="theme/theme1.xml"/><Relationship Id="rId13" Type="http://schemas.openxmlformats.org/officeDocument/2006/relationships/hyperlink" Target="https://doi.org/10.1016/j.beth.2011.02.007" TargetMode="External"/><Relationship Id="rId109" Type="http://schemas.openxmlformats.org/officeDocument/2006/relationships/hyperlink" Target="https://doi.org/10.1176/appi.books.9780890425596" TargetMode="External"/><Relationship Id="rId34" Type="http://schemas.openxmlformats.org/officeDocument/2006/relationships/hyperlink" Target="https://doi.org/10.1136/practneurol-2015-001337" TargetMode="External"/><Relationship Id="rId55" Type="http://schemas.openxmlformats.org/officeDocument/2006/relationships/hyperlink" Target="https://doi.org/10.1016/j.jpsychores.2017.10.005" TargetMode="External"/><Relationship Id="rId76" Type="http://schemas.openxmlformats.org/officeDocument/2006/relationships/hyperlink" Target="file:///C:/Users/rowlja2/Desktop/Uni%20work/Research/dissertation/Thesis%20Portfolio2.docx" TargetMode="External"/><Relationship Id="rId97" Type="http://schemas.openxmlformats.org/officeDocument/2006/relationships/hyperlink" Target="https://doi.org/10.1186/s40779-020-00238-8" TargetMode="External"/><Relationship Id="rId120" Type="http://schemas.openxmlformats.org/officeDocument/2006/relationships/hyperlink" Target="https://doi.org/10.1177/13623613221109717" TargetMode="External"/><Relationship Id="rId141" Type="http://schemas.openxmlformats.org/officeDocument/2006/relationships/image" Target="media/image4.png"/><Relationship Id="rId7" Type="http://schemas.openxmlformats.org/officeDocument/2006/relationships/settings" Target="settings.xml"/><Relationship Id="rId162" Type="http://schemas.openxmlformats.org/officeDocument/2006/relationships/image" Target="media/image9.jpeg"/><Relationship Id="rId183" Type="http://schemas.openxmlformats.org/officeDocument/2006/relationships/image" Target="media/image21.png"/><Relationship Id="rId24" Type="http://schemas.openxmlformats.org/officeDocument/2006/relationships/hyperlink" Target="https://doi.org/10.1016/j.janxdis.2016.03.004" TargetMode="External"/><Relationship Id="rId40" Type="http://schemas.openxmlformats.org/officeDocument/2006/relationships/hyperlink" Target="https://www.hra.nhs.uk/approvals-amendments/what-approvals-do-i-need/research-ethics-committee-review/applying-research-ethics-committee/" TargetMode="External"/><Relationship Id="rId45" Type="http://schemas.openxmlformats.org/officeDocument/2006/relationships/hyperlink" Target="https://doi.org/10.1016/j.cpr.2012.04.001" TargetMode="External"/><Relationship Id="rId66" Type="http://schemas.openxmlformats.org/officeDocument/2006/relationships/hyperlink" Target="https://doi.org/10.1016/j.janxdis.2016.01.005" TargetMode="External"/><Relationship Id="rId87" Type="http://schemas.openxmlformats.org/officeDocument/2006/relationships/hyperlink" Target="http://www.ptsd.va.gov" TargetMode="External"/><Relationship Id="rId110" Type="http://schemas.openxmlformats.org/officeDocument/2006/relationships/hyperlink" Target="https://doi.org/10.1186/s12883-015-0350-0" TargetMode="External"/><Relationship Id="rId115" Type="http://schemas.openxmlformats.org/officeDocument/2006/relationships/hyperlink" Target="https://doi.org/10.1080/13284207.2010.502542" TargetMode="External"/><Relationship Id="rId131" Type="http://schemas.openxmlformats.org/officeDocument/2006/relationships/hyperlink" Target="https://doi.org/10.17547/kjsr.2018.26.4.350" TargetMode="External"/><Relationship Id="rId136" Type="http://schemas.openxmlformats.org/officeDocument/2006/relationships/hyperlink" Target="https://doi.org/10.1023/a:1025714729117" TargetMode="External"/><Relationship Id="rId157" Type="http://schemas.openxmlformats.org/officeDocument/2006/relationships/hyperlink" Target="https://onlinelibrary.wiley.com/page/journal/15736598/homepage/forauthors.html" TargetMode="External"/><Relationship Id="rId178" Type="http://schemas.openxmlformats.org/officeDocument/2006/relationships/image" Target="media/image16.png"/><Relationship Id="rId61" Type="http://schemas.openxmlformats.org/officeDocument/2006/relationships/hyperlink" Target="https://doi.org/10.1016/j.yebeh.2019.02.002" TargetMode="External"/><Relationship Id="rId82" Type="http://schemas.openxmlformats.org/officeDocument/2006/relationships/hyperlink" Target="https://doi.org/10.1016/s0022-3956(02)00058-4" TargetMode="External"/><Relationship Id="rId152" Type="http://schemas.openxmlformats.org/officeDocument/2006/relationships/hyperlink" Target="https://www.hra.nhs.uk/approvals-amendments/what-approvals-do-i-need/research-ethics-committee-review/applying-research-ethics-committee/" TargetMode="External"/><Relationship Id="rId173" Type="http://schemas.openxmlformats.org/officeDocument/2006/relationships/image" Target="media/image11.png"/><Relationship Id="rId194" Type="http://schemas.openxmlformats.org/officeDocument/2006/relationships/image" Target="media/image32.png"/><Relationship Id="rId199" Type="http://schemas.openxmlformats.org/officeDocument/2006/relationships/image" Target="media/image37.png"/><Relationship Id="rId203" Type="http://schemas.openxmlformats.org/officeDocument/2006/relationships/hyperlink" Target="https://doi.org/10.1007/s10608-018-9951-4" TargetMode="External"/><Relationship Id="rId19" Type="http://schemas.openxmlformats.org/officeDocument/2006/relationships/hyperlink" Target="https://doi.org/10.1016/j.injury.2010.07.245" TargetMode="External"/><Relationship Id="rId14" Type="http://schemas.openxmlformats.org/officeDocument/2006/relationships/hyperlink" Target="file:///C:/Users/rowlja2/Desktop/Uni%20work/Research/dissertation/Thesis%20Portfolio2.docx" TargetMode="External"/><Relationship Id="rId30" Type="http://schemas.openxmlformats.org/officeDocument/2006/relationships/hyperlink" Target="https://www.myresearchproject.org.uk/help/hlphraapproval.aspx" TargetMode="External"/><Relationship Id="rId35" Type="http://schemas.openxmlformats.org/officeDocument/2006/relationships/hyperlink" Target="https://doi.org/10.1007/s10608-005-1648-9" TargetMode="External"/><Relationship Id="rId56" Type="http://schemas.openxmlformats.org/officeDocument/2006/relationships/hyperlink" Target="https://doi.org/10.1176/appi.ajp.158.9.1467" TargetMode="External"/><Relationship Id="rId77" Type="http://schemas.openxmlformats.org/officeDocument/2006/relationships/hyperlink" Target="https://doi.org/10.5055/ajdm.2007.0031" TargetMode="External"/><Relationship Id="rId100" Type="http://schemas.openxmlformats.org/officeDocument/2006/relationships/hyperlink" Target="https://doi.org/10.1016/j.yebeh.2020.107155" TargetMode="External"/><Relationship Id="rId105" Type="http://schemas.openxmlformats.org/officeDocument/2006/relationships/hyperlink" Target="https://doi.org/10.1093/epirev/mxi003" TargetMode="External"/><Relationship Id="rId126" Type="http://schemas.openxmlformats.org/officeDocument/2006/relationships/hyperlink" Target="https://doi.org/10.1016/j.janxdis.2016.02.002" TargetMode="External"/><Relationship Id="rId147" Type="http://schemas.openxmlformats.org/officeDocument/2006/relationships/hyperlink" Target="https://doi.org/10.1023/a:1011125220522" TargetMode="External"/><Relationship Id="rId168" Type="http://schemas.openxmlformats.org/officeDocument/2006/relationships/hyperlink" Target="https://doi.org/10.3389/fpsyg.2016.01175" TargetMode="External"/><Relationship Id="rId8" Type="http://schemas.openxmlformats.org/officeDocument/2006/relationships/webSettings" Target="webSettings.xml"/><Relationship Id="rId51" Type="http://schemas.openxmlformats.org/officeDocument/2006/relationships/hyperlink" Target="https://authorservices.wiley.com/asset/photos/electronic_artwork_guidelines.pdf" TargetMode="External"/><Relationship Id="rId72" Type="http://schemas.openxmlformats.org/officeDocument/2006/relationships/hyperlink" Target="mailto:yvonne.melia@staffs.ac.uk" TargetMode="External"/><Relationship Id="rId93" Type="http://schemas.openxmlformats.org/officeDocument/2006/relationships/hyperlink" Target="https://doi.org/10.1016/j.yebeh.2015.12.037" TargetMode="External"/><Relationship Id="rId98" Type="http://schemas.openxmlformats.org/officeDocument/2006/relationships/hyperlink" Target="https://doi.org/10.1016/j.yebeh.2005.05.014" TargetMode="External"/><Relationship Id="rId121" Type="http://schemas.openxmlformats.org/officeDocument/2006/relationships/hyperlink" Target="https://doi.org/10.1002/pon.4203" TargetMode="External"/><Relationship Id="rId142" Type="http://schemas.openxmlformats.org/officeDocument/2006/relationships/image" Target="media/image5.jpeg"/><Relationship Id="rId163" Type="http://schemas.openxmlformats.org/officeDocument/2006/relationships/hyperlink" Target="https://staffordshire.qualtrics.com/jfe/form/SV_cwoDqBPtmm4SULA" TargetMode="External"/><Relationship Id="rId184" Type="http://schemas.openxmlformats.org/officeDocument/2006/relationships/image" Target="media/image22.png"/><Relationship Id="rId189" Type="http://schemas.openxmlformats.org/officeDocument/2006/relationships/image" Target="media/image27.png"/><Relationship Id="rId3" Type="http://schemas.openxmlformats.org/officeDocument/2006/relationships/customXml" Target="../customXml/item3.xml"/><Relationship Id="rId25" Type="http://schemas.openxmlformats.org/officeDocument/2006/relationships/hyperlink" Target="https://doi.org/10.1002/jclp.21965" TargetMode="External"/><Relationship Id="rId46" Type="http://schemas.openxmlformats.org/officeDocument/2006/relationships/hyperlink" Target="https://doi.org/10.1016/j.cbpra.2018.07.007" TargetMode="External"/><Relationship Id="rId67" Type="http://schemas.openxmlformats.org/officeDocument/2006/relationships/hyperlink" Target="https://doi.org/10.1037/0033-2909.129.1.52" TargetMode="External"/><Relationship Id="rId116" Type="http://schemas.openxmlformats.org/officeDocument/2006/relationships/hyperlink" Target="https://casp-uk.net/casp-tools-checklists/" TargetMode="External"/><Relationship Id="rId137" Type="http://schemas.openxmlformats.org/officeDocument/2006/relationships/hyperlink" Target="https://doi.org/10.1016/s0005-7967(99)00133-3" TargetMode="External"/><Relationship Id="rId158" Type="http://schemas.openxmlformats.org/officeDocument/2006/relationships/hyperlink" Target="https://doi.org/10.1016/s0006-3223(03)00469-4" TargetMode="External"/><Relationship Id="rId20" Type="http://schemas.openxmlformats.org/officeDocument/2006/relationships/hyperlink" Target="https://doi.org/10.1016/j.brat.2011.12.005" TargetMode="External"/><Relationship Id="rId41" Type="http://schemas.openxmlformats.org/officeDocument/2006/relationships/hyperlink" Target="https://www.hra.nhs.uk/" TargetMode="External"/><Relationship Id="rId62" Type="http://schemas.openxmlformats.org/officeDocument/2006/relationships/hyperlink" Target="https://doi.org/10.1016/j.seizure.2020.09.034" TargetMode="External"/><Relationship Id="rId83" Type="http://schemas.openxmlformats.org/officeDocument/2006/relationships/hyperlink" Target="https://doi.org/10.1177/070674371405900902" TargetMode="External"/><Relationship Id="rId88" Type="http://schemas.openxmlformats.org/officeDocument/2006/relationships/hyperlink" Target="https://doi.org/10.1097/nmd.0b013e3181bea625" TargetMode="External"/><Relationship Id="rId111" Type="http://schemas.openxmlformats.org/officeDocument/2006/relationships/hyperlink" Target="https://doi.org/10.1016/j.yebeh.2016.10.015" TargetMode="External"/><Relationship Id="rId132" Type="http://schemas.openxmlformats.org/officeDocument/2006/relationships/hyperlink" Target="https://doi.org/10.1016/j.eplepsyres.2015.11.019" TargetMode="External"/><Relationship Id="rId153" Type="http://schemas.openxmlformats.org/officeDocument/2006/relationships/hyperlink" Target="https://www.hra.nhs.uk/approvals-amendments/what-approvals-do-i-need/research-ethics-committee-review/applying-research-ethics-committee/" TargetMode="External"/><Relationship Id="rId174" Type="http://schemas.openxmlformats.org/officeDocument/2006/relationships/image" Target="media/image12.png"/><Relationship Id="rId179" Type="http://schemas.openxmlformats.org/officeDocument/2006/relationships/image" Target="media/image17.png"/><Relationship Id="rId195" Type="http://schemas.openxmlformats.org/officeDocument/2006/relationships/image" Target="media/image33.png"/><Relationship Id="rId190" Type="http://schemas.openxmlformats.org/officeDocument/2006/relationships/image" Target="media/image28.png"/><Relationship Id="rId204" Type="http://schemas.openxmlformats.org/officeDocument/2006/relationships/hyperlink" Target="https://www.elsevier.com/journals/seizure-european-journal-of-epilepsy/1059-1311/guide-for-authors" TargetMode="External"/><Relationship Id="rId15" Type="http://schemas.openxmlformats.org/officeDocument/2006/relationships/hyperlink" Target="file:///C:/Users/rowlja2/Desktop/Uni%20work/Research/dissertation/Thesis%20Portfolio2.docx" TargetMode="External"/><Relationship Id="rId36" Type="http://schemas.openxmlformats.org/officeDocument/2006/relationships/hyperlink" Target="https://doi.org/10.1016/s0005-7967(99)00123-0" TargetMode="External"/><Relationship Id="rId57" Type="http://schemas.openxmlformats.org/officeDocument/2006/relationships/hyperlink" Target="https://doi.org/10.1037/0021-843x.115.3.624" TargetMode="External"/><Relationship Id="rId106" Type="http://schemas.openxmlformats.org/officeDocument/2006/relationships/hyperlink" Target="https://doi.org/10.1080/10926771.2020.1866132" TargetMode="External"/><Relationship Id="rId127" Type="http://schemas.openxmlformats.org/officeDocument/2006/relationships/hyperlink" Target="https://doi.org/10.1016/j.cpr.2011.05.001" TargetMode="External"/><Relationship Id="rId10" Type="http://schemas.openxmlformats.org/officeDocument/2006/relationships/endnotes" Target="endnotes.xml"/><Relationship Id="rId31" Type="http://schemas.openxmlformats.org/officeDocument/2006/relationships/hyperlink" Target="https://authorservices.wiley.com/author-resources/Journal-Authors/Prepare/manuscript-preparation-guidelines.html/supporting-information.html" TargetMode="External"/><Relationship Id="rId52" Type="http://schemas.openxmlformats.org/officeDocument/2006/relationships/hyperlink" Target="https://www.myresearchproject.org.uk/help/hlpnhshscr.aspx" TargetMode="External"/><Relationship Id="rId73" Type="http://schemas.openxmlformats.org/officeDocument/2006/relationships/hyperlink" Target="https://doi.org/10.1192/bjp.186.6.494" TargetMode="External"/><Relationship Id="rId78" Type="http://schemas.openxmlformats.org/officeDocument/2006/relationships/hyperlink" Target="https://doi.org/10.1037/1040-3590.19.2.176" TargetMode="External"/><Relationship Id="rId94" Type="http://schemas.openxmlformats.org/officeDocument/2006/relationships/hyperlink" Target="https://doi.org/10.3758/brm.41.4.1149" TargetMode="External"/><Relationship Id="rId99" Type="http://schemas.openxmlformats.org/officeDocument/2006/relationships/hyperlink" Target="https://doi.org/10.1016/j.brat.2007.04.006" TargetMode="External"/><Relationship Id="rId101" Type="http://schemas.openxmlformats.org/officeDocument/2006/relationships/hyperlink" Target="https://doi.org/10.1891/0886-6708.24.5.669" TargetMode="External"/><Relationship Id="rId122" Type="http://schemas.openxmlformats.org/officeDocument/2006/relationships/hyperlink" Target="https://doi.org/10.1016/j.janxdis.2010.08.010" TargetMode="External"/><Relationship Id="rId143" Type="http://schemas.openxmlformats.org/officeDocument/2006/relationships/image" Target="media/image6.jpeg"/><Relationship Id="rId148" Type="http://schemas.openxmlformats.org/officeDocument/2006/relationships/hyperlink" Target="https://doi.org/10.1177/20438087211043729" TargetMode="External"/><Relationship Id="rId164" Type="http://schemas.openxmlformats.org/officeDocument/2006/relationships/image" Target="media/image10.png"/><Relationship Id="rId169" Type="http://schemas.openxmlformats.org/officeDocument/2006/relationships/hyperlink" Target="https://doi.org/10.1080/00332747.2018.1560583" TargetMode="External"/><Relationship Id="rId185"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8.png"/><Relationship Id="rId26" Type="http://schemas.openxmlformats.org/officeDocument/2006/relationships/hyperlink" Target="https://doi.org/10.1016/s0005-7967(01)00092-4" TargetMode="External"/><Relationship Id="rId47" Type="http://schemas.openxmlformats.org/officeDocument/2006/relationships/hyperlink" Target="https://doi.org/10.1016/j.janxdis.2005.01.002" TargetMode="External"/><Relationship Id="rId68" Type="http://schemas.openxmlformats.org/officeDocument/2006/relationships/hyperlink" Target="https://doi.org/10.1136/bmj.n71" TargetMode="External"/><Relationship Id="rId89" Type="http://schemas.openxmlformats.org/officeDocument/2006/relationships/hyperlink" Target="https://doi.org/10.1002/jclp.22024" TargetMode="External"/><Relationship Id="rId112" Type="http://schemas.openxmlformats.org/officeDocument/2006/relationships/hyperlink" Target="https://doi.org/10.1016/j.cbpra.2018.07.007" TargetMode="External"/><Relationship Id="rId133" Type="http://schemas.openxmlformats.org/officeDocument/2006/relationships/hyperlink" Target="https://doi.org/10.1176/appi.neuropsych.11020039" TargetMode="External"/><Relationship Id="rId154" Type="http://schemas.openxmlformats.org/officeDocument/2006/relationships/hyperlink" Target="https://www.hra.nhs.uk/approvals-amendments/what-approvals-do-i-need/research-ethics-committee-review/applying-research-ethics-committee/" TargetMode="External"/><Relationship Id="rId175" Type="http://schemas.openxmlformats.org/officeDocument/2006/relationships/image" Target="media/image13.png"/><Relationship Id="rId196" Type="http://schemas.openxmlformats.org/officeDocument/2006/relationships/image" Target="media/image34.png"/><Relationship Id="rId200" Type="http://schemas.openxmlformats.org/officeDocument/2006/relationships/chart" Target="charts/chart1.xml"/><Relationship Id="rId16" Type="http://schemas.openxmlformats.org/officeDocument/2006/relationships/image" Target="media/image2.png"/><Relationship Id="rId37" Type="http://schemas.openxmlformats.org/officeDocument/2006/relationships/hyperlink" Target="https://doi.org/10.1007/s10608-013-9531-6" TargetMode="External"/><Relationship Id="rId58" Type="http://schemas.openxmlformats.org/officeDocument/2006/relationships/hyperlink" Target="https://www.ncbi.nlm.nih.gov/books/NBK126701/" TargetMode="External"/><Relationship Id="rId79" Type="http://schemas.openxmlformats.org/officeDocument/2006/relationships/hyperlink" Target="https://doi.org/10.1016/j.janxdis.2015.01.006" TargetMode="External"/><Relationship Id="rId102" Type="http://schemas.openxmlformats.org/officeDocument/2006/relationships/hyperlink" Target="https://doi.org/10.1037/pas0000540" TargetMode="External"/><Relationship Id="rId123" Type="http://schemas.openxmlformats.org/officeDocument/2006/relationships/hyperlink" Target="https://doi.org/10.1016/j.seizure.2013.02.002" TargetMode="External"/><Relationship Id="rId144" Type="http://schemas.openxmlformats.org/officeDocument/2006/relationships/hyperlink" Target="https://www.myresearchproject.org.uk/help/hlphraapproval.aspx" TargetMode="External"/><Relationship Id="rId90" Type="http://schemas.openxmlformats.org/officeDocument/2006/relationships/hyperlink" Target="https://doi.org/10.1007/s11920-015-0655-0" TargetMode="External"/><Relationship Id="rId165" Type="http://schemas.openxmlformats.org/officeDocument/2006/relationships/hyperlink" Target="http://www.mind.org.uk" TargetMode="External"/><Relationship Id="rId186" Type="http://schemas.openxmlformats.org/officeDocument/2006/relationships/image" Target="media/image24.png"/><Relationship Id="rId27" Type="http://schemas.openxmlformats.org/officeDocument/2006/relationships/hyperlink" Target="https://doi.org/10.1016/j.janxdis.2006.03.014" TargetMode="External"/><Relationship Id="rId48" Type="http://schemas.openxmlformats.org/officeDocument/2006/relationships/hyperlink" Target="https://doi.org/10.1016/j.cpr.2011.04.003" TargetMode="External"/><Relationship Id="rId69" Type="http://schemas.openxmlformats.org/officeDocument/2006/relationships/hyperlink" Target="https://doi.org/10.1037/pas0000074" TargetMode="External"/><Relationship Id="rId113" Type="http://schemas.openxmlformats.org/officeDocument/2006/relationships/hyperlink" Target="https://icd.who.int/" TargetMode="External"/><Relationship Id="rId134" Type="http://schemas.openxmlformats.org/officeDocument/2006/relationships/hyperlink" Target="https://doi.org/10.1136/jnnp.2010.235424" TargetMode="External"/><Relationship Id="rId80" Type="http://schemas.openxmlformats.org/officeDocument/2006/relationships/hyperlink" Target="https://doi.org/10.1007/s10608-004-0669-0" TargetMode="External"/><Relationship Id="rId155" Type="http://schemas.openxmlformats.org/officeDocument/2006/relationships/hyperlink" Target="mailto:ethics@staffs.ac.uk" TargetMode="External"/><Relationship Id="rId176" Type="http://schemas.openxmlformats.org/officeDocument/2006/relationships/image" Target="media/image14.png"/><Relationship Id="rId197" Type="http://schemas.openxmlformats.org/officeDocument/2006/relationships/image" Target="media/image35.png"/><Relationship Id="rId201" Type="http://schemas.openxmlformats.org/officeDocument/2006/relationships/hyperlink" Target="https://doi.org/10.1016/j.cpr.2016.05.006" TargetMode="External"/><Relationship Id="rId17" Type="http://schemas.openxmlformats.org/officeDocument/2006/relationships/header" Target="header1.xml"/><Relationship Id="rId38" Type="http://schemas.openxmlformats.org/officeDocument/2006/relationships/hyperlink" Target="https://doi.org/10.1016/j.yebeh.2020.107155" TargetMode="External"/><Relationship Id="rId59" Type="http://schemas.openxmlformats.org/officeDocument/2006/relationships/hyperlink" Target="https://doi.org/10.1080/10615800903494135" TargetMode="External"/><Relationship Id="rId103" Type="http://schemas.openxmlformats.org/officeDocument/2006/relationships/hyperlink" Target="https://doi.org/10.1002/jts.2490060405" TargetMode="External"/><Relationship Id="rId124" Type="http://schemas.openxmlformats.org/officeDocument/2006/relationships/hyperlink" Target="https://doi.org/10.1007/s12144-021-02554-1" TargetMode="External"/><Relationship Id="rId70" Type="http://schemas.openxmlformats.org/officeDocument/2006/relationships/hyperlink" Target="http://www.actmindfully.com.au" TargetMode="External"/><Relationship Id="rId91" Type="http://schemas.openxmlformats.org/officeDocument/2006/relationships/hyperlink" Target="https://doi.org/10.1080/00223891.2015.1070355" TargetMode="External"/><Relationship Id="rId145" Type="http://schemas.openxmlformats.org/officeDocument/2006/relationships/hyperlink" Target="https://doi.org/10.17712/nsj.2022.2.20210142" TargetMode="External"/><Relationship Id="rId166" Type="http://schemas.openxmlformats.org/officeDocument/2006/relationships/hyperlink" Target="https://doi.org/10.1016/j.seizure.2005.04.006" TargetMode="External"/><Relationship Id="rId187" Type="http://schemas.openxmlformats.org/officeDocument/2006/relationships/image" Target="media/image25.png"/><Relationship Id="rId1" Type="http://schemas.openxmlformats.org/officeDocument/2006/relationships/customXml" Target="../customXml/item1.xml"/><Relationship Id="rId28" Type="http://schemas.openxmlformats.org/officeDocument/2006/relationships/hyperlink" Target="https://doi.org/10.1016/j.janxdis.2013.04.009" TargetMode="External"/><Relationship Id="rId49" Type="http://schemas.openxmlformats.org/officeDocument/2006/relationships/hyperlink" Target="https://www.myresearchproject.org.uk/help/hlphraapproval.aspx" TargetMode="External"/><Relationship Id="rId114" Type="http://schemas.openxmlformats.org/officeDocument/2006/relationships/hyperlink" Target="https://doi.org/10.1080/20008198.2017.1351204" TargetMode="External"/><Relationship Id="rId60" Type="http://schemas.openxmlformats.org/officeDocument/2006/relationships/hyperlink" Target="https://www.hra.nhs.uk/approvals-amendments/what-approvals-do-i-need/research-ethics-committee-review/applying-research-ethics-committee/" TargetMode="External"/><Relationship Id="rId81" Type="http://schemas.openxmlformats.org/officeDocument/2006/relationships/hyperlink" Target="https://doi.org/10.1016/s0005-7967(00)00088-7" TargetMode="External"/><Relationship Id="rId135" Type="http://schemas.openxmlformats.org/officeDocument/2006/relationships/hyperlink" Target="https://doi.org/10.1037/1040-3590.19.3.253" TargetMode="External"/><Relationship Id="rId156" Type="http://schemas.openxmlformats.org/officeDocument/2006/relationships/hyperlink" Target="https://doi.org/10.1097/nmd.0000000000000482" TargetMode="External"/><Relationship Id="rId177" Type="http://schemas.openxmlformats.org/officeDocument/2006/relationships/image" Target="media/image15.png"/><Relationship Id="rId198" Type="http://schemas.openxmlformats.org/officeDocument/2006/relationships/image" Target="media/image36.png"/><Relationship Id="rId202" Type="http://schemas.openxmlformats.org/officeDocument/2006/relationships/hyperlink" Target="https://doi.org/10.1016/j.jcbs.2021.05.003" TargetMode="External"/><Relationship Id="rId18" Type="http://schemas.openxmlformats.org/officeDocument/2006/relationships/hyperlink" Target="https://doi.org/10.1186/s12998-017-0150-2" TargetMode="External"/><Relationship Id="rId39" Type="http://schemas.openxmlformats.org/officeDocument/2006/relationships/hyperlink" Target="https://doi.org/10.1016/j.yebeh.2019.05.043" TargetMode="External"/><Relationship Id="rId50" Type="http://schemas.openxmlformats.org/officeDocument/2006/relationships/hyperlink" Target="mailto:yvonne.melia@staffs.ac.uk" TargetMode="External"/><Relationship Id="rId104" Type="http://schemas.openxmlformats.org/officeDocument/2006/relationships/hyperlink" Target="https://doi.org/10.1016/j.neubiorev.2019.09.013" TargetMode="External"/><Relationship Id="rId125" Type="http://schemas.openxmlformats.org/officeDocument/2006/relationships/hyperlink" Target="https://doi.org/10.1016/j.eplepsyres.2014.07.002" TargetMode="External"/><Relationship Id="rId146" Type="http://schemas.openxmlformats.org/officeDocument/2006/relationships/hyperlink" Target="https://doi.org/10.1016/j.seizure.2006.04.003" TargetMode="External"/><Relationship Id="rId167" Type="http://schemas.openxmlformats.org/officeDocument/2006/relationships/hyperlink" Target="https://doi.org/10.1016/j.yebeh.2013.10.002" TargetMode="External"/><Relationship Id="rId188" Type="http://schemas.openxmlformats.org/officeDocument/2006/relationships/image" Target="media/image26.png"/><Relationship Id="rId71" Type="http://schemas.openxmlformats.org/officeDocument/2006/relationships/hyperlink" Target="file:///C:/Users/rowlja2/Desktop/Uni%20work/Research/dissertation/Thesis%20Portfolio2.docx" TargetMode="External"/><Relationship Id="rId92" Type="http://schemas.openxmlformats.org/officeDocument/2006/relationships/hyperlink" Target="https://doi.org/10.1586/ern.12.82" TargetMode="External"/><Relationship Id="rId2" Type="http://schemas.openxmlformats.org/officeDocument/2006/relationships/customXml" Target="../customXml/item2.xml"/><Relationship Id="rId29" Type="http://schemas.openxmlformats.org/officeDocument/2006/relationships/hyperlink" Target="mailto:james.rowland@student.staffs.ac.uk"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People with epilepsy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Intolerance of uncertainty</c:v>
                </c:pt>
                <c:pt idx="1">
                  <c:v>Anxiety Sensitivity</c:v>
                </c:pt>
                <c:pt idx="2">
                  <c:v>Anxiety </c:v>
                </c:pt>
                <c:pt idx="3">
                  <c:v>Depression</c:v>
                </c:pt>
                <c:pt idx="4">
                  <c:v>Somatisation</c:v>
                </c:pt>
              </c:strCache>
            </c:strRef>
          </c:cat>
          <c:val>
            <c:numRef>
              <c:f>Sheet1!$B$2:$B$6</c:f>
              <c:numCache>
                <c:formatCode>General</c:formatCode>
                <c:ptCount val="5"/>
                <c:pt idx="0">
                  <c:v>36.979999999999997</c:v>
                </c:pt>
                <c:pt idx="1">
                  <c:v>26.48</c:v>
                </c:pt>
                <c:pt idx="2">
                  <c:v>10.6</c:v>
                </c:pt>
                <c:pt idx="3">
                  <c:v>13.18</c:v>
                </c:pt>
                <c:pt idx="4">
                  <c:v>10.39</c:v>
                </c:pt>
              </c:numCache>
            </c:numRef>
          </c:val>
          <c:extLst>
            <c:ext xmlns:c16="http://schemas.microsoft.com/office/drawing/2014/chart" uri="{C3380CC4-5D6E-409C-BE32-E72D297353CC}">
              <c16:uniqueId val="{00000000-EFE0-4BB1-AA1A-F3ED931BC9B5}"/>
            </c:ext>
          </c:extLst>
        </c:ser>
        <c:ser>
          <c:idx val="1"/>
          <c:order val="1"/>
          <c:tx>
            <c:strRef>
              <c:f>Sheet1!$C$1</c:f>
              <c:strCache>
                <c:ptCount val="1"/>
                <c:pt idx="0">
                  <c:v>People with dissociative seziures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Intolerance of uncertainty</c:v>
                </c:pt>
                <c:pt idx="1">
                  <c:v>Anxiety Sensitivity</c:v>
                </c:pt>
                <c:pt idx="2">
                  <c:v>Anxiety </c:v>
                </c:pt>
                <c:pt idx="3">
                  <c:v>Depression</c:v>
                </c:pt>
                <c:pt idx="4">
                  <c:v>Somatisation</c:v>
                </c:pt>
              </c:strCache>
            </c:strRef>
          </c:cat>
          <c:val>
            <c:numRef>
              <c:f>Sheet1!$C$2:$C$6</c:f>
              <c:numCache>
                <c:formatCode>General</c:formatCode>
                <c:ptCount val="5"/>
                <c:pt idx="0">
                  <c:v>39.43</c:v>
                </c:pt>
                <c:pt idx="1">
                  <c:v>32.28</c:v>
                </c:pt>
                <c:pt idx="2">
                  <c:v>12.22</c:v>
                </c:pt>
                <c:pt idx="3">
                  <c:v>15.74</c:v>
                </c:pt>
                <c:pt idx="4">
                  <c:v>12.89</c:v>
                </c:pt>
              </c:numCache>
            </c:numRef>
          </c:val>
          <c:extLst>
            <c:ext xmlns:c16="http://schemas.microsoft.com/office/drawing/2014/chart" uri="{C3380CC4-5D6E-409C-BE32-E72D297353CC}">
              <c16:uniqueId val="{00000001-EFE0-4BB1-AA1A-F3ED931BC9B5}"/>
            </c:ext>
          </c:extLst>
        </c:ser>
        <c:dLbls>
          <c:dLblPos val="outEnd"/>
          <c:showLegendKey val="0"/>
          <c:showVal val="1"/>
          <c:showCatName val="0"/>
          <c:showSerName val="0"/>
          <c:showPercent val="0"/>
          <c:showBubbleSize val="0"/>
        </c:dLbls>
        <c:gapWidth val="219"/>
        <c:overlap val="-27"/>
        <c:axId val="505647840"/>
        <c:axId val="505650464"/>
      </c:barChart>
      <c:catAx>
        <c:axId val="50564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650464"/>
        <c:crosses val="autoZero"/>
        <c:auto val="1"/>
        <c:lblAlgn val="ctr"/>
        <c:lblOffset val="100"/>
        <c:noMultiLvlLbl val="0"/>
      </c:catAx>
      <c:valAx>
        <c:axId val="505650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647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86323AD756F24F8198DCD915F129F3" ma:contentTypeVersion="14" ma:contentTypeDescription="Create a new document." ma:contentTypeScope="" ma:versionID="72b1c7d5ea312b66540be99cd8b0ffe6">
  <xsd:schema xmlns:xsd="http://www.w3.org/2001/XMLSchema" xmlns:xs="http://www.w3.org/2001/XMLSchema" xmlns:p="http://schemas.microsoft.com/office/2006/metadata/properties" xmlns:ns2="d7d4ef9b-c3d5-423f-bf99-f0d2b19cc133" xmlns:ns3="c2de2d98-62e5-4efb-a9bd-8ae29c7e85d8" targetNamespace="http://schemas.microsoft.com/office/2006/metadata/properties" ma:root="true" ma:fieldsID="1e8d7271e6a85df25c6acea92c579d28" ns2:_="" ns3:_="">
    <xsd:import namespace="d7d4ef9b-c3d5-423f-bf99-f0d2b19cc133"/>
    <xsd:import namespace="c2de2d98-62e5-4efb-a9bd-8ae29c7e85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4ef9b-c3d5-423f-bf99-f0d2b19cc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de2d98-62e5-4efb-a9bd-8ae29c7e85d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1FC509-3540-4E6A-B1C0-0355B1538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4ef9b-c3d5-423f-bf99-f0d2b19cc133"/>
    <ds:schemaRef ds:uri="c2de2d98-62e5-4efb-a9bd-8ae29c7e85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180CD1-1298-4D1A-A2AD-FB1758C022CF}">
  <ds:schemaRefs>
    <ds:schemaRef ds:uri="http://schemas.microsoft.com/sharepoint/v3/contenttype/forms"/>
  </ds:schemaRefs>
</ds:datastoreItem>
</file>

<file path=customXml/itemProps3.xml><?xml version="1.0" encoding="utf-8"?>
<ds:datastoreItem xmlns:ds="http://schemas.openxmlformats.org/officeDocument/2006/customXml" ds:itemID="{C13F3126-147A-41D7-BA72-24204152E356}">
  <ds:schemaRefs>
    <ds:schemaRef ds:uri="http://schemas.openxmlformats.org/officeDocument/2006/bibliography"/>
  </ds:schemaRefs>
</ds:datastoreItem>
</file>

<file path=customXml/itemProps4.xml><?xml version="1.0" encoding="utf-8"?>
<ds:datastoreItem xmlns:ds="http://schemas.openxmlformats.org/officeDocument/2006/customXml" ds:itemID="{A0C3747A-1A23-4FC4-AEB3-3319D2A843C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122</Pages>
  <Words>35946</Words>
  <Characters>204894</Characters>
  <Application>Microsoft Office Word</Application>
  <DocSecurity>0</DocSecurity>
  <Lines>1707</Lines>
  <Paragraphs>480</Paragraphs>
  <ScaleCrop>false</ScaleCrop>
  <HeadingPairs>
    <vt:vector size="2" baseType="variant">
      <vt:variant>
        <vt:lpstr>Title</vt:lpstr>
      </vt:variant>
      <vt:variant>
        <vt:i4>1</vt:i4>
      </vt:variant>
    </vt:vector>
  </HeadingPairs>
  <TitlesOfParts>
    <vt:vector size="1" baseType="lpstr">
      <vt:lpstr/>
    </vt:vector>
  </TitlesOfParts>
  <Company>S&amp;SHIS</Company>
  <LinksUpToDate>false</LinksUpToDate>
  <CharactersWithSpaces>240360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Rowland (RRE) MPFT</dc:creator>
  <cp:keywords/>
  <dc:description/>
  <cp:lastModifiedBy>Andrew Little</cp:lastModifiedBy>
  <cp:revision>5</cp:revision>
  <dcterms:created xsi:type="dcterms:W3CDTF">2023-04-27T12:41:00Z</dcterms:created>
  <dcterms:modified xsi:type="dcterms:W3CDTF">2024-04-16T08:27:00Z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0x010100BC86323AD756F24F8198DCD915F129F3</vt:lpwstr>
  </property>
</Properties>
</file>