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5FD7" w14:textId="5A691143" w:rsidR="00016B00" w:rsidRPr="0098035D" w:rsidRDefault="00016B00" w:rsidP="009C40EC">
      <w:pPr>
        <w:jc w:val="center"/>
        <w:rPr>
          <w:b/>
          <w:bCs/>
          <w:sz w:val="28"/>
          <w:szCs w:val="28"/>
        </w:rPr>
      </w:pPr>
      <w:r w:rsidRPr="0098035D">
        <w:rPr>
          <w:b/>
          <w:bCs/>
          <w:sz w:val="28"/>
          <w:szCs w:val="28"/>
        </w:rPr>
        <w:t>Abstract Submission for the Healthcare Ergonomics for Patient Safety (HEPS) Conference, Dublin</w:t>
      </w:r>
      <w:r w:rsidR="0098035D" w:rsidRPr="0098035D">
        <w:rPr>
          <w:b/>
          <w:bCs/>
          <w:sz w:val="28"/>
          <w:szCs w:val="28"/>
        </w:rPr>
        <w:t>, 18-20 June 2025.</w:t>
      </w:r>
    </w:p>
    <w:p w14:paraId="43FB6CAB" w14:textId="77777777" w:rsidR="00016B00" w:rsidRDefault="00016B00" w:rsidP="00265A39">
      <w:pPr>
        <w:rPr>
          <w:b/>
          <w:bCs/>
        </w:rPr>
      </w:pPr>
    </w:p>
    <w:p w14:paraId="1FAD6910" w14:textId="6A7C7758" w:rsidR="00265A39" w:rsidRPr="009C40EC" w:rsidRDefault="00265A39" w:rsidP="00265A39">
      <w:pPr>
        <w:rPr>
          <w:b/>
          <w:bCs/>
          <w:sz w:val="24"/>
          <w:szCs w:val="24"/>
        </w:rPr>
      </w:pPr>
      <w:r w:rsidRPr="009C40EC">
        <w:rPr>
          <w:b/>
          <w:bCs/>
          <w:sz w:val="24"/>
          <w:szCs w:val="24"/>
        </w:rPr>
        <w:t>Title</w:t>
      </w:r>
      <w:r w:rsidR="00E12433" w:rsidRPr="009C40EC">
        <w:rPr>
          <w:b/>
          <w:bCs/>
          <w:sz w:val="24"/>
          <w:szCs w:val="24"/>
        </w:rPr>
        <w:t>:</w:t>
      </w:r>
    </w:p>
    <w:p w14:paraId="56D7DE5F" w14:textId="17B4EDED" w:rsidR="00E12433" w:rsidRPr="009C40EC" w:rsidRDefault="00366EF7" w:rsidP="00265A39">
      <w:pPr>
        <w:rPr>
          <w:sz w:val="24"/>
          <w:szCs w:val="24"/>
        </w:rPr>
      </w:pPr>
      <w:r w:rsidRPr="009C40EC">
        <w:rPr>
          <w:sz w:val="24"/>
          <w:szCs w:val="24"/>
        </w:rPr>
        <w:t xml:space="preserve">Integrating foundational Human Factors principles in healthcare simulation education: </w:t>
      </w:r>
      <w:r w:rsidR="006970C2" w:rsidRPr="009C40EC">
        <w:rPr>
          <w:sz w:val="24"/>
          <w:szCs w:val="24"/>
        </w:rPr>
        <w:t xml:space="preserve"> a </w:t>
      </w:r>
      <w:r w:rsidR="00A97CC4" w:rsidRPr="009C40EC">
        <w:rPr>
          <w:sz w:val="24"/>
          <w:szCs w:val="24"/>
        </w:rPr>
        <w:t>consensus-building</w:t>
      </w:r>
      <w:r w:rsidR="006970C2" w:rsidRPr="009C40EC">
        <w:rPr>
          <w:sz w:val="24"/>
          <w:szCs w:val="24"/>
        </w:rPr>
        <w:t xml:space="preserve"> study</w:t>
      </w:r>
    </w:p>
    <w:p w14:paraId="2A7F884E" w14:textId="77777777" w:rsidR="00265A39" w:rsidRPr="009C40EC" w:rsidRDefault="00265A39" w:rsidP="00265A39">
      <w:pPr>
        <w:rPr>
          <w:sz w:val="24"/>
          <w:szCs w:val="24"/>
        </w:rPr>
      </w:pPr>
    </w:p>
    <w:p w14:paraId="5AA4452E" w14:textId="799CF2C5" w:rsidR="00265A39" w:rsidRPr="009C40EC" w:rsidRDefault="00265A39" w:rsidP="00265A39">
      <w:pPr>
        <w:rPr>
          <w:b/>
          <w:bCs/>
          <w:sz w:val="24"/>
          <w:szCs w:val="24"/>
        </w:rPr>
      </w:pPr>
      <w:r w:rsidRPr="009C40EC">
        <w:rPr>
          <w:b/>
          <w:bCs/>
          <w:sz w:val="24"/>
          <w:szCs w:val="24"/>
        </w:rPr>
        <w:t>Author(s): name(s) and affiliation(s)</w:t>
      </w:r>
    </w:p>
    <w:p w14:paraId="2DDDD38D" w14:textId="76C15B18" w:rsidR="00EB3826" w:rsidRPr="009C40EC" w:rsidRDefault="00EB3826" w:rsidP="00EB3826">
      <w:pPr>
        <w:rPr>
          <w:sz w:val="24"/>
          <w:szCs w:val="24"/>
        </w:rPr>
      </w:pPr>
      <w:r w:rsidRPr="009C40EC">
        <w:rPr>
          <w:sz w:val="24"/>
          <w:szCs w:val="24"/>
        </w:rPr>
        <w:t>Paul Bowie, NHS Education for Scotland, UK</w:t>
      </w:r>
      <w:r w:rsidR="008B5CBC" w:rsidRPr="009C40EC">
        <w:rPr>
          <w:sz w:val="24"/>
          <w:szCs w:val="24"/>
        </w:rPr>
        <w:t xml:space="preserve"> (Presenter)</w:t>
      </w:r>
    </w:p>
    <w:p w14:paraId="2EBF1095" w14:textId="4DED506E" w:rsidR="00A97FFC" w:rsidRPr="009C40EC" w:rsidRDefault="00A97FFC" w:rsidP="00A97FFC">
      <w:pPr>
        <w:rPr>
          <w:sz w:val="24"/>
          <w:szCs w:val="24"/>
        </w:rPr>
      </w:pPr>
      <w:r w:rsidRPr="009C40EC">
        <w:rPr>
          <w:sz w:val="24"/>
          <w:szCs w:val="24"/>
        </w:rPr>
        <w:t>Catie Paton, NHS Education for Scotland, UK</w:t>
      </w:r>
      <w:r w:rsidR="002A0E3A" w:rsidRPr="009C40EC">
        <w:rPr>
          <w:sz w:val="24"/>
          <w:szCs w:val="24"/>
        </w:rPr>
        <w:t xml:space="preserve"> (Presenter)</w:t>
      </w:r>
    </w:p>
    <w:p w14:paraId="3E479334" w14:textId="3B025D51" w:rsidR="005B2D10" w:rsidRPr="009C40EC" w:rsidRDefault="005B2D10" w:rsidP="007640F3">
      <w:pPr>
        <w:rPr>
          <w:sz w:val="24"/>
          <w:szCs w:val="24"/>
        </w:rPr>
      </w:pPr>
      <w:r w:rsidRPr="009C40EC">
        <w:rPr>
          <w:sz w:val="24"/>
          <w:szCs w:val="24"/>
        </w:rPr>
        <w:t>Helen Vosper, University of Aberdeen, UK</w:t>
      </w:r>
    </w:p>
    <w:p w14:paraId="2A66D992" w14:textId="3DB5A617" w:rsidR="005B2D10" w:rsidRPr="009C40EC" w:rsidRDefault="005B2D10" w:rsidP="007640F3">
      <w:pPr>
        <w:rPr>
          <w:sz w:val="24"/>
          <w:szCs w:val="24"/>
        </w:rPr>
      </w:pPr>
      <w:r w:rsidRPr="009C40EC">
        <w:rPr>
          <w:sz w:val="24"/>
          <w:szCs w:val="24"/>
        </w:rPr>
        <w:t xml:space="preserve">Kevin Stirling, NHS Education for Scotland, UK </w:t>
      </w:r>
    </w:p>
    <w:p w14:paraId="7D174298" w14:textId="7CC537EF" w:rsidR="00AA3CC9" w:rsidRPr="009C40EC" w:rsidRDefault="00AA3CC9" w:rsidP="007640F3">
      <w:pPr>
        <w:rPr>
          <w:sz w:val="24"/>
          <w:szCs w:val="24"/>
        </w:rPr>
      </w:pPr>
      <w:r w:rsidRPr="009C40EC">
        <w:rPr>
          <w:sz w:val="24"/>
          <w:szCs w:val="24"/>
        </w:rPr>
        <w:t>Martin</w:t>
      </w:r>
      <w:r w:rsidR="002C7193" w:rsidRPr="009C40EC">
        <w:rPr>
          <w:sz w:val="24"/>
          <w:szCs w:val="24"/>
        </w:rPr>
        <w:t xml:space="preserve"> Duffy</w:t>
      </w:r>
      <w:r w:rsidRPr="009C40EC">
        <w:rPr>
          <w:sz w:val="24"/>
          <w:szCs w:val="24"/>
        </w:rPr>
        <w:t xml:space="preserve">, </w:t>
      </w:r>
      <w:r w:rsidR="002C7193" w:rsidRPr="009C40EC">
        <w:rPr>
          <w:sz w:val="24"/>
          <w:szCs w:val="24"/>
        </w:rPr>
        <w:t>Belfast Health and Social Care Trust, UK</w:t>
      </w:r>
    </w:p>
    <w:p w14:paraId="77BF2869" w14:textId="0064C6A0" w:rsidR="00AA3CC9" w:rsidRPr="009C40EC" w:rsidRDefault="002C7193" w:rsidP="007640F3">
      <w:pPr>
        <w:rPr>
          <w:sz w:val="24"/>
          <w:szCs w:val="24"/>
        </w:rPr>
      </w:pPr>
      <w:r w:rsidRPr="009C40EC">
        <w:rPr>
          <w:sz w:val="24"/>
          <w:szCs w:val="24"/>
        </w:rPr>
        <w:t>Emma Greenwood, Belfast Health and Social Care Trust, UK</w:t>
      </w:r>
    </w:p>
    <w:p w14:paraId="60274C89" w14:textId="62793886" w:rsidR="00A50CE1" w:rsidRPr="009C40EC" w:rsidRDefault="00A50CE1" w:rsidP="00A50CE1">
      <w:pPr>
        <w:rPr>
          <w:sz w:val="24"/>
          <w:szCs w:val="24"/>
        </w:rPr>
      </w:pPr>
      <w:r w:rsidRPr="009C40EC">
        <w:rPr>
          <w:sz w:val="24"/>
          <w:szCs w:val="24"/>
        </w:rPr>
        <w:t>Al</w:t>
      </w:r>
      <w:r w:rsidR="000155FB">
        <w:rPr>
          <w:sz w:val="24"/>
          <w:szCs w:val="24"/>
        </w:rPr>
        <w:t>astair</w:t>
      </w:r>
      <w:r w:rsidRPr="009C40EC">
        <w:rPr>
          <w:sz w:val="24"/>
          <w:szCs w:val="24"/>
        </w:rPr>
        <w:t xml:space="preserve"> Ross, University of Staffordshire, UK</w:t>
      </w:r>
    </w:p>
    <w:p w14:paraId="6605966A" w14:textId="01C2DF43" w:rsidR="002A0E3A" w:rsidRPr="009C40EC" w:rsidRDefault="002A0E3A" w:rsidP="00A50CE1">
      <w:pPr>
        <w:rPr>
          <w:sz w:val="24"/>
          <w:szCs w:val="24"/>
        </w:rPr>
      </w:pPr>
      <w:r w:rsidRPr="009C40EC">
        <w:rPr>
          <w:sz w:val="24"/>
          <w:szCs w:val="24"/>
        </w:rPr>
        <w:t>Bryn Baxendale, University of Nottingham, UK</w:t>
      </w:r>
    </w:p>
    <w:p w14:paraId="65E837BA" w14:textId="0BEA4CBA" w:rsidR="00CF1415" w:rsidRPr="009C40EC" w:rsidRDefault="00CF1415" w:rsidP="00A50CE1">
      <w:pPr>
        <w:rPr>
          <w:sz w:val="24"/>
          <w:szCs w:val="24"/>
        </w:rPr>
      </w:pPr>
      <w:r w:rsidRPr="009C40EC">
        <w:rPr>
          <w:sz w:val="24"/>
          <w:szCs w:val="24"/>
        </w:rPr>
        <w:t xml:space="preserve">Julie Mardon, </w:t>
      </w:r>
      <w:r w:rsidR="00556896" w:rsidRPr="009C40EC">
        <w:rPr>
          <w:sz w:val="24"/>
          <w:szCs w:val="24"/>
        </w:rPr>
        <w:t>Scottish Centre for Simulation and Clinical Human Factors, UK</w:t>
      </w:r>
    </w:p>
    <w:p w14:paraId="1F680E70" w14:textId="6DBCC54E" w:rsidR="005B2D10" w:rsidRPr="009C40EC" w:rsidRDefault="005B2D10" w:rsidP="007640F3">
      <w:pPr>
        <w:rPr>
          <w:sz w:val="24"/>
          <w:szCs w:val="24"/>
        </w:rPr>
      </w:pPr>
      <w:r w:rsidRPr="009C40EC">
        <w:rPr>
          <w:sz w:val="24"/>
          <w:szCs w:val="24"/>
        </w:rPr>
        <w:t>Helen</w:t>
      </w:r>
      <w:r w:rsidR="005D1E4A" w:rsidRPr="009C40EC">
        <w:rPr>
          <w:sz w:val="24"/>
          <w:szCs w:val="24"/>
        </w:rPr>
        <w:t xml:space="preserve"> </w:t>
      </w:r>
      <w:r w:rsidR="00A17986" w:rsidRPr="009C40EC">
        <w:rPr>
          <w:sz w:val="24"/>
          <w:szCs w:val="24"/>
        </w:rPr>
        <w:t>Higham</w:t>
      </w:r>
      <w:r w:rsidR="005D1E4A" w:rsidRPr="009C40EC">
        <w:rPr>
          <w:sz w:val="24"/>
          <w:szCs w:val="24"/>
        </w:rPr>
        <w:t>, University of Oxford, UK</w:t>
      </w:r>
    </w:p>
    <w:p w14:paraId="26998FF9" w14:textId="77777777" w:rsidR="00C502F7" w:rsidRPr="009C40EC" w:rsidRDefault="00C502F7" w:rsidP="00265A39">
      <w:pPr>
        <w:rPr>
          <w:sz w:val="24"/>
          <w:szCs w:val="24"/>
        </w:rPr>
      </w:pPr>
    </w:p>
    <w:p w14:paraId="4AFCD1F0" w14:textId="77777777" w:rsidR="00C502F7" w:rsidRPr="009C40EC" w:rsidRDefault="00265A39" w:rsidP="00265A39">
      <w:pPr>
        <w:rPr>
          <w:b/>
          <w:bCs/>
          <w:sz w:val="24"/>
          <w:szCs w:val="24"/>
        </w:rPr>
      </w:pPr>
      <w:r w:rsidRPr="009C40EC">
        <w:rPr>
          <w:b/>
          <w:bCs/>
          <w:sz w:val="24"/>
          <w:szCs w:val="24"/>
        </w:rPr>
        <w:t xml:space="preserve">Abstract (max. 500 words): </w:t>
      </w:r>
    </w:p>
    <w:p w14:paraId="11E56E50" w14:textId="01EC9415" w:rsidR="00FF7320" w:rsidRPr="009C40EC" w:rsidRDefault="00FF7320" w:rsidP="00FF7320">
      <w:pPr>
        <w:rPr>
          <w:b/>
          <w:bCs/>
          <w:i/>
          <w:iCs/>
          <w:sz w:val="24"/>
          <w:szCs w:val="24"/>
        </w:rPr>
      </w:pPr>
      <w:r w:rsidRPr="009C40EC">
        <w:rPr>
          <w:b/>
          <w:bCs/>
          <w:i/>
          <w:iCs/>
          <w:sz w:val="24"/>
          <w:szCs w:val="24"/>
        </w:rPr>
        <w:t>Introduction</w:t>
      </w:r>
    </w:p>
    <w:p w14:paraId="29C5A4E4" w14:textId="60AA3A2C" w:rsidR="00FF7320" w:rsidRPr="009C40EC" w:rsidRDefault="00175F43" w:rsidP="00FF7320">
      <w:pPr>
        <w:rPr>
          <w:sz w:val="24"/>
          <w:szCs w:val="24"/>
        </w:rPr>
      </w:pPr>
      <w:r w:rsidRPr="009C40EC">
        <w:rPr>
          <w:sz w:val="24"/>
          <w:szCs w:val="24"/>
        </w:rPr>
        <w:t xml:space="preserve">In the clinical skills and healthcare simulation </w:t>
      </w:r>
      <w:r w:rsidR="001D72D6" w:rsidRPr="009C40EC">
        <w:rPr>
          <w:sz w:val="24"/>
          <w:szCs w:val="24"/>
        </w:rPr>
        <w:t xml:space="preserve">training </w:t>
      </w:r>
      <w:r w:rsidRPr="009C40EC">
        <w:rPr>
          <w:sz w:val="24"/>
          <w:szCs w:val="24"/>
        </w:rPr>
        <w:t xml:space="preserve">environments there is strong interest </w:t>
      </w:r>
      <w:r w:rsidR="002914E3" w:rsidRPr="009C40EC">
        <w:rPr>
          <w:sz w:val="24"/>
          <w:szCs w:val="24"/>
        </w:rPr>
        <w:t xml:space="preserve">globally </w:t>
      </w:r>
      <w:r w:rsidRPr="009C40EC">
        <w:rPr>
          <w:sz w:val="24"/>
          <w:szCs w:val="24"/>
        </w:rPr>
        <w:t xml:space="preserve">in </w:t>
      </w:r>
      <w:r w:rsidR="00A97CC4" w:rsidRPr="009C40EC">
        <w:rPr>
          <w:sz w:val="24"/>
          <w:szCs w:val="24"/>
        </w:rPr>
        <w:t>the integration of Human Factors</w:t>
      </w:r>
      <w:r w:rsidR="00BC36CD" w:rsidRPr="009C40EC">
        <w:rPr>
          <w:sz w:val="24"/>
          <w:szCs w:val="24"/>
        </w:rPr>
        <w:t xml:space="preserve"> (HF)</w:t>
      </w:r>
      <w:r w:rsidR="00A97CC4" w:rsidRPr="009C40EC">
        <w:rPr>
          <w:sz w:val="24"/>
          <w:szCs w:val="24"/>
        </w:rPr>
        <w:t xml:space="preserve"> theory, concepts and methods to </w:t>
      </w:r>
      <w:r w:rsidR="002914E3" w:rsidRPr="009C40EC">
        <w:rPr>
          <w:sz w:val="24"/>
          <w:szCs w:val="24"/>
        </w:rPr>
        <w:t xml:space="preserve">aid </w:t>
      </w:r>
      <w:r w:rsidR="005A3F7A" w:rsidRPr="009C40EC">
        <w:rPr>
          <w:sz w:val="24"/>
          <w:szCs w:val="24"/>
        </w:rPr>
        <w:t>the design of related educational activi</w:t>
      </w:r>
      <w:r w:rsidR="00EF1DE8" w:rsidRPr="009C40EC">
        <w:rPr>
          <w:sz w:val="24"/>
          <w:szCs w:val="24"/>
        </w:rPr>
        <w:t xml:space="preserve">ties and practices.  While much </w:t>
      </w:r>
      <w:r w:rsidR="00BC36CD" w:rsidRPr="009C40EC">
        <w:rPr>
          <w:sz w:val="24"/>
          <w:szCs w:val="24"/>
        </w:rPr>
        <w:t>h</w:t>
      </w:r>
      <w:r w:rsidR="00EF1DE8" w:rsidRPr="009C40EC">
        <w:rPr>
          <w:sz w:val="24"/>
          <w:szCs w:val="24"/>
        </w:rPr>
        <w:t xml:space="preserve">as been published around the </w:t>
      </w:r>
      <w:r w:rsidR="00BC36CD" w:rsidRPr="009C40EC">
        <w:rPr>
          <w:sz w:val="24"/>
          <w:szCs w:val="24"/>
        </w:rPr>
        <w:t xml:space="preserve">need for HF integration in simulation education </w:t>
      </w:r>
      <w:r w:rsidR="00792181" w:rsidRPr="009C40EC">
        <w:rPr>
          <w:sz w:val="24"/>
          <w:szCs w:val="24"/>
        </w:rPr>
        <w:t>very limited consideration has been given to identifying foundation</w:t>
      </w:r>
      <w:r w:rsidR="004445F6" w:rsidRPr="009C40EC">
        <w:rPr>
          <w:sz w:val="24"/>
          <w:szCs w:val="24"/>
        </w:rPr>
        <w:t>al</w:t>
      </w:r>
      <w:r w:rsidR="00792181" w:rsidRPr="009C40EC">
        <w:rPr>
          <w:sz w:val="24"/>
          <w:szCs w:val="24"/>
        </w:rPr>
        <w:t xml:space="preserve"> </w:t>
      </w:r>
      <w:r w:rsidR="00CE39F4" w:rsidRPr="009C40EC">
        <w:rPr>
          <w:sz w:val="24"/>
          <w:szCs w:val="24"/>
        </w:rPr>
        <w:t xml:space="preserve">concepts and approaches from the HF discipline that would have </w:t>
      </w:r>
      <w:r w:rsidR="00CA16C4" w:rsidRPr="009C40EC">
        <w:rPr>
          <w:sz w:val="24"/>
          <w:szCs w:val="24"/>
        </w:rPr>
        <w:t xml:space="preserve">utility in </w:t>
      </w:r>
      <w:r w:rsidR="004445F6" w:rsidRPr="009C40EC">
        <w:rPr>
          <w:sz w:val="24"/>
          <w:szCs w:val="24"/>
        </w:rPr>
        <w:t>“</w:t>
      </w:r>
      <w:r w:rsidR="00CA16C4" w:rsidRPr="009C40EC">
        <w:rPr>
          <w:sz w:val="24"/>
          <w:szCs w:val="24"/>
        </w:rPr>
        <w:t>adding value</w:t>
      </w:r>
      <w:r w:rsidR="004445F6" w:rsidRPr="009C40EC">
        <w:rPr>
          <w:sz w:val="24"/>
          <w:szCs w:val="24"/>
        </w:rPr>
        <w:t>”</w:t>
      </w:r>
      <w:r w:rsidR="00CA16C4" w:rsidRPr="009C40EC">
        <w:rPr>
          <w:sz w:val="24"/>
          <w:szCs w:val="24"/>
        </w:rPr>
        <w:t xml:space="preserve"> to everyday simulation </w:t>
      </w:r>
      <w:r w:rsidR="00BA4E1D">
        <w:rPr>
          <w:sz w:val="24"/>
          <w:szCs w:val="24"/>
        </w:rPr>
        <w:t xml:space="preserve">scenario </w:t>
      </w:r>
      <w:r w:rsidR="00CA16C4" w:rsidRPr="009C40EC">
        <w:rPr>
          <w:sz w:val="24"/>
          <w:szCs w:val="24"/>
        </w:rPr>
        <w:t>designs and activities.  This study aimed to take the first steps in closing this gap and offer a set of candi</w:t>
      </w:r>
      <w:r w:rsidR="00EA543B" w:rsidRPr="009C40EC">
        <w:rPr>
          <w:sz w:val="24"/>
          <w:szCs w:val="24"/>
        </w:rPr>
        <w:t>date HF principles for active consideration by the healthcare simulation education community.</w:t>
      </w:r>
    </w:p>
    <w:p w14:paraId="35D745C8" w14:textId="77777777" w:rsidR="00A97CC4" w:rsidRPr="009C40EC" w:rsidRDefault="00A97CC4" w:rsidP="00FF7320">
      <w:pPr>
        <w:rPr>
          <w:sz w:val="24"/>
          <w:szCs w:val="24"/>
        </w:rPr>
      </w:pPr>
    </w:p>
    <w:p w14:paraId="06E117A2" w14:textId="77777777" w:rsidR="00FF7320" w:rsidRPr="009C40EC" w:rsidRDefault="00FF7320" w:rsidP="00FF7320">
      <w:pPr>
        <w:rPr>
          <w:b/>
          <w:bCs/>
          <w:i/>
          <w:iCs/>
          <w:sz w:val="24"/>
          <w:szCs w:val="24"/>
        </w:rPr>
      </w:pPr>
      <w:r w:rsidRPr="009C40EC">
        <w:rPr>
          <w:b/>
          <w:bCs/>
          <w:i/>
          <w:iCs/>
          <w:sz w:val="24"/>
          <w:szCs w:val="24"/>
        </w:rPr>
        <w:t>Methods</w:t>
      </w:r>
    </w:p>
    <w:p w14:paraId="29F22317" w14:textId="52887FFA" w:rsidR="0092617D" w:rsidRPr="009C40EC" w:rsidRDefault="0092617D" w:rsidP="00FF7320">
      <w:pPr>
        <w:rPr>
          <w:sz w:val="24"/>
          <w:szCs w:val="24"/>
          <w:u w:val="single"/>
        </w:rPr>
      </w:pPr>
      <w:r w:rsidRPr="009C40EC">
        <w:rPr>
          <w:sz w:val="24"/>
          <w:szCs w:val="24"/>
          <w:u w:val="single"/>
        </w:rPr>
        <w:lastRenderedPageBreak/>
        <w:t>Phase 1</w:t>
      </w:r>
    </w:p>
    <w:p w14:paraId="640EB38E" w14:textId="7349CB48" w:rsidR="00627BB4" w:rsidRPr="009C40EC" w:rsidRDefault="0031172D" w:rsidP="00FF7320">
      <w:pPr>
        <w:rPr>
          <w:sz w:val="24"/>
          <w:szCs w:val="24"/>
        </w:rPr>
      </w:pPr>
      <w:r w:rsidRPr="009C40EC">
        <w:rPr>
          <w:sz w:val="24"/>
          <w:szCs w:val="24"/>
        </w:rPr>
        <w:t>In January 2025, a</w:t>
      </w:r>
      <w:r w:rsidR="00627BB4" w:rsidRPr="009C40EC">
        <w:rPr>
          <w:sz w:val="24"/>
          <w:szCs w:val="24"/>
        </w:rPr>
        <w:t xml:space="preserve"> small group of </w:t>
      </w:r>
      <w:r w:rsidR="006F4113" w:rsidRPr="009C40EC">
        <w:rPr>
          <w:sz w:val="24"/>
          <w:szCs w:val="24"/>
        </w:rPr>
        <w:t xml:space="preserve">highly experienced and informed </w:t>
      </w:r>
      <w:r w:rsidR="0094242B" w:rsidRPr="009C40EC">
        <w:rPr>
          <w:sz w:val="24"/>
          <w:szCs w:val="24"/>
        </w:rPr>
        <w:t xml:space="preserve">simulation educators and Human Factors specialists </w:t>
      </w:r>
      <w:r w:rsidR="00FF3C34" w:rsidRPr="009C40EC">
        <w:rPr>
          <w:sz w:val="24"/>
          <w:szCs w:val="24"/>
        </w:rPr>
        <w:t xml:space="preserve">(n=10) </w:t>
      </w:r>
      <w:r w:rsidR="00D818AD" w:rsidRPr="009C40EC">
        <w:rPr>
          <w:sz w:val="24"/>
          <w:szCs w:val="24"/>
        </w:rPr>
        <w:t xml:space="preserve">worked together to </w:t>
      </w:r>
      <w:r w:rsidR="00FC024F" w:rsidRPr="009C40EC">
        <w:rPr>
          <w:sz w:val="24"/>
          <w:szCs w:val="24"/>
        </w:rPr>
        <w:t xml:space="preserve">initially </w:t>
      </w:r>
      <w:r w:rsidR="00D818AD" w:rsidRPr="009C40EC">
        <w:rPr>
          <w:sz w:val="24"/>
          <w:szCs w:val="24"/>
        </w:rPr>
        <w:t xml:space="preserve">identify and agree on a preliminary set of </w:t>
      </w:r>
      <w:r w:rsidR="009A47A1" w:rsidRPr="009C40EC">
        <w:rPr>
          <w:sz w:val="24"/>
          <w:szCs w:val="24"/>
        </w:rPr>
        <w:t xml:space="preserve">Human Factors </w:t>
      </w:r>
      <w:r w:rsidR="00D818AD" w:rsidRPr="009C40EC">
        <w:rPr>
          <w:sz w:val="24"/>
          <w:szCs w:val="24"/>
        </w:rPr>
        <w:t xml:space="preserve">principles </w:t>
      </w:r>
      <w:r w:rsidR="00742C4C" w:rsidRPr="009C40EC">
        <w:rPr>
          <w:sz w:val="24"/>
          <w:szCs w:val="24"/>
        </w:rPr>
        <w:t xml:space="preserve">and </w:t>
      </w:r>
      <w:r w:rsidR="00D02450" w:rsidRPr="009C40EC">
        <w:rPr>
          <w:sz w:val="24"/>
          <w:szCs w:val="24"/>
        </w:rPr>
        <w:t xml:space="preserve">descriptors </w:t>
      </w:r>
      <w:r w:rsidR="00742C4C" w:rsidRPr="009C40EC">
        <w:rPr>
          <w:sz w:val="24"/>
          <w:szCs w:val="24"/>
        </w:rPr>
        <w:t xml:space="preserve">that could potentially inform the design of simulation education </w:t>
      </w:r>
      <w:r w:rsidR="00B26C09" w:rsidRPr="009C40EC">
        <w:rPr>
          <w:sz w:val="24"/>
          <w:szCs w:val="24"/>
        </w:rPr>
        <w:t>scenarios</w:t>
      </w:r>
      <w:r w:rsidR="00742C4C" w:rsidRPr="009C40EC">
        <w:rPr>
          <w:sz w:val="24"/>
          <w:szCs w:val="24"/>
        </w:rPr>
        <w:t xml:space="preserve"> and </w:t>
      </w:r>
      <w:r w:rsidR="00FC024F" w:rsidRPr="009C40EC">
        <w:rPr>
          <w:sz w:val="24"/>
          <w:szCs w:val="24"/>
        </w:rPr>
        <w:t>activities</w:t>
      </w:r>
      <w:r w:rsidR="00742C4C" w:rsidRPr="009C40EC">
        <w:rPr>
          <w:sz w:val="24"/>
          <w:szCs w:val="24"/>
        </w:rPr>
        <w:t>.</w:t>
      </w:r>
      <w:r w:rsidR="006C5E73" w:rsidRPr="009C40EC">
        <w:rPr>
          <w:sz w:val="24"/>
          <w:szCs w:val="24"/>
        </w:rPr>
        <w:t xml:space="preserve">  These were informed by previously published </w:t>
      </w:r>
      <w:r w:rsidR="00F70708" w:rsidRPr="009C40EC">
        <w:rPr>
          <w:sz w:val="24"/>
          <w:szCs w:val="24"/>
        </w:rPr>
        <w:t xml:space="preserve">generalisable </w:t>
      </w:r>
      <w:r w:rsidR="00D813AE" w:rsidRPr="009C40EC">
        <w:rPr>
          <w:sz w:val="24"/>
          <w:szCs w:val="24"/>
        </w:rPr>
        <w:t>‘tips’ on HF integration for healthcare educators, and on professional experiences</w:t>
      </w:r>
      <w:r w:rsidR="0049318D" w:rsidRPr="009C40EC">
        <w:rPr>
          <w:sz w:val="24"/>
          <w:szCs w:val="24"/>
        </w:rPr>
        <w:t xml:space="preserve"> in </w:t>
      </w:r>
      <w:r w:rsidR="008A28E6" w:rsidRPr="009C40EC">
        <w:rPr>
          <w:sz w:val="24"/>
          <w:szCs w:val="24"/>
        </w:rPr>
        <w:t>simulation-based education and HF operational practice</w:t>
      </w:r>
      <w:r w:rsidR="00D813AE" w:rsidRPr="009C40EC">
        <w:rPr>
          <w:sz w:val="24"/>
          <w:szCs w:val="24"/>
        </w:rPr>
        <w:t>.</w:t>
      </w:r>
      <w:r w:rsidR="009B4F3E" w:rsidRPr="009C40EC">
        <w:rPr>
          <w:sz w:val="24"/>
          <w:szCs w:val="24"/>
        </w:rPr>
        <w:t xml:space="preserve">  </w:t>
      </w:r>
    </w:p>
    <w:p w14:paraId="76D6AC05" w14:textId="31C485FB" w:rsidR="0092617D" w:rsidRPr="009C40EC" w:rsidRDefault="0092617D" w:rsidP="00FF7320">
      <w:pPr>
        <w:rPr>
          <w:sz w:val="24"/>
          <w:szCs w:val="24"/>
        </w:rPr>
      </w:pPr>
      <w:r w:rsidRPr="009C40EC">
        <w:rPr>
          <w:sz w:val="24"/>
          <w:szCs w:val="24"/>
          <w:u w:val="single"/>
        </w:rPr>
        <w:t>Phase 2</w:t>
      </w:r>
    </w:p>
    <w:p w14:paraId="4486A9C0" w14:textId="2ED2A2F6" w:rsidR="00D02450" w:rsidRPr="009C40EC" w:rsidRDefault="0031172D" w:rsidP="00FF7320">
      <w:pPr>
        <w:rPr>
          <w:sz w:val="24"/>
          <w:szCs w:val="24"/>
        </w:rPr>
      </w:pPr>
      <w:r w:rsidRPr="009C40EC">
        <w:rPr>
          <w:sz w:val="24"/>
          <w:szCs w:val="24"/>
        </w:rPr>
        <w:t>Using existing professional networks in the United Kingdom and Ireland</w:t>
      </w:r>
      <w:r w:rsidR="0042620F" w:rsidRPr="009C40EC">
        <w:rPr>
          <w:sz w:val="24"/>
          <w:szCs w:val="24"/>
        </w:rPr>
        <w:t xml:space="preserve">, a minimum of </w:t>
      </w:r>
      <w:r w:rsidR="0042647F">
        <w:rPr>
          <w:sz w:val="24"/>
          <w:szCs w:val="24"/>
        </w:rPr>
        <w:t>20</w:t>
      </w:r>
      <w:r w:rsidR="0042620F" w:rsidRPr="009C40EC">
        <w:rPr>
          <w:sz w:val="24"/>
          <w:szCs w:val="24"/>
        </w:rPr>
        <w:t xml:space="preserve"> experienced </w:t>
      </w:r>
      <w:r w:rsidR="00023374" w:rsidRPr="009C40EC">
        <w:rPr>
          <w:sz w:val="24"/>
          <w:szCs w:val="24"/>
        </w:rPr>
        <w:t>healthcare simulation</w:t>
      </w:r>
      <w:r w:rsidR="00373A40">
        <w:rPr>
          <w:sz w:val="24"/>
          <w:szCs w:val="24"/>
        </w:rPr>
        <w:t xml:space="preserve"> education</w:t>
      </w:r>
      <w:r w:rsidR="00023374" w:rsidRPr="009C40EC">
        <w:rPr>
          <w:sz w:val="24"/>
          <w:szCs w:val="24"/>
        </w:rPr>
        <w:t xml:space="preserve"> and Human Factors specialists will be recruited to review</w:t>
      </w:r>
      <w:r w:rsidR="001363EF" w:rsidRPr="009C40EC">
        <w:rPr>
          <w:sz w:val="24"/>
          <w:szCs w:val="24"/>
        </w:rPr>
        <w:t xml:space="preserve"> and where necessary, adapt and /or add to the candidate set of principles</w:t>
      </w:r>
      <w:r w:rsidR="003007F8" w:rsidRPr="009C40EC">
        <w:rPr>
          <w:sz w:val="24"/>
          <w:szCs w:val="24"/>
        </w:rPr>
        <w:t xml:space="preserve"> before </w:t>
      </w:r>
      <w:r w:rsidR="00E4364F" w:rsidRPr="009C40EC">
        <w:rPr>
          <w:sz w:val="24"/>
          <w:szCs w:val="24"/>
        </w:rPr>
        <w:t xml:space="preserve">reaching agreement on </w:t>
      </w:r>
      <w:r w:rsidR="009A63BD" w:rsidRPr="009C40EC">
        <w:rPr>
          <w:sz w:val="24"/>
          <w:szCs w:val="24"/>
        </w:rPr>
        <w:t>the inclusion of principles</w:t>
      </w:r>
      <w:r w:rsidR="003F4EF4" w:rsidRPr="009C40EC">
        <w:rPr>
          <w:sz w:val="24"/>
          <w:szCs w:val="24"/>
        </w:rPr>
        <w:t xml:space="preserve"> that are judged to be acceptable, feasible and impactful</w:t>
      </w:r>
      <w:r w:rsidR="001363EF" w:rsidRPr="009C40EC">
        <w:rPr>
          <w:sz w:val="24"/>
          <w:szCs w:val="24"/>
        </w:rPr>
        <w:t xml:space="preserve">. </w:t>
      </w:r>
      <w:r w:rsidR="009A63BD" w:rsidRPr="009C40EC">
        <w:rPr>
          <w:sz w:val="24"/>
          <w:szCs w:val="24"/>
        </w:rPr>
        <w:t xml:space="preserve">A multi-method </w:t>
      </w:r>
      <w:r w:rsidR="001363EF" w:rsidRPr="009C40EC">
        <w:rPr>
          <w:sz w:val="24"/>
          <w:szCs w:val="24"/>
        </w:rPr>
        <w:t>study wil</w:t>
      </w:r>
      <w:r w:rsidR="003007F8" w:rsidRPr="009C40EC">
        <w:rPr>
          <w:sz w:val="24"/>
          <w:szCs w:val="24"/>
        </w:rPr>
        <w:t xml:space="preserve">l </w:t>
      </w:r>
      <w:r w:rsidR="001363EF" w:rsidRPr="009C40EC">
        <w:rPr>
          <w:sz w:val="24"/>
          <w:szCs w:val="24"/>
        </w:rPr>
        <w:t>be conducted during February and March 2025</w:t>
      </w:r>
      <w:r w:rsidR="00D02450" w:rsidRPr="009C40EC">
        <w:rPr>
          <w:sz w:val="24"/>
          <w:szCs w:val="24"/>
        </w:rPr>
        <w:t xml:space="preserve"> </w:t>
      </w:r>
      <w:r w:rsidR="003007F8" w:rsidRPr="009C40EC">
        <w:rPr>
          <w:sz w:val="24"/>
          <w:szCs w:val="24"/>
        </w:rPr>
        <w:t xml:space="preserve">using Microsoft Teams </w:t>
      </w:r>
      <w:r w:rsidR="009A63BD" w:rsidRPr="009C40EC">
        <w:rPr>
          <w:sz w:val="24"/>
          <w:szCs w:val="24"/>
        </w:rPr>
        <w:t xml:space="preserve">meetings to </w:t>
      </w:r>
      <w:r w:rsidR="002E2527" w:rsidRPr="009C40EC">
        <w:rPr>
          <w:sz w:val="24"/>
          <w:szCs w:val="24"/>
        </w:rPr>
        <w:t xml:space="preserve">build consensus, informed by both a modified-Delphi method (qualitative) and the application of a Content Validity </w:t>
      </w:r>
      <w:r w:rsidR="00807257" w:rsidRPr="009C40EC">
        <w:rPr>
          <w:sz w:val="24"/>
          <w:szCs w:val="24"/>
        </w:rPr>
        <w:t xml:space="preserve">Index exercise (quantitative). </w:t>
      </w:r>
    </w:p>
    <w:p w14:paraId="2BBA59BD" w14:textId="77777777" w:rsidR="00C03040" w:rsidRPr="009C40EC" w:rsidRDefault="00C03040" w:rsidP="00FF7320">
      <w:pPr>
        <w:rPr>
          <w:i/>
          <w:iCs/>
          <w:sz w:val="24"/>
          <w:szCs w:val="24"/>
        </w:rPr>
      </w:pPr>
    </w:p>
    <w:p w14:paraId="32A6BAD2" w14:textId="48276E2C" w:rsidR="00FF7320" w:rsidRPr="009C40EC" w:rsidRDefault="00FF7320" w:rsidP="00FF7320">
      <w:pPr>
        <w:rPr>
          <w:b/>
          <w:bCs/>
          <w:i/>
          <w:iCs/>
          <w:sz w:val="24"/>
          <w:szCs w:val="24"/>
        </w:rPr>
      </w:pPr>
      <w:r w:rsidRPr="009C40EC">
        <w:rPr>
          <w:b/>
          <w:bCs/>
          <w:i/>
          <w:iCs/>
          <w:sz w:val="24"/>
          <w:szCs w:val="24"/>
        </w:rPr>
        <w:t>Results</w:t>
      </w:r>
    </w:p>
    <w:p w14:paraId="6CE98BFA" w14:textId="796BAC0E" w:rsidR="003604F1" w:rsidRPr="009C40EC" w:rsidRDefault="003F4EF4" w:rsidP="00D2609B">
      <w:pPr>
        <w:rPr>
          <w:sz w:val="24"/>
          <w:szCs w:val="24"/>
        </w:rPr>
      </w:pPr>
      <w:r w:rsidRPr="009C40EC">
        <w:rPr>
          <w:sz w:val="24"/>
          <w:szCs w:val="24"/>
        </w:rPr>
        <w:t>The Phase 1 study has result</w:t>
      </w:r>
      <w:r w:rsidR="00A162FB" w:rsidRPr="009C40EC">
        <w:rPr>
          <w:sz w:val="24"/>
          <w:szCs w:val="24"/>
        </w:rPr>
        <w:t>ed</w:t>
      </w:r>
      <w:r w:rsidRPr="009C40EC">
        <w:rPr>
          <w:sz w:val="24"/>
          <w:szCs w:val="24"/>
        </w:rPr>
        <w:t xml:space="preserve"> in the development of the following </w:t>
      </w:r>
      <w:r w:rsidR="00830DA4" w:rsidRPr="009C40EC">
        <w:rPr>
          <w:sz w:val="24"/>
          <w:szCs w:val="24"/>
        </w:rPr>
        <w:t>12</w:t>
      </w:r>
      <w:r w:rsidRPr="009C40EC">
        <w:rPr>
          <w:sz w:val="24"/>
          <w:szCs w:val="24"/>
        </w:rPr>
        <w:t xml:space="preserve"> HF principles, with des</w:t>
      </w:r>
      <w:r w:rsidR="003604F1" w:rsidRPr="009C40EC">
        <w:rPr>
          <w:sz w:val="24"/>
          <w:szCs w:val="24"/>
        </w:rPr>
        <w:t>criptors</w:t>
      </w:r>
      <w:r w:rsidR="00A162FB" w:rsidRPr="009C40EC">
        <w:rPr>
          <w:sz w:val="24"/>
          <w:szCs w:val="24"/>
        </w:rPr>
        <w:t xml:space="preserve"> (Table 1</w:t>
      </w:r>
      <w:r w:rsidR="003604F1" w:rsidRPr="009C40EC">
        <w:rPr>
          <w:sz w:val="24"/>
          <w:szCs w:val="24"/>
        </w:rPr>
        <w:t xml:space="preserve">): </w:t>
      </w:r>
    </w:p>
    <w:p w14:paraId="17BEC5E5" w14:textId="77777777" w:rsidR="00A162FB" w:rsidRDefault="00A162FB" w:rsidP="00D2609B"/>
    <w:p w14:paraId="6C1DFD86" w14:textId="2D7540E6" w:rsidR="00A162FB" w:rsidRPr="00E6663B" w:rsidRDefault="00A162FB" w:rsidP="00E6663B">
      <w:pPr>
        <w:jc w:val="center"/>
        <w:rPr>
          <w:b/>
          <w:bCs/>
          <w:sz w:val="20"/>
          <w:szCs w:val="20"/>
        </w:rPr>
      </w:pPr>
      <w:r w:rsidRPr="00E6663B">
        <w:rPr>
          <w:b/>
          <w:bCs/>
          <w:sz w:val="20"/>
          <w:szCs w:val="20"/>
        </w:rPr>
        <w:t xml:space="preserve">Table 1. </w:t>
      </w:r>
      <w:r w:rsidR="00E6663B">
        <w:rPr>
          <w:b/>
          <w:bCs/>
          <w:sz w:val="20"/>
          <w:szCs w:val="20"/>
        </w:rPr>
        <w:t>P</w:t>
      </w:r>
      <w:r w:rsidRPr="00E6663B">
        <w:rPr>
          <w:b/>
          <w:bCs/>
          <w:sz w:val="20"/>
          <w:szCs w:val="20"/>
        </w:rPr>
        <w:t xml:space="preserve">reliminary HF Principles to inform </w:t>
      </w:r>
      <w:r w:rsidR="00E6663B" w:rsidRPr="00E6663B">
        <w:rPr>
          <w:b/>
          <w:bCs/>
          <w:sz w:val="20"/>
          <w:szCs w:val="20"/>
        </w:rPr>
        <w:t>healthcare simulation education and practice</w:t>
      </w:r>
    </w:p>
    <w:tbl>
      <w:tblPr>
        <w:tblStyle w:val="TableGrid"/>
        <w:tblW w:w="9351" w:type="dxa"/>
        <w:tblLook w:val="04A0" w:firstRow="1" w:lastRow="0" w:firstColumn="1" w:lastColumn="0" w:noHBand="0" w:noVBand="1"/>
      </w:tblPr>
      <w:tblGrid>
        <w:gridCol w:w="568"/>
        <w:gridCol w:w="4389"/>
        <w:gridCol w:w="4394"/>
      </w:tblGrid>
      <w:tr w:rsidR="003604F1" w:rsidRPr="003604F1" w14:paraId="783BF850" w14:textId="77777777" w:rsidTr="00644BD5">
        <w:tc>
          <w:tcPr>
            <w:tcW w:w="568" w:type="dxa"/>
          </w:tcPr>
          <w:p w14:paraId="0A605343" w14:textId="13C4D2D0" w:rsidR="003604F1" w:rsidRPr="00644BD5" w:rsidRDefault="003604F1" w:rsidP="003B583D">
            <w:pPr>
              <w:jc w:val="center"/>
              <w:rPr>
                <w:b/>
                <w:bCs/>
              </w:rPr>
            </w:pPr>
            <w:r w:rsidRPr="00644BD5">
              <w:rPr>
                <w:b/>
                <w:bCs/>
              </w:rPr>
              <w:t>No.</w:t>
            </w:r>
          </w:p>
        </w:tc>
        <w:tc>
          <w:tcPr>
            <w:tcW w:w="4389" w:type="dxa"/>
          </w:tcPr>
          <w:p w14:paraId="532F7CD3" w14:textId="74A57401" w:rsidR="003604F1" w:rsidRPr="003604F1" w:rsidRDefault="003604F1" w:rsidP="003604F1">
            <w:pPr>
              <w:jc w:val="center"/>
              <w:rPr>
                <w:b/>
                <w:bCs/>
              </w:rPr>
            </w:pPr>
            <w:r w:rsidRPr="003604F1">
              <w:rPr>
                <w:b/>
                <w:bCs/>
              </w:rPr>
              <w:t>Candidate HF Principle</w:t>
            </w:r>
          </w:p>
        </w:tc>
        <w:tc>
          <w:tcPr>
            <w:tcW w:w="4394" w:type="dxa"/>
          </w:tcPr>
          <w:p w14:paraId="5FD48D42" w14:textId="4BE51F6C" w:rsidR="003604F1" w:rsidRPr="003604F1" w:rsidRDefault="003604F1" w:rsidP="003604F1">
            <w:pPr>
              <w:jc w:val="center"/>
              <w:rPr>
                <w:b/>
                <w:bCs/>
              </w:rPr>
            </w:pPr>
            <w:r w:rsidRPr="003604F1">
              <w:rPr>
                <w:b/>
                <w:bCs/>
              </w:rPr>
              <w:t>Descriptor</w:t>
            </w:r>
          </w:p>
        </w:tc>
      </w:tr>
      <w:tr w:rsidR="003604F1" w14:paraId="046B597C" w14:textId="77777777" w:rsidTr="00644BD5">
        <w:tc>
          <w:tcPr>
            <w:tcW w:w="568" w:type="dxa"/>
          </w:tcPr>
          <w:p w14:paraId="7E86037E" w14:textId="77777777" w:rsidR="003604F1" w:rsidRPr="00644BD5" w:rsidRDefault="003604F1" w:rsidP="003B583D">
            <w:pPr>
              <w:jc w:val="center"/>
              <w:rPr>
                <w:b/>
                <w:bCs/>
              </w:rPr>
            </w:pPr>
          </w:p>
          <w:p w14:paraId="0DBF6D16" w14:textId="354BEFBA" w:rsidR="003604F1" w:rsidRPr="00644BD5" w:rsidRDefault="003604F1" w:rsidP="003B583D">
            <w:pPr>
              <w:jc w:val="center"/>
              <w:rPr>
                <w:b/>
                <w:bCs/>
              </w:rPr>
            </w:pPr>
            <w:r w:rsidRPr="00644BD5">
              <w:rPr>
                <w:b/>
                <w:bCs/>
              </w:rPr>
              <w:t>1.</w:t>
            </w:r>
          </w:p>
        </w:tc>
        <w:tc>
          <w:tcPr>
            <w:tcW w:w="4389" w:type="dxa"/>
          </w:tcPr>
          <w:p w14:paraId="18E2AEB1" w14:textId="77777777" w:rsidR="003604F1" w:rsidRDefault="003604F1" w:rsidP="00D2609B"/>
          <w:p w14:paraId="2FB1FF03" w14:textId="0482D05B" w:rsidR="0058374D" w:rsidRDefault="00F74A7D" w:rsidP="00D2609B">
            <w:r>
              <w:t>Apply the iterative</w:t>
            </w:r>
            <w:r w:rsidRPr="00F74A7D">
              <w:t xml:space="preserve"> participatory </w:t>
            </w:r>
            <w:r w:rsidR="0048746D">
              <w:t xml:space="preserve">co-design </w:t>
            </w:r>
            <w:r w:rsidRPr="00F74A7D">
              <w:t xml:space="preserve">approach central to HF to strengthen your specific curriculum or program of </w:t>
            </w:r>
            <w:r>
              <w:t xml:space="preserve">simulation </w:t>
            </w:r>
            <w:r w:rsidRPr="00F74A7D">
              <w:t>training</w:t>
            </w:r>
            <w:r>
              <w:t>.</w:t>
            </w:r>
          </w:p>
        </w:tc>
        <w:tc>
          <w:tcPr>
            <w:tcW w:w="4394" w:type="dxa"/>
          </w:tcPr>
          <w:p w14:paraId="54C1AA5A" w14:textId="77777777" w:rsidR="003604F1" w:rsidRDefault="003604F1" w:rsidP="00D2609B">
            <w:pPr>
              <w:rPr>
                <w:i/>
                <w:iCs/>
              </w:rPr>
            </w:pPr>
          </w:p>
          <w:p w14:paraId="5A90E9EF" w14:textId="3B7591DF" w:rsidR="00830DA4" w:rsidRPr="00644BD5" w:rsidRDefault="00AC289B" w:rsidP="00D2609B">
            <w:pPr>
              <w:rPr>
                <w:i/>
                <w:iCs/>
              </w:rPr>
            </w:pPr>
            <w:r>
              <w:rPr>
                <w:i/>
                <w:iCs/>
              </w:rPr>
              <w:t xml:space="preserve">The HF approach </w:t>
            </w:r>
            <w:r w:rsidR="00721248">
              <w:rPr>
                <w:i/>
                <w:iCs/>
              </w:rPr>
              <w:t xml:space="preserve">is always to co-design work systems, processes, tasks, </w:t>
            </w:r>
            <w:r w:rsidR="00930071">
              <w:rPr>
                <w:i/>
                <w:iCs/>
              </w:rPr>
              <w:t xml:space="preserve">interfaces, </w:t>
            </w:r>
            <w:r w:rsidR="00721248">
              <w:rPr>
                <w:i/>
                <w:iCs/>
              </w:rPr>
              <w:t xml:space="preserve">products etc with those who will use </w:t>
            </w:r>
            <w:r w:rsidR="00930071">
              <w:rPr>
                <w:i/>
                <w:iCs/>
              </w:rPr>
              <w:t xml:space="preserve">these artifacts.  </w:t>
            </w:r>
            <w:r w:rsidR="00A24FDD">
              <w:rPr>
                <w:i/>
                <w:iCs/>
              </w:rPr>
              <w:t>It is strongly argued that healthcare e</w:t>
            </w:r>
            <w:r w:rsidR="00930071">
              <w:rPr>
                <w:i/>
                <w:iCs/>
              </w:rPr>
              <w:t xml:space="preserve">ducation and training </w:t>
            </w:r>
            <w:r w:rsidR="00A24FDD">
              <w:rPr>
                <w:i/>
                <w:iCs/>
              </w:rPr>
              <w:t>would benefit from a similar iterative approach.</w:t>
            </w:r>
          </w:p>
        </w:tc>
      </w:tr>
      <w:tr w:rsidR="003604F1" w14:paraId="13ADA47C" w14:textId="77777777" w:rsidTr="00644BD5">
        <w:tc>
          <w:tcPr>
            <w:tcW w:w="568" w:type="dxa"/>
          </w:tcPr>
          <w:p w14:paraId="6514D55A" w14:textId="77777777" w:rsidR="003604F1" w:rsidRPr="00644BD5" w:rsidRDefault="003604F1" w:rsidP="003B583D">
            <w:pPr>
              <w:jc w:val="center"/>
              <w:rPr>
                <w:b/>
                <w:bCs/>
              </w:rPr>
            </w:pPr>
          </w:p>
          <w:p w14:paraId="7FFD0E4F" w14:textId="0B2BD9BB" w:rsidR="00C03040" w:rsidRPr="00644BD5" w:rsidRDefault="00C03040" w:rsidP="003B583D">
            <w:pPr>
              <w:jc w:val="center"/>
              <w:rPr>
                <w:b/>
                <w:bCs/>
              </w:rPr>
            </w:pPr>
            <w:r w:rsidRPr="00644BD5">
              <w:rPr>
                <w:b/>
                <w:bCs/>
              </w:rPr>
              <w:t>2.</w:t>
            </w:r>
          </w:p>
        </w:tc>
        <w:tc>
          <w:tcPr>
            <w:tcW w:w="4389" w:type="dxa"/>
          </w:tcPr>
          <w:p w14:paraId="11421556" w14:textId="77777777" w:rsidR="003604F1" w:rsidRDefault="003604F1" w:rsidP="00D2609B"/>
          <w:p w14:paraId="25548D7D" w14:textId="36EAB0EF" w:rsidR="00C03040" w:rsidRDefault="00785B4A" w:rsidP="00D2609B">
            <w:r>
              <w:t xml:space="preserve">Actively consider how </w:t>
            </w:r>
            <w:r w:rsidR="0084447D">
              <w:t xml:space="preserve">HF design principles </w:t>
            </w:r>
            <w:r>
              <w:t xml:space="preserve">can be </w:t>
            </w:r>
            <w:r w:rsidR="0084447D">
              <w:t xml:space="preserve">embedded in simulation developments </w:t>
            </w:r>
            <w:r w:rsidR="00644BD5">
              <w:t>where</w:t>
            </w:r>
            <w:r w:rsidR="0084447D">
              <w:t xml:space="preserve"> </w:t>
            </w:r>
            <w:r w:rsidR="008579B9">
              <w:t xml:space="preserve">these are </w:t>
            </w:r>
            <w:r w:rsidR="0084447D">
              <w:t xml:space="preserve">judged to </w:t>
            </w:r>
            <w:r w:rsidR="00644BD5">
              <w:t>have relevance and usefulness</w:t>
            </w:r>
          </w:p>
        </w:tc>
        <w:tc>
          <w:tcPr>
            <w:tcW w:w="4394" w:type="dxa"/>
          </w:tcPr>
          <w:p w14:paraId="00C108C8" w14:textId="77777777" w:rsidR="003604F1" w:rsidRDefault="003604F1" w:rsidP="00D2609B">
            <w:pPr>
              <w:rPr>
                <w:i/>
                <w:iCs/>
              </w:rPr>
            </w:pPr>
          </w:p>
          <w:p w14:paraId="37C4CB07" w14:textId="35A9C2F6" w:rsidR="00A24FDD" w:rsidRPr="00644BD5" w:rsidRDefault="00A24FDD" w:rsidP="00D2609B">
            <w:pPr>
              <w:rPr>
                <w:i/>
                <w:iCs/>
              </w:rPr>
            </w:pPr>
            <w:r>
              <w:rPr>
                <w:i/>
                <w:iCs/>
              </w:rPr>
              <w:t xml:space="preserve">HF draws heavily on </w:t>
            </w:r>
            <w:r w:rsidR="00052A6B">
              <w:rPr>
                <w:i/>
                <w:iCs/>
              </w:rPr>
              <w:t xml:space="preserve">well-established </w:t>
            </w:r>
            <w:r>
              <w:rPr>
                <w:i/>
                <w:iCs/>
              </w:rPr>
              <w:t>participatory</w:t>
            </w:r>
            <w:r w:rsidR="00052A6B">
              <w:rPr>
                <w:i/>
                <w:iCs/>
              </w:rPr>
              <w:t xml:space="preserve">, </w:t>
            </w:r>
            <w:r>
              <w:rPr>
                <w:i/>
                <w:iCs/>
              </w:rPr>
              <w:t>hum</w:t>
            </w:r>
            <w:r w:rsidR="00052A6B">
              <w:rPr>
                <w:i/>
                <w:iCs/>
              </w:rPr>
              <w:t>an</w:t>
            </w:r>
            <w:r>
              <w:rPr>
                <w:i/>
                <w:iCs/>
              </w:rPr>
              <w:t>-centred</w:t>
            </w:r>
            <w:r w:rsidR="00052A6B">
              <w:rPr>
                <w:i/>
                <w:iCs/>
              </w:rPr>
              <w:t xml:space="preserve">, interaction and universal design principles that are embedded in international standards and codes of practice.  </w:t>
            </w:r>
            <w:r w:rsidR="00A632D4">
              <w:rPr>
                <w:i/>
                <w:iCs/>
              </w:rPr>
              <w:t xml:space="preserve">Many of these foundational design principals (e.g. </w:t>
            </w:r>
            <w:r w:rsidR="00EF67AF">
              <w:rPr>
                <w:i/>
                <w:iCs/>
              </w:rPr>
              <w:t xml:space="preserve">taking an empathic approach; </w:t>
            </w:r>
            <w:r w:rsidR="00CF3446">
              <w:rPr>
                <w:i/>
                <w:iCs/>
              </w:rPr>
              <w:t>ensuring t</w:t>
            </w:r>
            <w:r w:rsidR="00CF3446" w:rsidRPr="00CF3446">
              <w:rPr>
                <w:i/>
                <w:iCs/>
              </w:rPr>
              <w:t>he design accommodates a wide range of individual preferences and abilities</w:t>
            </w:r>
            <w:r w:rsidR="00CF3446">
              <w:rPr>
                <w:i/>
                <w:iCs/>
              </w:rPr>
              <w:t>.</w:t>
            </w:r>
          </w:p>
        </w:tc>
      </w:tr>
      <w:tr w:rsidR="003604F1" w14:paraId="21F84415" w14:textId="77777777" w:rsidTr="00644BD5">
        <w:tc>
          <w:tcPr>
            <w:tcW w:w="568" w:type="dxa"/>
          </w:tcPr>
          <w:p w14:paraId="6BEA68D3" w14:textId="77777777" w:rsidR="003604F1" w:rsidRPr="00644BD5" w:rsidRDefault="003604F1" w:rsidP="003B583D">
            <w:pPr>
              <w:jc w:val="center"/>
              <w:rPr>
                <w:b/>
                <w:bCs/>
              </w:rPr>
            </w:pPr>
          </w:p>
          <w:p w14:paraId="75BDE9C3" w14:textId="7B575521" w:rsidR="00644BD5" w:rsidRPr="00644BD5" w:rsidRDefault="00644BD5" w:rsidP="003B583D">
            <w:pPr>
              <w:jc w:val="center"/>
              <w:rPr>
                <w:b/>
                <w:bCs/>
              </w:rPr>
            </w:pPr>
            <w:r w:rsidRPr="00644BD5">
              <w:rPr>
                <w:b/>
                <w:bCs/>
              </w:rPr>
              <w:lastRenderedPageBreak/>
              <w:t>3.</w:t>
            </w:r>
          </w:p>
        </w:tc>
        <w:tc>
          <w:tcPr>
            <w:tcW w:w="4389" w:type="dxa"/>
          </w:tcPr>
          <w:p w14:paraId="3D326EAD" w14:textId="77777777" w:rsidR="003604F1" w:rsidRDefault="003604F1" w:rsidP="00D2609B"/>
          <w:p w14:paraId="078BF3D4" w14:textId="3BD81585" w:rsidR="007F2668" w:rsidRDefault="006C0B88" w:rsidP="00D2609B">
            <w:proofErr w:type="gramStart"/>
            <w:r>
              <w:lastRenderedPageBreak/>
              <w:t>Apply a</w:t>
            </w:r>
            <w:r w:rsidR="007F2668">
              <w:t xml:space="preserve"> ‘</w:t>
            </w:r>
            <w:r w:rsidR="00895DC0">
              <w:t>S</w:t>
            </w:r>
            <w:r w:rsidR="007F2668">
              <w:t xml:space="preserve">ystems </w:t>
            </w:r>
            <w:r w:rsidR="00895DC0">
              <w:t>A</w:t>
            </w:r>
            <w:r w:rsidR="007F2668">
              <w:t xml:space="preserve">pproach’ </w:t>
            </w:r>
            <w:r>
              <w:t>at all times</w:t>
            </w:r>
            <w:proofErr w:type="gramEnd"/>
            <w:r>
              <w:t xml:space="preserve"> </w:t>
            </w:r>
            <w:r w:rsidR="007F2668">
              <w:t xml:space="preserve">in the </w:t>
            </w:r>
            <w:r w:rsidR="00625262">
              <w:t>design of simulation education activity.</w:t>
            </w:r>
          </w:p>
        </w:tc>
        <w:tc>
          <w:tcPr>
            <w:tcW w:w="4394" w:type="dxa"/>
          </w:tcPr>
          <w:p w14:paraId="0EDAB212" w14:textId="77777777" w:rsidR="003604F1" w:rsidRDefault="003604F1" w:rsidP="00D2609B">
            <w:pPr>
              <w:rPr>
                <w:i/>
                <w:iCs/>
              </w:rPr>
            </w:pPr>
          </w:p>
          <w:p w14:paraId="1F15CA22" w14:textId="3249849D" w:rsidR="00CF3446" w:rsidRPr="00644BD5" w:rsidRDefault="00564C96" w:rsidP="00D2609B">
            <w:pPr>
              <w:rPr>
                <w:i/>
                <w:iCs/>
              </w:rPr>
            </w:pPr>
            <w:r>
              <w:rPr>
                <w:i/>
                <w:iCs/>
              </w:rPr>
              <w:lastRenderedPageBreak/>
              <w:t xml:space="preserve">A holistic “systems approach” is </w:t>
            </w:r>
            <w:proofErr w:type="gramStart"/>
            <w:r>
              <w:rPr>
                <w:i/>
                <w:iCs/>
              </w:rPr>
              <w:t xml:space="preserve">implemented by HF at </w:t>
            </w:r>
            <w:r w:rsidR="00A5285C">
              <w:rPr>
                <w:i/>
                <w:iCs/>
              </w:rPr>
              <w:t xml:space="preserve">all </w:t>
            </w:r>
            <w:r>
              <w:rPr>
                <w:i/>
                <w:iCs/>
              </w:rPr>
              <w:t>times</w:t>
            </w:r>
            <w:proofErr w:type="gramEnd"/>
            <w:r>
              <w:rPr>
                <w:i/>
                <w:iCs/>
              </w:rPr>
              <w:t xml:space="preserve"> when diagnosing a problem, design</w:t>
            </w:r>
            <w:r w:rsidR="00A5285C">
              <w:rPr>
                <w:i/>
                <w:iCs/>
              </w:rPr>
              <w:t>ing</w:t>
            </w:r>
            <w:r>
              <w:rPr>
                <w:i/>
                <w:iCs/>
              </w:rPr>
              <w:t xml:space="preserve"> a solution, implementing, testing and evaluating that solution.  </w:t>
            </w:r>
            <w:r w:rsidR="00F87F29">
              <w:rPr>
                <w:i/>
                <w:iCs/>
              </w:rPr>
              <w:t>The underlying assumption is that nothing in a workplace happens in isolation and that system elements (e.g. people, tasks, technology, physical spaces and culture) are always interacting</w:t>
            </w:r>
            <w:r w:rsidR="004D0A2D">
              <w:rPr>
                <w:i/>
                <w:iCs/>
              </w:rPr>
              <w:t xml:space="preserve">.  </w:t>
            </w:r>
            <w:r w:rsidR="00A5285C">
              <w:rPr>
                <w:i/>
                <w:iCs/>
              </w:rPr>
              <w:t>The design of simulation activity would benefit</w:t>
            </w:r>
            <w:r w:rsidR="0052712C">
              <w:rPr>
                <w:i/>
                <w:iCs/>
              </w:rPr>
              <w:t xml:space="preserve"> from consideration of similar system interactions that reflect the ‘real world’.</w:t>
            </w:r>
          </w:p>
        </w:tc>
      </w:tr>
      <w:tr w:rsidR="003604F1" w14:paraId="6D18CCF6" w14:textId="77777777" w:rsidTr="00644BD5">
        <w:tc>
          <w:tcPr>
            <w:tcW w:w="568" w:type="dxa"/>
          </w:tcPr>
          <w:p w14:paraId="79EC9098" w14:textId="77777777" w:rsidR="003604F1" w:rsidRDefault="003604F1" w:rsidP="003B583D">
            <w:pPr>
              <w:jc w:val="center"/>
              <w:rPr>
                <w:b/>
                <w:bCs/>
              </w:rPr>
            </w:pPr>
          </w:p>
          <w:p w14:paraId="68EFA6D4" w14:textId="196E0811" w:rsidR="00625262" w:rsidRPr="00644BD5" w:rsidRDefault="00625262" w:rsidP="003B583D">
            <w:pPr>
              <w:jc w:val="center"/>
              <w:rPr>
                <w:b/>
                <w:bCs/>
              </w:rPr>
            </w:pPr>
            <w:r>
              <w:rPr>
                <w:b/>
                <w:bCs/>
              </w:rPr>
              <w:t>4.</w:t>
            </w:r>
          </w:p>
        </w:tc>
        <w:tc>
          <w:tcPr>
            <w:tcW w:w="4389" w:type="dxa"/>
          </w:tcPr>
          <w:p w14:paraId="61F0B9D3" w14:textId="77777777" w:rsidR="003604F1" w:rsidRDefault="003604F1" w:rsidP="00D2609B"/>
          <w:p w14:paraId="4C58A947" w14:textId="3502F575" w:rsidR="003B54FB" w:rsidRDefault="0004456B" w:rsidP="00D2609B">
            <w:r>
              <w:t xml:space="preserve">Ensure </w:t>
            </w:r>
            <w:r w:rsidR="00210C23">
              <w:t xml:space="preserve">simulation education </w:t>
            </w:r>
            <w:r w:rsidR="006C0B88">
              <w:t xml:space="preserve">developments </w:t>
            </w:r>
            <w:r w:rsidR="00210C23">
              <w:t>embrace t</w:t>
            </w:r>
            <w:r w:rsidR="00F34683" w:rsidRPr="00F34683">
              <w:t xml:space="preserve">he HF core concept </w:t>
            </w:r>
            <w:r w:rsidR="00210C23">
              <w:t xml:space="preserve">which </w:t>
            </w:r>
            <w:r w:rsidR="00F34683" w:rsidRPr="00F34683">
              <w:t xml:space="preserve">is to </w:t>
            </w:r>
            <w:r w:rsidR="00F34683" w:rsidRPr="00210C23">
              <w:rPr>
                <w:i/>
                <w:iCs/>
              </w:rPr>
              <w:t>jointly optimise</w:t>
            </w:r>
            <w:r w:rsidR="00F34683" w:rsidRPr="00F34683">
              <w:t xml:space="preserve"> </w:t>
            </w:r>
            <w:r w:rsidR="00210C23">
              <w:t xml:space="preserve">both </w:t>
            </w:r>
            <w:r w:rsidR="00F34683" w:rsidRPr="00F34683">
              <w:t>system performance and the wellbeing of people</w:t>
            </w:r>
          </w:p>
        </w:tc>
        <w:tc>
          <w:tcPr>
            <w:tcW w:w="4394" w:type="dxa"/>
          </w:tcPr>
          <w:p w14:paraId="1AC0D356" w14:textId="77777777" w:rsidR="003604F1" w:rsidRDefault="003604F1" w:rsidP="00D2609B">
            <w:pPr>
              <w:rPr>
                <w:i/>
                <w:iCs/>
              </w:rPr>
            </w:pPr>
          </w:p>
          <w:p w14:paraId="0062E5DC" w14:textId="2A6D1271" w:rsidR="0052712C" w:rsidRPr="00644BD5" w:rsidRDefault="00E75BF4" w:rsidP="00D2609B">
            <w:pPr>
              <w:rPr>
                <w:i/>
                <w:iCs/>
              </w:rPr>
            </w:pPr>
            <w:r>
              <w:rPr>
                <w:i/>
                <w:iCs/>
              </w:rPr>
              <w:t>HF always focuses on the Twin Aims</w:t>
            </w:r>
            <w:r w:rsidR="00544B61">
              <w:rPr>
                <w:i/>
                <w:iCs/>
              </w:rPr>
              <w:t xml:space="preserve">, a foundational principle that means </w:t>
            </w:r>
            <w:r w:rsidR="001F2A8B">
              <w:rPr>
                <w:i/>
                <w:iCs/>
              </w:rPr>
              <w:t xml:space="preserve">we recognise the interrelationships between closely related outcomes: system performance and human wellbeing.  </w:t>
            </w:r>
            <w:r w:rsidR="003F6BD4">
              <w:rPr>
                <w:i/>
                <w:iCs/>
              </w:rPr>
              <w:t xml:space="preserve">A well-designed checklist (to support and improve performance) will </w:t>
            </w:r>
            <w:r w:rsidR="00C11D4E">
              <w:rPr>
                <w:i/>
                <w:iCs/>
              </w:rPr>
              <w:t xml:space="preserve">flounder </w:t>
            </w:r>
            <w:proofErr w:type="gramStart"/>
            <w:r w:rsidR="00C11D4E">
              <w:rPr>
                <w:i/>
                <w:iCs/>
              </w:rPr>
              <w:t>in reality if</w:t>
            </w:r>
            <w:proofErr w:type="gramEnd"/>
            <w:r w:rsidR="00C11D4E">
              <w:rPr>
                <w:i/>
                <w:iCs/>
              </w:rPr>
              <w:t xml:space="preserve"> it takes staff more time to complete</w:t>
            </w:r>
            <w:r w:rsidR="00394BC2">
              <w:rPr>
                <w:i/>
                <w:iCs/>
              </w:rPr>
              <w:t xml:space="preserve"> (thereby impacting their wellbeing as it becomes an irritation) than the old system of work.</w:t>
            </w:r>
          </w:p>
        </w:tc>
      </w:tr>
      <w:tr w:rsidR="003604F1" w14:paraId="2EAA9711" w14:textId="77777777" w:rsidTr="00644BD5">
        <w:tc>
          <w:tcPr>
            <w:tcW w:w="568" w:type="dxa"/>
          </w:tcPr>
          <w:p w14:paraId="1A240D4A" w14:textId="77777777" w:rsidR="00375288" w:rsidRDefault="00375288" w:rsidP="003B583D">
            <w:pPr>
              <w:jc w:val="center"/>
              <w:rPr>
                <w:b/>
                <w:bCs/>
              </w:rPr>
            </w:pPr>
          </w:p>
          <w:p w14:paraId="539FDBA8" w14:textId="528D8494" w:rsidR="003604F1" w:rsidRPr="00644BD5" w:rsidRDefault="003B54FB" w:rsidP="003B583D">
            <w:pPr>
              <w:jc w:val="center"/>
              <w:rPr>
                <w:b/>
                <w:bCs/>
              </w:rPr>
            </w:pPr>
            <w:r>
              <w:rPr>
                <w:b/>
                <w:bCs/>
              </w:rPr>
              <w:t>5.</w:t>
            </w:r>
          </w:p>
        </w:tc>
        <w:tc>
          <w:tcPr>
            <w:tcW w:w="4389" w:type="dxa"/>
          </w:tcPr>
          <w:p w14:paraId="6C2B41F0" w14:textId="77777777" w:rsidR="00375288" w:rsidRDefault="00375288" w:rsidP="00D2609B"/>
          <w:p w14:paraId="6B7BE15E" w14:textId="486D8791" w:rsidR="003604F1" w:rsidRDefault="00D70369" w:rsidP="00D2609B">
            <w:r>
              <w:t>Ensure simulation t</w:t>
            </w:r>
            <w:r w:rsidR="003B54FB" w:rsidRPr="003B54FB">
              <w:t xml:space="preserve">eaching faculty </w:t>
            </w:r>
            <w:r>
              <w:t>are</w:t>
            </w:r>
            <w:r w:rsidR="003B54FB" w:rsidRPr="003B54FB">
              <w:t xml:space="preserve"> competent to deliver </w:t>
            </w:r>
            <w:r w:rsidR="00693EFF">
              <w:t xml:space="preserve">foundational HF </w:t>
            </w:r>
            <w:r w:rsidR="003B54FB" w:rsidRPr="003B54FB">
              <w:t>theory and practice (knowledge and skills)</w:t>
            </w:r>
          </w:p>
        </w:tc>
        <w:tc>
          <w:tcPr>
            <w:tcW w:w="4394" w:type="dxa"/>
          </w:tcPr>
          <w:p w14:paraId="08890750" w14:textId="77777777" w:rsidR="003604F1" w:rsidRDefault="003604F1" w:rsidP="00D2609B">
            <w:pPr>
              <w:rPr>
                <w:i/>
                <w:iCs/>
              </w:rPr>
            </w:pPr>
          </w:p>
          <w:p w14:paraId="0A81BFDF" w14:textId="7F062E34" w:rsidR="00577B8E" w:rsidRPr="00644BD5" w:rsidRDefault="00577B8E" w:rsidP="00D2609B">
            <w:pPr>
              <w:rPr>
                <w:i/>
                <w:iCs/>
              </w:rPr>
            </w:pPr>
            <w:r w:rsidRPr="00577B8E">
              <w:rPr>
                <w:i/>
                <w:iCs/>
              </w:rPr>
              <w:t xml:space="preserve">Lack of </w:t>
            </w:r>
            <w:r>
              <w:rPr>
                <w:i/>
                <w:iCs/>
              </w:rPr>
              <w:t xml:space="preserve">relevant </w:t>
            </w:r>
            <w:r w:rsidRPr="00577B8E">
              <w:rPr>
                <w:i/>
                <w:iCs/>
              </w:rPr>
              <w:t xml:space="preserve">knowledge and skills is arguably the biggest challenge for embedding HF in </w:t>
            </w:r>
            <w:r>
              <w:rPr>
                <w:i/>
                <w:iCs/>
              </w:rPr>
              <w:t xml:space="preserve">simulation </w:t>
            </w:r>
            <w:r w:rsidRPr="00577B8E">
              <w:rPr>
                <w:i/>
                <w:iCs/>
              </w:rPr>
              <w:t>education.</w:t>
            </w:r>
            <w:r w:rsidR="003D16B4">
              <w:rPr>
                <w:i/>
                <w:iCs/>
              </w:rPr>
              <w:t xml:space="preserve">  </w:t>
            </w:r>
            <w:r w:rsidR="003D16B4" w:rsidRPr="003D16B4">
              <w:rPr>
                <w:i/>
                <w:iCs/>
              </w:rPr>
              <w:t xml:space="preserve">Moving to a </w:t>
            </w:r>
            <w:r w:rsidR="00F16E58">
              <w:rPr>
                <w:i/>
                <w:iCs/>
              </w:rPr>
              <w:t>S</w:t>
            </w:r>
            <w:r w:rsidR="003D16B4" w:rsidRPr="003D16B4">
              <w:rPr>
                <w:i/>
                <w:iCs/>
              </w:rPr>
              <w:t xml:space="preserve">ystems </w:t>
            </w:r>
            <w:r w:rsidR="00F16E58">
              <w:rPr>
                <w:i/>
                <w:iCs/>
              </w:rPr>
              <w:t>A</w:t>
            </w:r>
            <w:r w:rsidR="003D16B4" w:rsidRPr="003D16B4">
              <w:rPr>
                <w:i/>
                <w:iCs/>
              </w:rPr>
              <w:t>pproach is no small undertaking and a minimum level of theoretical knowledge and practical expertise (competency) is required.</w:t>
            </w:r>
            <w:r w:rsidR="00F16E58">
              <w:t xml:space="preserve"> </w:t>
            </w:r>
            <w:r w:rsidR="00F16E58" w:rsidRPr="00F16E58">
              <w:rPr>
                <w:i/>
                <w:iCs/>
              </w:rPr>
              <w:t xml:space="preserve">HF is an applied discipline and there is an argument for developing both pan-healthcare HF learning outcomes and a healthcare HF methods toolbox. There are many HF </w:t>
            </w:r>
            <w:proofErr w:type="gramStart"/>
            <w:r w:rsidR="00F16E58" w:rsidRPr="00F16E58">
              <w:rPr>
                <w:i/>
                <w:iCs/>
              </w:rPr>
              <w:t>tools</w:t>
            </w:r>
            <w:proofErr w:type="gramEnd"/>
            <w:r w:rsidR="00E73CCA">
              <w:rPr>
                <w:i/>
                <w:iCs/>
              </w:rPr>
              <w:t xml:space="preserve"> </w:t>
            </w:r>
            <w:r w:rsidR="00F16E58" w:rsidRPr="00F16E58">
              <w:rPr>
                <w:i/>
                <w:iCs/>
              </w:rPr>
              <w:t xml:space="preserve">but </w:t>
            </w:r>
            <w:r w:rsidR="00523428">
              <w:rPr>
                <w:i/>
                <w:iCs/>
              </w:rPr>
              <w:t xml:space="preserve">some can be applied by novice learners (e.g. </w:t>
            </w:r>
            <w:r w:rsidR="00E73CCA">
              <w:rPr>
                <w:i/>
                <w:iCs/>
              </w:rPr>
              <w:t>systems modelling and task analysis) and used to aid curriculum design</w:t>
            </w:r>
            <w:r w:rsidR="00F16E58" w:rsidRPr="00F16E58">
              <w:rPr>
                <w:i/>
                <w:iCs/>
              </w:rPr>
              <w:t>.</w:t>
            </w:r>
          </w:p>
        </w:tc>
      </w:tr>
      <w:tr w:rsidR="002E6BA9" w14:paraId="542AA9DB" w14:textId="77777777" w:rsidTr="00644BD5">
        <w:tc>
          <w:tcPr>
            <w:tcW w:w="568" w:type="dxa"/>
          </w:tcPr>
          <w:p w14:paraId="6DBAA654" w14:textId="77777777" w:rsidR="002E6BA9" w:rsidRDefault="002E6BA9" w:rsidP="003B583D">
            <w:pPr>
              <w:jc w:val="center"/>
              <w:rPr>
                <w:b/>
                <w:bCs/>
              </w:rPr>
            </w:pPr>
          </w:p>
          <w:p w14:paraId="7B5C9261" w14:textId="0A00E491" w:rsidR="002E6BA9" w:rsidRDefault="002E6BA9" w:rsidP="003B583D">
            <w:pPr>
              <w:jc w:val="center"/>
              <w:rPr>
                <w:b/>
                <w:bCs/>
              </w:rPr>
            </w:pPr>
            <w:r>
              <w:rPr>
                <w:b/>
                <w:bCs/>
              </w:rPr>
              <w:t>6.</w:t>
            </w:r>
          </w:p>
        </w:tc>
        <w:tc>
          <w:tcPr>
            <w:tcW w:w="4389" w:type="dxa"/>
          </w:tcPr>
          <w:p w14:paraId="75972444" w14:textId="77777777" w:rsidR="002E6BA9" w:rsidRDefault="002E6BA9" w:rsidP="00D2609B"/>
          <w:p w14:paraId="296886EE" w14:textId="789C3A96" w:rsidR="008B6D68" w:rsidRDefault="005B2394" w:rsidP="00D2609B">
            <w:r>
              <w:t xml:space="preserve">Simulation education should explicitly recognise what HF </w:t>
            </w:r>
            <w:r w:rsidR="000114B3">
              <w:t>is and what it is not</w:t>
            </w:r>
          </w:p>
        </w:tc>
        <w:tc>
          <w:tcPr>
            <w:tcW w:w="4394" w:type="dxa"/>
          </w:tcPr>
          <w:p w14:paraId="257F083E" w14:textId="77777777" w:rsidR="002E6BA9" w:rsidRDefault="002E6BA9" w:rsidP="00D2609B">
            <w:pPr>
              <w:rPr>
                <w:i/>
                <w:iCs/>
              </w:rPr>
            </w:pPr>
          </w:p>
          <w:p w14:paraId="2A0D1D52" w14:textId="10845F51" w:rsidR="00E73CCA" w:rsidRPr="00644BD5" w:rsidRDefault="001B2DAD" w:rsidP="00D2609B">
            <w:pPr>
              <w:rPr>
                <w:i/>
                <w:iCs/>
              </w:rPr>
            </w:pPr>
            <w:r>
              <w:rPr>
                <w:i/>
                <w:iCs/>
              </w:rPr>
              <w:t xml:space="preserve">In healthcare there is a </w:t>
            </w:r>
            <w:r w:rsidRPr="001B2DAD">
              <w:rPr>
                <w:i/>
                <w:iCs/>
              </w:rPr>
              <w:t>history of confusing HF with non-technical skills training. Nontechnical skills training usually focuses on behavio</w:t>
            </w:r>
            <w:r w:rsidR="00F44F14">
              <w:rPr>
                <w:i/>
                <w:iCs/>
              </w:rPr>
              <w:t>u</w:t>
            </w:r>
            <w:r w:rsidRPr="001B2DAD">
              <w:rPr>
                <w:i/>
                <w:iCs/>
              </w:rPr>
              <w:t>ral solutions using “technical” to mean “specialist,” rather than “technology-related”</w:t>
            </w:r>
            <w:r>
              <w:rPr>
                <w:i/>
                <w:iCs/>
              </w:rPr>
              <w:t xml:space="preserve">.  </w:t>
            </w:r>
            <w:r w:rsidRPr="001B2DAD">
              <w:rPr>
                <w:i/>
                <w:iCs/>
              </w:rPr>
              <w:t xml:space="preserve">This has resulted in the exclusion of a systems approach and has led many to the mistaken belief that aviation-style training (e.g. crew resource management) is HF, despite a lack of systems theory, HF integration, human-centred design or HF analysis techniques </w:t>
            </w:r>
            <w:r w:rsidRPr="001B2DAD">
              <w:rPr>
                <w:i/>
                <w:iCs/>
              </w:rPr>
              <w:lastRenderedPageBreak/>
              <w:t>teaching.</w:t>
            </w:r>
            <w:r w:rsidR="00241A2A">
              <w:rPr>
                <w:i/>
                <w:iCs/>
              </w:rPr>
              <w:t xml:space="preserve">  Knowing this enable</w:t>
            </w:r>
            <w:r w:rsidR="0071732F">
              <w:rPr>
                <w:i/>
                <w:iCs/>
              </w:rPr>
              <w:t>s</w:t>
            </w:r>
            <w:r w:rsidR="00241A2A">
              <w:rPr>
                <w:i/>
                <w:iCs/>
              </w:rPr>
              <w:t xml:space="preserve"> </w:t>
            </w:r>
            <w:proofErr w:type="gramStart"/>
            <w:r w:rsidR="00241A2A">
              <w:rPr>
                <w:i/>
                <w:iCs/>
              </w:rPr>
              <w:t>simulation based</w:t>
            </w:r>
            <w:proofErr w:type="gramEnd"/>
            <w:r w:rsidR="00241A2A">
              <w:rPr>
                <w:i/>
                <w:iCs/>
              </w:rPr>
              <w:t xml:space="preserve"> educators to </w:t>
            </w:r>
            <w:r w:rsidR="00C101B6">
              <w:rPr>
                <w:i/>
                <w:iCs/>
              </w:rPr>
              <w:t>correct these misapprehensions and ensure</w:t>
            </w:r>
            <w:r w:rsidR="0071732F">
              <w:rPr>
                <w:i/>
                <w:iCs/>
              </w:rPr>
              <w:t xml:space="preserve"> a more accurate description of the HF discipline approach.</w:t>
            </w:r>
            <w:r w:rsidR="00C101B6">
              <w:rPr>
                <w:i/>
                <w:iCs/>
              </w:rPr>
              <w:t xml:space="preserve"> </w:t>
            </w:r>
          </w:p>
        </w:tc>
      </w:tr>
      <w:tr w:rsidR="00AF32D0" w14:paraId="209A93EF" w14:textId="77777777" w:rsidTr="00644BD5">
        <w:tc>
          <w:tcPr>
            <w:tcW w:w="568" w:type="dxa"/>
          </w:tcPr>
          <w:p w14:paraId="11A2ED03" w14:textId="77777777" w:rsidR="00AF32D0" w:rsidRDefault="00AF32D0" w:rsidP="0071732F">
            <w:pPr>
              <w:jc w:val="center"/>
              <w:rPr>
                <w:b/>
                <w:bCs/>
              </w:rPr>
            </w:pPr>
          </w:p>
          <w:p w14:paraId="5A930E8C" w14:textId="62B5CE87" w:rsidR="003B583D" w:rsidRDefault="002E6BA9" w:rsidP="0071732F">
            <w:pPr>
              <w:jc w:val="center"/>
              <w:rPr>
                <w:b/>
                <w:bCs/>
              </w:rPr>
            </w:pPr>
            <w:r>
              <w:rPr>
                <w:b/>
                <w:bCs/>
              </w:rPr>
              <w:t>7.</w:t>
            </w:r>
          </w:p>
        </w:tc>
        <w:tc>
          <w:tcPr>
            <w:tcW w:w="4389" w:type="dxa"/>
          </w:tcPr>
          <w:p w14:paraId="58096F01" w14:textId="77777777" w:rsidR="008B6D68" w:rsidRDefault="008B6D68" w:rsidP="0071732F"/>
          <w:p w14:paraId="56A20512" w14:textId="19BBE33E" w:rsidR="00AF32D0" w:rsidRDefault="0004456B" w:rsidP="0071732F">
            <w:r>
              <w:t>Ensure t</w:t>
            </w:r>
            <w:r w:rsidR="00AF32D0">
              <w:t xml:space="preserve">he design of simulation education should actively </w:t>
            </w:r>
            <w:r w:rsidR="003B583D">
              <w:t>‘</w:t>
            </w:r>
            <w:r w:rsidR="00AF32D0">
              <w:t xml:space="preserve">explore </w:t>
            </w:r>
            <w:r w:rsidR="003B583D">
              <w:t>proxies for human work’ in healthcare</w:t>
            </w:r>
          </w:p>
        </w:tc>
        <w:tc>
          <w:tcPr>
            <w:tcW w:w="4394" w:type="dxa"/>
          </w:tcPr>
          <w:p w14:paraId="35B76857" w14:textId="77777777" w:rsidR="00AF32D0" w:rsidRDefault="00AF32D0" w:rsidP="0071732F">
            <w:pPr>
              <w:rPr>
                <w:i/>
                <w:iCs/>
              </w:rPr>
            </w:pPr>
          </w:p>
          <w:p w14:paraId="20A9792E" w14:textId="7AC11797" w:rsidR="0071732F" w:rsidRPr="00644BD5" w:rsidRDefault="0071732F" w:rsidP="0071732F">
            <w:pPr>
              <w:rPr>
                <w:i/>
                <w:iCs/>
              </w:rPr>
            </w:pPr>
            <w:r>
              <w:rPr>
                <w:i/>
                <w:iCs/>
              </w:rPr>
              <w:t xml:space="preserve">One way </w:t>
            </w:r>
            <w:r w:rsidR="00050BBD">
              <w:rPr>
                <w:i/>
                <w:iCs/>
              </w:rPr>
              <w:t xml:space="preserve">for simulation education to better reflect the complex reality of </w:t>
            </w:r>
            <w:r w:rsidR="00D03560">
              <w:rPr>
                <w:i/>
                <w:iCs/>
              </w:rPr>
              <w:t xml:space="preserve">everyday work in healthcare is to actively explore </w:t>
            </w:r>
            <w:r w:rsidR="008D2629">
              <w:rPr>
                <w:i/>
                <w:iCs/>
              </w:rPr>
              <w:t xml:space="preserve">proxies for human work </w:t>
            </w:r>
            <w:r w:rsidR="00F255DB">
              <w:rPr>
                <w:i/>
                <w:iCs/>
              </w:rPr>
              <w:t xml:space="preserve">(e.g. Work-as-Imagined; Work-as-Designed; </w:t>
            </w:r>
            <w:r w:rsidR="00A30957">
              <w:rPr>
                <w:i/>
                <w:iCs/>
              </w:rPr>
              <w:t xml:space="preserve">Work-as-Disclosed; Work-as-Prescribed) </w:t>
            </w:r>
            <w:r w:rsidR="008A1249">
              <w:rPr>
                <w:i/>
                <w:iCs/>
              </w:rPr>
              <w:t xml:space="preserve">so that educational scenarios are better designed and more meaningful for </w:t>
            </w:r>
            <w:r w:rsidR="00F255DB">
              <w:rPr>
                <w:i/>
                <w:iCs/>
              </w:rPr>
              <w:t>learners</w:t>
            </w:r>
            <w:r w:rsidR="008A1249">
              <w:rPr>
                <w:i/>
                <w:iCs/>
              </w:rPr>
              <w:t>.</w:t>
            </w:r>
            <w:r w:rsidR="008D2629">
              <w:rPr>
                <w:i/>
                <w:iCs/>
              </w:rPr>
              <w:t xml:space="preserve"> </w:t>
            </w:r>
          </w:p>
        </w:tc>
      </w:tr>
      <w:tr w:rsidR="00375288" w14:paraId="275382A2" w14:textId="77777777" w:rsidTr="00644BD5">
        <w:tc>
          <w:tcPr>
            <w:tcW w:w="568" w:type="dxa"/>
          </w:tcPr>
          <w:p w14:paraId="7CF82C1C" w14:textId="77777777" w:rsidR="00375288" w:rsidRDefault="00375288" w:rsidP="003B583D">
            <w:pPr>
              <w:jc w:val="center"/>
              <w:rPr>
                <w:b/>
                <w:bCs/>
              </w:rPr>
            </w:pPr>
          </w:p>
          <w:p w14:paraId="52711D4F" w14:textId="328C9210" w:rsidR="00375288" w:rsidRDefault="008B6D68" w:rsidP="003B583D">
            <w:pPr>
              <w:jc w:val="center"/>
              <w:rPr>
                <w:b/>
                <w:bCs/>
              </w:rPr>
            </w:pPr>
            <w:r>
              <w:rPr>
                <w:b/>
                <w:bCs/>
              </w:rPr>
              <w:t>8</w:t>
            </w:r>
            <w:r w:rsidR="003B583D">
              <w:rPr>
                <w:b/>
                <w:bCs/>
              </w:rPr>
              <w:t>.</w:t>
            </w:r>
          </w:p>
        </w:tc>
        <w:tc>
          <w:tcPr>
            <w:tcW w:w="4389" w:type="dxa"/>
          </w:tcPr>
          <w:p w14:paraId="2B1C939A" w14:textId="77777777" w:rsidR="00375288" w:rsidRDefault="00375288" w:rsidP="00D2609B"/>
          <w:p w14:paraId="587E37E3" w14:textId="6E007DB9" w:rsidR="00375288" w:rsidRPr="003B54FB" w:rsidRDefault="00E64E9C" w:rsidP="00D2609B">
            <w:r>
              <w:t>Consider how s</w:t>
            </w:r>
            <w:r w:rsidR="00375288">
              <w:t>imulation c</w:t>
            </w:r>
            <w:r w:rsidR="00375288" w:rsidRPr="00375288">
              <w:t>urriculum design and content should be driven by learning outcomes to develop appropriate HFE competencies</w:t>
            </w:r>
          </w:p>
        </w:tc>
        <w:tc>
          <w:tcPr>
            <w:tcW w:w="4394" w:type="dxa"/>
          </w:tcPr>
          <w:p w14:paraId="0BF96C6C" w14:textId="77777777" w:rsidR="00375288" w:rsidRDefault="00375288" w:rsidP="00D2609B">
            <w:pPr>
              <w:rPr>
                <w:i/>
                <w:iCs/>
              </w:rPr>
            </w:pPr>
          </w:p>
          <w:p w14:paraId="0FE3B103" w14:textId="1863623A" w:rsidR="009B690F" w:rsidRPr="009B690F" w:rsidRDefault="009B690F" w:rsidP="009B690F">
            <w:pPr>
              <w:rPr>
                <w:i/>
                <w:iCs/>
              </w:rPr>
            </w:pPr>
            <w:r w:rsidRPr="009B690F">
              <w:rPr>
                <w:i/>
                <w:iCs/>
              </w:rPr>
              <w:t xml:space="preserve">HF professional </w:t>
            </w:r>
            <w:r w:rsidR="00846A29" w:rsidRPr="009B690F">
              <w:rPr>
                <w:i/>
                <w:iCs/>
              </w:rPr>
              <w:t>behaviour</w:t>
            </w:r>
            <w:r w:rsidRPr="009B690F">
              <w:rPr>
                <w:i/>
                <w:iCs/>
              </w:rPr>
              <w:t xml:space="preserve"> is guided by Core Competencies in the same way as </w:t>
            </w:r>
            <w:r w:rsidR="00DB70CB">
              <w:rPr>
                <w:i/>
                <w:iCs/>
              </w:rPr>
              <w:t xml:space="preserve">clinical </w:t>
            </w:r>
            <w:r w:rsidR="00DB70CB" w:rsidRPr="009B690F">
              <w:rPr>
                <w:i/>
                <w:iCs/>
              </w:rPr>
              <w:t>professional</w:t>
            </w:r>
            <w:r w:rsidRPr="009B690F">
              <w:rPr>
                <w:i/>
                <w:iCs/>
              </w:rPr>
              <w:t xml:space="preserve"> regulators. Performance elements include systems approaches to </w:t>
            </w:r>
            <w:r w:rsidR="003C0504" w:rsidRPr="009B690F">
              <w:rPr>
                <w:i/>
                <w:iCs/>
              </w:rPr>
              <w:t>analyse</w:t>
            </w:r>
            <w:r w:rsidRPr="009B690F">
              <w:rPr>
                <w:i/>
                <w:iCs/>
              </w:rPr>
              <w:t xml:space="preserve">, understanding risk management and developing robust HF interventions to improve systems performance and human wellbeing. Three levels are suggested for healthcare </w:t>
            </w:r>
            <w:r w:rsidR="003C0504">
              <w:rPr>
                <w:i/>
                <w:iCs/>
              </w:rPr>
              <w:t xml:space="preserve">simulation </w:t>
            </w:r>
            <w:r w:rsidRPr="009B690F">
              <w:rPr>
                <w:i/>
                <w:iCs/>
              </w:rPr>
              <w:t>professionals</w:t>
            </w:r>
            <w:r w:rsidR="00DB70CB">
              <w:rPr>
                <w:i/>
                <w:iCs/>
              </w:rPr>
              <w:t xml:space="preserve"> to integrate</w:t>
            </w:r>
            <w:r w:rsidRPr="009B690F">
              <w:rPr>
                <w:i/>
                <w:iCs/>
              </w:rPr>
              <w:t>:</w:t>
            </w:r>
          </w:p>
          <w:p w14:paraId="2D0A6E06" w14:textId="353928D6" w:rsidR="009B690F" w:rsidRPr="003C0504" w:rsidRDefault="009B690F" w:rsidP="003C0504">
            <w:pPr>
              <w:pStyle w:val="ListParagraph"/>
              <w:numPr>
                <w:ilvl w:val="0"/>
                <w:numId w:val="2"/>
              </w:numPr>
              <w:ind w:left="360"/>
              <w:rPr>
                <w:i/>
                <w:iCs/>
              </w:rPr>
            </w:pPr>
            <w:r w:rsidRPr="003C0504">
              <w:rPr>
                <w:i/>
                <w:iCs/>
              </w:rPr>
              <w:t>Basic understanding of HF theory and practice and their role in the clinical workplace</w:t>
            </w:r>
          </w:p>
          <w:p w14:paraId="7A1E966D" w14:textId="3C6C2B6D" w:rsidR="009B690F" w:rsidRDefault="009B690F" w:rsidP="00C10BF0">
            <w:pPr>
              <w:pStyle w:val="ListParagraph"/>
              <w:numPr>
                <w:ilvl w:val="0"/>
                <w:numId w:val="2"/>
              </w:numPr>
              <w:ind w:left="360"/>
              <w:rPr>
                <w:i/>
                <w:iCs/>
              </w:rPr>
            </w:pPr>
            <w:r w:rsidRPr="008F70D6">
              <w:rPr>
                <w:i/>
                <w:iCs/>
              </w:rPr>
              <w:t xml:space="preserve">Application of risk management practices within scope of own professional (and educational) domain </w:t>
            </w:r>
          </w:p>
          <w:p w14:paraId="7D32F7A5" w14:textId="100B80A2" w:rsidR="00A30957" w:rsidRPr="003C0504" w:rsidRDefault="009B690F" w:rsidP="003C0504">
            <w:pPr>
              <w:pStyle w:val="ListParagraph"/>
              <w:numPr>
                <w:ilvl w:val="0"/>
                <w:numId w:val="2"/>
              </w:numPr>
              <w:ind w:left="360"/>
              <w:rPr>
                <w:i/>
                <w:iCs/>
              </w:rPr>
            </w:pPr>
            <w:r w:rsidRPr="003C0504">
              <w:rPr>
                <w:i/>
                <w:iCs/>
              </w:rPr>
              <w:t>Knowledge of mechanisms for seeking professional guidance from a competent person (</w:t>
            </w:r>
            <w:r w:rsidR="008F70D6">
              <w:rPr>
                <w:i/>
                <w:iCs/>
              </w:rPr>
              <w:t>qualified HF spe</w:t>
            </w:r>
            <w:r w:rsidR="00DB70CB">
              <w:rPr>
                <w:i/>
                <w:iCs/>
              </w:rPr>
              <w:t>cialist</w:t>
            </w:r>
            <w:r w:rsidRPr="003C0504">
              <w:rPr>
                <w:i/>
                <w:iCs/>
              </w:rPr>
              <w:t>) for (re)design of systems and interfaces</w:t>
            </w:r>
          </w:p>
        </w:tc>
      </w:tr>
      <w:tr w:rsidR="00375288" w14:paraId="731CE757" w14:textId="77777777" w:rsidTr="00644BD5">
        <w:tc>
          <w:tcPr>
            <w:tcW w:w="568" w:type="dxa"/>
          </w:tcPr>
          <w:p w14:paraId="6DEAC96D" w14:textId="77777777" w:rsidR="00375288" w:rsidRDefault="00375288" w:rsidP="003B583D">
            <w:pPr>
              <w:jc w:val="center"/>
              <w:rPr>
                <w:b/>
                <w:bCs/>
              </w:rPr>
            </w:pPr>
          </w:p>
          <w:p w14:paraId="57198031" w14:textId="17E20C79" w:rsidR="003B583D" w:rsidRDefault="008B6D68" w:rsidP="003B583D">
            <w:pPr>
              <w:jc w:val="center"/>
              <w:rPr>
                <w:b/>
                <w:bCs/>
              </w:rPr>
            </w:pPr>
            <w:r>
              <w:rPr>
                <w:b/>
                <w:bCs/>
              </w:rPr>
              <w:t>9</w:t>
            </w:r>
            <w:r w:rsidR="003B583D">
              <w:rPr>
                <w:b/>
                <w:bCs/>
              </w:rPr>
              <w:t>.</w:t>
            </w:r>
          </w:p>
        </w:tc>
        <w:tc>
          <w:tcPr>
            <w:tcW w:w="4389" w:type="dxa"/>
          </w:tcPr>
          <w:p w14:paraId="63D3304F" w14:textId="77777777" w:rsidR="00375288" w:rsidRDefault="00375288" w:rsidP="00D2609B"/>
          <w:p w14:paraId="0857CF51" w14:textId="04E331E1" w:rsidR="008D3657" w:rsidRDefault="008D3657" w:rsidP="00D2609B">
            <w:r>
              <w:t>Simulation education and practice should r</w:t>
            </w:r>
            <w:r w:rsidRPr="008D3657">
              <w:t xml:space="preserve">ecognize that to err is not just human, but is highly desirable as part of a learning strategy to develop transferable skills in building resilient </w:t>
            </w:r>
            <w:r>
              <w:t xml:space="preserve">healthcare </w:t>
            </w:r>
            <w:r w:rsidRPr="008D3657">
              <w:t>systems</w:t>
            </w:r>
          </w:p>
        </w:tc>
        <w:tc>
          <w:tcPr>
            <w:tcW w:w="4394" w:type="dxa"/>
          </w:tcPr>
          <w:p w14:paraId="445FF8AB" w14:textId="77777777" w:rsidR="00375288" w:rsidRDefault="00375288" w:rsidP="00D2609B">
            <w:pPr>
              <w:rPr>
                <w:i/>
                <w:iCs/>
              </w:rPr>
            </w:pPr>
          </w:p>
          <w:p w14:paraId="4E728EBE" w14:textId="2958750C" w:rsidR="00F95E30" w:rsidRPr="00F95E30" w:rsidRDefault="00F95E30" w:rsidP="00F95E30">
            <w:pPr>
              <w:rPr>
                <w:i/>
                <w:iCs/>
              </w:rPr>
            </w:pPr>
            <w:r w:rsidRPr="00F95E30">
              <w:rPr>
                <w:i/>
                <w:iCs/>
              </w:rPr>
              <w:t xml:space="preserve">It is not possible to prevent all </w:t>
            </w:r>
            <w:r>
              <w:rPr>
                <w:i/>
                <w:iCs/>
              </w:rPr>
              <w:t>“</w:t>
            </w:r>
            <w:r w:rsidRPr="00F95E30">
              <w:rPr>
                <w:i/>
                <w:iCs/>
              </w:rPr>
              <w:t>errors</w:t>
            </w:r>
            <w:r>
              <w:rPr>
                <w:i/>
                <w:iCs/>
              </w:rPr>
              <w:t>”</w:t>
            </w:r>
            <w:r w:rsidRPr="00F95E30">
              <w:rPr>
                <w:i/>
                <w:iCs/>
              </w:rPr>
              <w:t xml:space="preserve"> as they are considered a normal part of work (and learning) within complex sociotechnical systems</w:t>
            </w:r>
            <w:r>
              <w:rPr>
                <w:i/>
                <w:iCs/>
              </w:rPr>
              <w:t xml:space="preserve">.  </w:t>
            </w:r>
            <w:r w:rsidRPr="00F95E30">
              <w:rPr>
                <w:i/>
                <w:iCs/>
              </w:rPr>
              <w:t>Consequently, the least effective approach to safety</w:t>
            </w:r>
            <w:r w:rsidR="00B436BC">
              <w:rPr>
                <w:i/>
                <w:iCs/>
              </w:rPr>
              <w:t>-related</w:t>
            </w:r>
            <w:r w:rsidRPr="00F95E30">
              <w:rPr>
                <w:i/>
                <w:iCs/>
              </w:rPr>
              <w:t xml:space="preserve"> teaching is to advocate a zero-error approach, as even focusing on error reduction strategies is of limited value.</w:t>
            </w:r>
          </w:p>
          <w:p w14:paraId="1BDADB74" w14:textId="77777777" w:rsidR="00F95E30" w:rsidRPr="00F95E30" w:rsidRDefault="00F95E30" w:rsidP="00F95E30">
            <w:pPr>
              <w:rPr>
                <w:i/>
                <w:iCs/>
              </w:rPr>
            </w:pPr>
          </w:p>
          <w:p w14:paraId="3621AF1B" w14:textId="58B223C7" w:rsidR="00F95E30" w:rsidRPr="00F95E30" w:rsidRDefault="00C96567" w:rsidP="00F95E30">
            <w:pPr>
              <w:rPr>
                <w:i/>
                <w:iCs/>
              </w:rPr>
            </w:pPr>
            <w:r>
              <w:rPr>
                <w:i/>
                <w:iCs/>
              </w:rPr>
              <w:t>L</w:t>
            </w:r>
            <w:r w:rsidR="00F95E30" w:rsidRPr="00F95E30">
              <w:rPr>
                <w:i/>
                <w:iCs/>
              </w:rPr>
              <w:t xml:space="preserve">earners need opportunities to consider safety </w:t>
            </w:r>
            <w:r w:rsidR="00B436BC">
              <w:rPr>
                <w:i/>
                <w:iCs/>
              </w:rPr>
              <w:t xml:space="preserve">(and other outcomes) </w:t>
            </w:r>
            <w:r w:rsidR="00F95E30" w:rsidRPr="00F95E30">
              <w:rPr>
                <w:i/>
                <w:iCs/>
              </w:rPr>
              <w:t xml:space="preserve">in day-to-day routine, and emergencies. The focus should not necessarily be on outcomes, but on the system’s resilience to absorb inevitable </w:t>
            </w:r>
            <w:r w:rsidR="00F95E30" w:rsidRPr="00F95E30">
              <w:rPr>
                <w:i/>
                <w:iCs/>
              </w:rPr>
              <w:lastRenderedPageBreak/>
              <w:t>errors, dampen impacts and deliver acceptable outcomes.</w:t>
            </w:r>
          </w:p>
          <w:p w14:paraId="454780F7" w14:textId="77777777" w:rsidR="00F95E30" w:rsidRPr="00F95E30" w:rsidRDefault="00F95E30" w:rsidP="00F95E30">
            <w:pPr>
              <w:rPr>
                <w:i/>
                <w:iCs/>
              </w:rPr>
            </w:pPr>
          </w:p>
          <w:p w14:paraId="2BB8FF0A" w14:textId="469F9DD2" w:rsidR="00DB70CB" w:rsidRPr="00644BD5" w:rsidRDefault="00F95E30" w:rsidP="00015070">
            <w:pPr>
              <w:rPr>
                <w:i/>
                <w:iCs/>
              </w:rPr>
            </w:pPr>
            <w:r w:rsidRPr="00F95E30">
              <w:rPr>
                <w:i/>
                <w:iCs/>
              </w:rPr>
              <w:t xml:space="preserve">Exploring factors that mitigate risk requires opportunities to make errors in the </w:t>
            </w:r>
            <w:r w:rsidR="009B7F8C">
              <w:rPr>
                <w:i/>
                <w:iCs/>
              </w:rPr>
              <w:t xml:space="preserve">simulation </w:t>
            </w:r>
            <w:r w:rsidRPr="00F95E30">
              <w:rPr>
                <w:i/>
                <w:iCs/>
              </w:rPr>
              <w:t>learning environment and follow the trajectory to the natural end. This may seem counter-</w:t>
            </w:r>
            <w:r w:rsidR="004836AD" w:rsidRPr="00F95E30">
              <w:rPr>
                <w:i/>
                <w:iCs/>
              </w:rPr>
              <w:t>intuitive but</w:t>
            </w:r>
            <w:r w:rsidRPr="00F95E30">
              <w:rPr>
                <w:i/>
                <w:iCs/>
              </w:rPr>
              <w:t xml:space="preserve"> is a core HF approach to understanding why things go wrong in complex healthcare systems and how to respond, learn and improve more effectively. Having identified potential mitigations, systems can be re-designed, tested and evaluated.</w:t>
            </w:r>
            <w:r w:rsidR="00015070">
              <w:rPr>
                <w:i/>
                <w:iCs/>
              </w:rPr>
              <w:t xml:space="preserve"> </w:t>
            </w:r>
            <w:r w:rsidRPr="00F95E30">
              <w:rPr>
                <w:i/>
                <w:iCs/>
              </w:rPr>
              <w:t xml:space="preserve">Embedding HFE principles in </w:t>
            </w:r>
            <w:r w:rsidR="00015070">
              <w:rPr>
                <w:i/>
                <w:iCs/>
              </w:rPr>
              <w:t>simulation education</w:t>
            </w:r>
            <w:r w:rsidRPr="00F95E30">
              <w:rPr>
                <w:i/>
                <w:iCs/>
              </w:rPr>
              <w:t xml:space="preserve"> would thus support </w:t>
            </w:r>
            <w:r w:rsidR="00015070">
              <w:rPr>
                <w:i/>
                <w:iCs/>
              </w:rPr>
              <w:t xml:space="preserve">learners </w:t>
            </w:r>
            <w:r w:rsidR="00C96567">
              <w:rPr>
                <w:i/>
                <w:iCs/>
              </w:rPr>
              <w:t xml:space="preserve">in </w:t>
            </w:r>
            <w:r w:rsidRPr="00F95E30">
              <w:rPr>
                <w:i/>
                <w:iCs/>
              </w:rPr>
              <w:t>learning from ‘errors’ through supported educational activities.</w:t>
            </w:r>
          </w:p>
        </w:tc>
      </w:tr>
      <w:tr w:rsidR="00375288" w14:paraId="2B75BE05" w14:textId="77777777" w:rsidTr="00644BD5">
        <w:tc>
          <w:tcPr>
            <w:tcW w:w="568" w:type="dxa"/>
          </w:tcPr>
          <w:p w14:paraId="3DEDE2CB" w14:textId="77777777" w:rsidR="00375288" w:rsidRDefault="00375288" w:rsidP="003B583D">
            <w:pPr>
              <w:jc w:val="center"/>
              <w:rPr>
                <w:b/>
                <w:bCs/>
              </w:rPr>
            </w:pPr>
          </w:p>
          <w:p w14:paraId="1B05DE6E" w14:textId="069C32DE" w:rsidR="003B583D" w:rsidRDefault="008B6D68" w:rsidP="003B583D">
            <w:pPr>
              <w:jc w:val="center"/>
              <w:rPr>
                <w:b/>
                <w:bCs/>
              </w:rPr>
            </w:pPr>
            <w:r>
              <w:rPr>
                <w:b/>
                <w:bCs/>
              </w:rPr>
              <w:t>10</w:t>
            </w:r>
            <w:r w:rsidR="003B583D">
              <w:rPr>
                <w:b/>
                <w:bCs/>
              </w:rPr>
              <w:t>.</w:t>
            </w:r>
          </w:p>
        </w:tc>
        <w:tc>
          <w:tcPr>
            <w:tcW w:w="4389" w:type="dxa"/>
          </w:tcPr>
          <w:p w14:paraId="614F4803" w14:textId="77777777" w:rsidR="00375288" w:rsidRDefault="00375288" w:rsidP="00D2609B"/>
          <w:p w14:paraId="4B32D968" w14:textId="5900ED1D" w:rsidR="001469D9" w:rsidRDefault="001469D9" w:rsidP="00D2609B">
            <w:r>
              <w:t>Build on what is already developed, tested and evaluated</w:t>
            </w:r>
          </w:p>
        </w:tc>
        <w:tc>
          <w:tcPr>
            <w:tcW w:w="4394" w:type="dxa"/>
          </w:tcPr>
          <w:p w14:paraId="15CE8A02" w14:textId="77777777" w:rsidR="00375288" w:rsidRDefault="00375288" w:rsidP="00D2609B">
            <w:pPr>
              <w:rPr>
                <w:i/>
                <w:iCs/>
              </w:rPr>
            </w:pPr>
          </w:p>
          <w:p w14:paraId="2D9111AF" w14:textId="2D28311F" w:rsidR="0085234D" w:rsidRPr="0085234D" w:rsidRDefault="0085234D" w:rsidP="0085234D">
            <w:pPr>
              <w:rPr>
                <w:i/>
                <w:iCs/>
              </w:rPr>
            </w:pPr>
            <w:r w:rsidRPr="0085234D">
              <w:rPr>
                <w:i/>
                <w:iCs/>
              </w:rPr>
              <w:t>It is likely that m</w:t>
            </w:r>
            <w:r w:rsidR="008F66DF">
              <w:rPr>
                <w:i/>
                <w:iCs/>
              </w:rPr>
              <w:t xml:space="preserve">uch </w:t>
            </w:r>
            <w:r>
              <w:rPr>
                <w:i/>
                <w:iCs/>
              </w:rPr>
              <w:t xml:space="preserve">simulation </w:t>
            </w:r>
            <w:r w:rsidR="004836AD">
              <w:rPr>
                <w:i/>
                <w:iCs/>
              </w:rPr>
              <w:t xml:space="preserve">education </w:t>
            </w:r>
            <w:r w:rsidR="004836AD" w:rsidRPr="0085234D">
              <w:rPr>
                <w:i/>
                <w:iCs/>
              </w:rPr>
              <w:t>has</w:t>
            </w:r>
            <w:r w:rsidRPr="0085234D">
              <w:rPr>
                <w:i/>
                <w:iCs/>
              </w:rPr>
              <w:t xml:space="preserve"> “human factors” teaching, even if it is focused on “non-technical skills” or “patient safety” training. A first step should review whether content includes the HF fundamental principles in collaboration with </w:t>
            </w:r>
            <w:r w:rsidR="00D927B2">
              <w:rPr>
                <w:i/>
                <w:iCs/>
              </w:rPr>
              <w:t>qualified HF specialists</w:t>
            </w:r>
            <w:r w:rsidRPr="0085234D">
              <w:rPr>
                <w:i/>
                <w:iCs/>
              </w:rPr>
              <w:t>.</w:t>
            </w:r>
          </w:p>
          <w:p w14:paraId="31602D62" w14:textId="77777777" w:rsidR="0085234D" w:rsidRPr="0085234D" w:rsidRDefault="0085234D" w:rsidP="0085234D">
            <w:pPr>
              <w:rPr>
                <w:i/>
                <w:iCs/>
              </w:rPr>
            </w:pPr>
          </w:p>
          <w:p w14:paraId="78CB5480" w14:textId="06849BE8" w:rsidR="00C96567" w:rsidRPr="00644BD5" w:rsidRDefault="0085234D" w:rsidP="0085234D">
            <w:pPr>
              <w:rPr>
                <w:i/>
                <w:iCs/>
              </w:rPr>
            </w:pPr>
            <w:r w:rsidRPr="0085234D">
              <w:rPr>
                <w:i/>
                <w:iCs/>
              </w:rPr>
              <w:t xml:space="preserve">By identifying what is taught (and where), gaps between this and a more robust HF educational model can be defined. For example, a </w:t>
            </w:r>
            <w:r w:rsidR="008B350C">
              <w:rPr>
                <w:i/>
                <w:iCs/>
              </w:rPr>
              <w:t xml:space="preserve">non-technical skills </w:t>
            </w:r>
            <w:r w:rsidRPr="0085234D">
              <w:rPr>
                <w:i/>
                <w:iCs/>
              </w:rPr>
              <w:t>training scenario could be given a backstory, perhaps showing how robust application of a systems framework such as the SEIPS model had identified communication as a “person factor” critically underpinning a specific process</w:t>
            </w:r>
            <w:r w:rsidR="00C975FB">
              <w:rPr>
                <w:i/>
                <w:iCs/>
              </w:rPr>
              <w:t>.</w:t>
            </w:r>
          </w:p>
        </w:tc>
      </w:tr>
      <w:tr w:rsidR="001469D9" w14:paraId="1FA07412" w14:textId="77777777" w:rsidTr="00644BD5">
        <w:tc>
          <w:tcPr>
            <w:tcW w:w="568" w:type="dxa"/>
          </w:tcPr>
          <w:p w14:paraId="0F31EF96" w14:textId="77777777" w:rsidR="001469D9" w:rsidRDefault="001469D9" w:rsidP="003B583D">
            <w:pPr>
              <w:jc w:val="center"/>
              <w:rPr>
                <w:b/>
                <w:bCs/>
              </w:rPr>
            </w:pPr>
          </w:p>
          <w:p w14:paraId="27B1433B" w14:textId="1FE5177C" w:rsidR="003B583D" w:rsidRDefault="003B583D" w:rsidP="003B583D">
            <w:pPr>
              <w:jc w:val="center"/>
              <w:rPr>
                <w:b/>
                <w:bCs/>
              </w:rPr>
            </w:pPr>
            <w:r>
              <w:rPr>
                <w:b/>
                <w:bCs/>
              </w:rPr>
              <w:t>1</w:t>
            </w:r>
            <w:r w:rsidR="008B6D68">
              <w:rPr>
                <w:b/>
                <w:bCs/>
              </w:rPr>
              <w:t>1</w:t>
            </w:r>
            <w:r>
              <w:rPr>
                <w:b/>
                <w:bCs/>
              </w:rPr>
              <w:t>.</w:t>
            </w:r>
          </w:p>
          <w:p w14:paraId="44EA08C0" w14:textId="77777777" w:rsidR="001469D9" w:rsidRDefault="001469D9" w:rsidP="003B583D">
            <w:pPr>
              <w:jc w:val="center"/>
              <w:rPr>
                <w:b/>
                <w:bCs/>
              </w:rPr>
            </w:pPr>
          </w:p>
        </w:tc>
        <w:tc>
          <w:tcPr>
            <w:tcW w:w="4389" w:type="dxa"/>
          </w:tcPr>
          <w:p w14:paraId="4048CBFB" w14:textId="77777777" w:rsidR="003B583D" w:rsidRDefault="003B583D" w:rsidP="00D2609B"/>
          <w:p w14:paraId="615E98F8" w14:textId="7D54FBB2" w:rsidR="004D4AF9" w:rsidRDefault="004D4AF9" w:rsidP="00D2609B">
            <w:r w:rsidRPr="004D4AF9">
              <w:t>Take an interprofessional education (IPE) perspective to curriculum design and content</w:t>
            </w:r>
          </w:p>
        </w:tc>
        <w:tc>
          <w:tcPr>
            <w:tcW w:w="4394" w:type="dxa"/>
          </w:tcPr>
          <w:p w14:paraId="30C71057" w14:textId="77777777" w:rsidR="001469D9" w:rsidRDefault="001469D9" w:rsidP="00D2609B">
            <w:pPr>
              <w:rPr>
                <w:i/>
                <w:iCs/>
              </w:rPr>
            </w:pPr>
          </w:p>
          <w:p w14:paraId="0C7B9B27" w14:textId="11462330" w:rsidR="00BF01CF" w:rsidRPr="00BF01CF" w:rsidRDefault="00BF01CF" w:rsidP="00BF01CF">
            <w:pPr>
              <w:rPr>
                <w:i/>
                <w:iCs/>
              </w:rPr>
            </w:pPr>
            <w:r w:rsidRPr="00BF01CF">
              <w:rPr>
                <w:i/>
                <w:iCs/>
              </w:rPr>
              <w:t>Healthcare is largely delivered by teams, so it makes sense that HF activity occurs within curriculum spaces where professions interact.</w:t>
            </w:r>
            <w:r>
              <w:rPr>
                <w:i/>
                <w:iCs/>
              </w:rPr>
              <w:t xml:space="preserve"> </w:t>
            </w:r>
            <w:r w:rsidRPr="00BF01CF">
              <w:rPr>
                <w:i/>
                <w:iCs/>
              </w:rPr>
              <w:t>Realistic stakeholder mapping and engagement is key</w:t>
            </w:r>
            <w:r w:rsidR="0006312A">
              <w:rPr>
                <w:i/>
                <w:iCs/>
              </w:rPr>
              <w:t xml:space="preserve">, including, for example: </w:t>
            </w:r>
          </w:p>
          <w:p w14:paraId="6575984F" w14:textId="77777777" w:rsidR="00BF01CF" w:rsidRPr="0006312A" w:rsidRDefault="00BF01CF" w:rsidP="0006312A">
            <w:pPr>
              <w:pStyle w:val="ListParagraph"/>
              <w:numPr>
                <w:ilvl w:val="0"/>
                <w:numId w:val="3"/>
              </w:numPr>
              <w:ind w:left="360"/>
              <w:rPr>
                <w:i/>
                <w:iCs/>
              </w:rPr>
            </w:pPr>
            <w:r w:rsidRPr="0006312A">
              <w:rPr>
                <w:i/>
                <w:iCs/>
              </w:rPr>
              <w:t>Systems actors: healthcare staff, patients (service users), carers, etc. For IPE, this is often the only group involved but may be the least able to effect change.</w:t>
            </w:r>
          </w:p>
          <w:p w14:paraId="03242103" w14:textId="77777777" w:rsidR="00BF01CF" w:rsidRPr="0006312A" w:rsidRDefault="00BF01CF" w:rsidP="0006312A">
            <w:pPr>
              <w:pStyle w:val="ListParagraph"/>
              <w:numPr>
                <w:ilvl w:val="0"/>
                <w:numId w:val="3"/>
              </w:numPr>
              <w:ind w:left="360"/>
              <w:rPr>
                <w:i/>
                <w:iCs/>
              </w:rPr>
            </w:pPr>
            <w:r w:rsidRPr="0006312A">
              <w:rPr>
                <w:i/>
                <w:iCs/>
              </w:rPr>
              <w:t>Systems experts: including HFE professionals</w:t>
            </w:r>
          </w:p>
          <w:p w14:paraId="23EF52DF" w14:textId="77777777" w:rsidR="00BF01CF" w:rsidRPr="0006312A" w:rsidRDefault="00BF01CF" w:rsidP="0006312A">
            <w:pPr>
              <w:pStyle w:val="ListParagraph"/>
              <w:numPr>
                <w:ilvl w:val="0"/>
                <w:numId w:val="3"/>
              </w:numPr>
              <w:ind w:left="360"/>
              <w:rPr>
                <w:i/>
                <w:iCs/>
              </w:rPr>
            </w:pPr>
            <w:r w:rsidRPr="0006312A">
              <w:rPr>
                <w:i/>
                <w:iCs/>
              </w:rPr>
              <w:lastRenderedPageBreak/>
              <w:t>Systems decision makers, such as senior executives and managers, with immediate power to effect change.</w:t>
            </w:r>
          </w:p>
          <w:p w14:paraId="6A861565" w14:textId="77777777" w:rsidR="00BF01CF" w:rsidRPr="0006312A" w:rsidRDefault="00BF01CF" w:rsidP="0006312A">
            <w:pPr>
              <w:pStyle w:val="ListParagraph"/>
              <w:numPr>
                <w:ilvl w:val="0"/>
                <w:numId w:val="3"/>
              </w:numPr>
              <w:ind w:left="360"/>
              <w:rPr>
                <w:i/>
                <w:iCs/>
              </w:rPr>
            </w:pPr>
            <w:r w:rsidRPr="0006312A">
              <w:rPr>
                <w:i/>
                <w:iCs/>
              </w:rPr>
              <w:t>Systems influencers; political bodies, policymakers, regulators, etc.</w:t>
            </w:r>
          </w:p>
          <w:p w14:paraId="051F5F87" w14:textId="300BED98" w:rsidR="00C975FB" w:rsidRPr="00644BD5" w:rsidRDefault="00BF01CF" w:rsidP="00FC2002">
            <w:pPr>
              <w:rPr>
                <w:i/>
                <w:iCs/>
              </w:rPr>
            </w:pPr>
            <w:r w:rsidRPr="00BF01CF">
              <w:rPr>
                <w:i/>
                <w:iCs/>
              </w:rPr>
              <w:t>Effective IPE is challenging, partly because robust research is limited</w:t>
            </w:r>
            <w:r w:rsidR="00FC2002">
              <w:rPr>
                <w:i/>
                <w:iCs/>
              </w:rPr>
              <w:t xml:space="preserve">.  </w:t>
            </w:r>
            <w:r w:rsidRPr="00BF01CF">
              <w:rPr>
                <w:i/>
                <w:iCs/>
              </w:rPr>
              <w:t>We suggest that using HF as a focus for assessed IPE activity may address obstacles to designing curricula underpinned by the systems approach.</w:t>
            </w:r>
          </w:p>
        </w:tc>
      </w:tr>
      <w:tr w:rsidR="004D4AF9" w14:paraId="26DA970B" w14:textId="77777777" w:rsidTr="00644BD5">
        <w:tc>
          <w:tcPr>
            <w:tcW w:w="568" w:type="dxa"/>
          </w:tcPr>
          <w:p w14:paraId="217DBFE4" w14:textId="77777777" w:rsidR="004D4AF9" w:rsidRDefault="004D4AF9" w:rsidP="003B583D">
            <w:pPr>
              <w:jc w:val="center"/>
              <w:rPr>
                <w:b/>
                <w:bCs/>
              </w:rPr>
            </w:pPr>
          </w:p>
          <w:p w14:paraId="00636371" w14:textId="7343F81A" w:rsidR="004D4AF9" w:rsidRDefault="003B583D" w:rsidP="003B583D">
            <w:pPr>
              <w:jc w:val="center"/>
              <w:rPr>
                <w:b/>
                <w:bCs/>
              </w:rPr>
            </w:pPr>
            <w:r>
              <w:rPr>
                <w:b/>
                <w:bCs/>
              </w:rPr>
              <w:t>1</w:t>
            </w:r>
            <w:r w:rsidR="008B6D68">
              <w:rPr>
                <w:b/>
                <w:bCs/>
              </w:rPr>
              <w:t>2</w:t>
            </w:r>
            <w:r>
              <w:rPr>
                <w:b/>
                <w:bCs/>
              </w:rPr>
              <w:t>.</w:t>
            </w:r>
          </w:p>
        </w:tc>
        <w:tc>
          <w:tcPr>
            <w:tcW w:w="4389" w:type="dxa"/>
          </w:tcPr>
          <w:p w14:paraId="16C7D15C" w14:textId="77777777" w:rsidR="004D4AF9" w:rsidRDefault="004D4AF9" w:rsidP="00D2609B"/>
          <w:p w14:paraId="7FEAA343" w14:textId="7E5D9631" w:rsidR="004D4AF9" w:rsidRDefault="00DD04C4" w:rsidP="00D2609B">
            <w:r w:rsidRPr="00DD04C4">
              <w:t>Build HF capacity and capability creatively</w:t>
            </w:r>
            <w:r>
              <w:t xml:space="preserve"> and continuously </w:t>
            </w:r>
            <w:r w:rsidR="005B63F3">
              <w:t>amongst the healthcare simulation community</w:t>
            </w:r>
          </w:p>
        </w:tc>
        <w:tc>
          <w:tcPr>
            <w:tcW w:w="4394" w:type="dxa"/>
          </w:tcPr>
          <w:p w14:paraId="5E8B0B52" w14:textId="77777777" w:rsidR="004D4AF9" w:rsidRDefault="004D4AF9" w:rsidP="00D2609B">
            <w:pPr>
              <w:rPr>
                <w:i/>
                <w:iCs/>
              </w:rPr>
            </w:pPr>
          </w:p>
          <w:p w14:paraId="66291EA4" w14:textId="1B090210" w:rsidR="00CD7CB7" w:rsidRPr="00CD7CB7" w:rsidRDefault="00CD7CB7" w:rsidP="00CD7CB7">
            <w:pPr>
              <w:rPr>
                <w:i/>
                <w:iCs/>
              </w:rPr>
            </w:pPr>
            <w:r w:rsidRPr="00CD7CB7">
              <w:rPr>
                <w:i/>
                <w:iCs/>
              </w:rPr>
              <w:t>There is a skills gap with respect to HF expertise in healthcare internationally. In developing an effective implementation strategy for HF-based curricula, we need to enrich the numbers at all levels, but related educational development should, where feasible, include input from qualified and regulated HF professionals to ensure both credibility and that professional standards are adhered to. One answer is to enrich the expert pool by healthcare disciplines building collaborations with other disciplines.</w:t>
            </w:r>
          </w:p>
          <w:p w14:paraId="528971B0" w14:textId="77777777" w:rsidR="00CD7CB7" w:rsidRPr="00CD7CB7" w:rsidRDefault="00CD7CB7" w:rsidP="00CD7CB7">
            <w:pPr>
              <w:rPr>
                <w:i/>
                <w:iCs/>
              </w:rPr>
            </w:pPr>
          </w:p>
          <w:p w14:paraId="678650E7" w14:textId="499FB4F3" w:rsidR="00FC2002" w:rsidRPr="00644BD5" w:rsidRDefault="00CD7CB7" w:rsidP="009C40EC">
            <w:pPr>
              <w:rPr>
                <w:i/>
                <w:iCs/>
              </w:rPr>
            </w:pPr>
            <w:r w:rsidRPr="00CD7CB7">
              <w:rPr>
                <w:i/>
                <w:iCs/>
              </w:rPr>
              <w:t>Accredited shorter courses have been developed and are used to raise HF awareness. In the</w:t>
            </w:r>
            <w:r w:rsidR="00C94C4E">
              <w:rPr>
                <w:i/>
                <w:iCs/>
              </w:rPr>
              <w:t xml:space="preserve"> UK</w:t>
            </w:r>
            <w:r w:rsidRPr="00CD7CB7">
              <w:rPr>
                <w:i/>
                <w:iCs/>
              </w:rPr>
              <w:t xml:space="preserve">, for example, </w:t>
            </w:r>
            <w:r w:rsidR="00E3733B">
              <w:rPr>
                <w:i/>
                <w:iCs/>
              </w:rPr>
              <w:t>a growing number of healthcare organisations</w:t>
            </w:r>
            <w:r w:rsidRPr="00CD7CB7">
              <w:rPr>
                <w:i/>
                <w:iCs/>
              </w:rPr>
              <w:t xml:space="preserve"> are funding postgraduate academic training for a small number of “champions” with responsibility for supporting others in HF practice and educational provision. </w:t>
            </w:r>
            <w:r w:rsidR="00E3733B">
              <w:rPr>
                <w:i/>
                <w:iCs/>
              </w:rPr>
              <w:t xml:space="preserve">Simulation educators should be </w:t>
            </w:r>
            <w:r w:rsidR="009C40EC">
              <w:rPr>
                <w:i/>
                <w:iCs/>
              </w:rPr>
              <w:t xml:space="preserve">a priority group to target.  </w:t>
            </w:r>
          </w:p>
        </w:tc>
      </w:tr>
    </w:tbl>
    <w:p w14:paraId="1DE1D7BD" w14:textId="77777777" w:rsidR="003604F1" w:rsidRDefault="003604F1" w:rsidP="00D2609B"/>
    <w:p w14:paraId="7BDB31A8" w14:textId="77777777" w:rsidR="00FF7320" w:rsidRPr="009C40EC" w:rsidRDefault="00FF7320" w:rsidP="00FF7320">
      <w:pPr>
        <w:rPr>
          <w:b/>
          <w:bCs/>
          <w:i/>
          <w:iCs/>
          <w:sz w:val="24"/>
          <w:szCs w:val="24"/>
        </w:rPr>
      </w:pPr>
      <w:r w:rsidRPr="009C40EC">
        <w:rPr>
          <w:b/>
          <w:bCs/>
          <w:i/>
          <w:iCs/>
          <w:sz w:val="24"/>
          <w:szCs w:val="24"/>
        </w:rPr>
        <w:t>Conclusion</w:t>
      </w:r>
    </w:p>
    <w:p w14:paraId="230D039A" w14:textId="059FFBA4" w:rsidR="00FF7320" w:rsidRPr="009C40EC" w:rsidRDefault="00FF7320" w:rsidP="00FF7320">
      <w:pPr>
        <w:rPr>
          <w:sz w:val="24"/>
          <w:szCs w:val="24"/>
        </w:rPr>
      </w:pPr>
      <w:r w:rsidRPr="009C40EC">
        <w:rPr>
          <w:sz w:val="24"/>
          <w:szCs w:val="24"/>
        </w:rPr>
        <w:t xml:space="preserve">This study led to the development of a </w:t>
      </w:r>
      <w:r w:rsidR="008D532B" w:rsidRPr="009C40EC">
        <w:rPr>
          <w:sz w:val="24"/>
          <w:szCs w:val="24"/>
        </w:rPr>
        <w:t>preliminary set of 12 HF principles for integration within all stages of healthcare simulation education and practice.</w:t>
      </w:r>
      <w:r w:rsidR="00FC2002" w:rsidRPr="009C40EC">
        <w:rPr>
          <w:sz w:val="24"/>
          <w:szCs w:val="24"/>
        </w:rPr>
        <w:t xml:space="preserve">  Further </w:t>
      </w:r>
      <w:r w:rsidR="004C3826" w:rsidRPr="009C40EC">
        <w:rPr>
          <w:sz w:val="24"/>
          <w:szCs w:val="24"/>
        </w:rPr>
        <w:t xml:space="preserve">co-design, testing and evaluation </w:t>
      </w:r>
      <w:r w:rsidR="00FC2002" w:rsidRPr="009C40EC">
        <w:rPr>
          <w:sz w:val="24"/>
          <w:szCs w:val="24"/>
        </w:rPr>
        <w:t>work is re</w:t>
      </w:r>
      <w:r w:rsidR="004C3826" w:rsidRPr="009C40EC">
        <w:rPr>
          <w:sz w:val="24"/>
          <w:szCs w:val="24"/>
        </w:rPr>
        <w:t>quired with diverse groups of simulation-based educators to</w:t>
      </w:r>
      <w:r w:rsidR="00EF6861" w:rsidRPr="009C40EC">
        <w:rPr>
          <w:sz w:val="24"/>
          <w:szCs w:val="24"/>
        </w:rPr>
        <w:t xml:space="preserve"> inform the robustness of these and potentially additional HF principles that </w:t>
      </w:r>
      <w:r w:rsidR="0040280E" w:rsidRPr="009C40EC">
        <w:rPr>
          <w:sz w:val="24"/>
          <w:szCs w:val="24"/>
        </w:rPr>
        <w:t>would benefit from being integrated with</w:t>
      </w:r>
      <w:r w:rsidR="00626314" w:rsidRPr="009C40EC">
        <w:rPr>
          <w:sz w:val="24"/>
          <w:szCs w:val="24"/>
        </w:rPr>
        <w:t>in simulation education.</w:t>
      </w:r>
      <w:r w:rsidR="004C3826" w:rsidRPr="009C40EC">
        <w:rPr>
          <w:sz w:val="24"/>
          <w:szCs w:val="24"/>
        </w:rPr>
        <w:t xml:space="preserve"> </w:t>
      </w:r>
    </w:p>
    <w:p w14:paraId="0A57E788" w14:textId="77777777" w:rsidR="00E12433" w:rsidRPr="009C40EC" w:rsidRDefault="00E12433" w:rsidP="00265A39">
      <w:pPr>
        <w:rPr>
          <w:color w:val="7030A0"/>
          <w:sz w:val="24"/>
          <w:szCs w:val="24"/>
        </w:rPr>
      </w:pPr>
    </w:p>
    <w:p w14:paraId="0DDC8817" w14:textId="77777777" w:rsidR="00B73C9E" w:rsidRPr="009C40EC" w:rsidRDefault="00265A39" w:rsidP="00265A39">
      <w:pPr>
        <w:rPr>
          <w:b/>
          <w:bCs/>
          <w:sz w:val="24"/>
          <w:szCs w:val="24"/>
        </w:rPr>
      </w:pPr>
      <w:r w:rsidRPr="009C40EC">
        <w:rPr>
          <w:b/>
          <w:bCs/>
          <w:sz w:val="24"/>
          <w:szCs w:val="24"/>
        </w:rPr>
        <w:t xml:space="preserve">Method of presentation: </w:t>
      </w:r>
    </w:p>
    <w:p w14:paraId="6A7715C6" w14:textId="7A50DFC1" w:rsidR="00265A39" w:rsidRPr="009C40EC" w:rsidRDefault="00B73C9E" w:rsidP="00265A39">
      <w:pPr>
        <w:rPr>
          <w:sz w:val="24"/>
          <w:szCs w:val="24"/>
        </w:rPr>
      </w:pPr>
      <w:r w:rsidRPr="009C40EC">
        <w:rPr>
          <w:sz w:val="24"/>
          <w:szCs w:val="24"/>
        </w:rPr>
        <w:t>O</w:t>
      </w:r>
      <w:r w:rsidR="00265A39" w:rsidRPr="009C40EC">
        <w:rPr>
          <w:sz w:val="24"/>
          <w:szCs w:val="24"/>
        </w:rPr>
        <w:t xml:space="preserve">ral presentation of 15 minutes </w:t>
      </w:r>
    </w:p>
    <w:p w14:paraId="406BF69B" w14:textId="77777777" w:rsidR="00B73C9E" w:rsidRPr="009C40EC" w:rsidRDefault="00B73C9E" w:rsidP="00265A39">
      <w:pPr>
        <w:rPr>
          <w:sz w:val="24"/>
          <w:szCs w:val="24"/>
        </w:rPr>
      </w:pPr>
    </w:p>
    <w:p w14:paraId="0E29DBB9" w14:textId="36BE5FBF" w:rsidR="002970F4" w:rsidRPr="009C40EC" w:rsidRDefault="00265A39" w:rsidP="00265A39">
      <w:pPr>
        <w:rPr>
          <w:b/>
          <w:bCs/>
          <w:sz w:val="24"/>
          <w:szCs w:val="24"/>
        </w:rPr>
      </w:pPr>
      <w:r w:rsidRPr="009C40EC">
        <w:rPr>
          <w:b/>
          <w:bCs/>
          <w:sz w:val="24"/>
          <w:szCs w:val="24"/>
        </w:rPr>
        <w:t>Please select the theme of the session most suited to your presentation.</w:t>
      </w:r>
    </w:p>
    <w:p w14:paraId="4E197760" w14:textId="14BF126F" w:rsidR="00B73C9E" w:rsidRPr="009C40EC" w:rsidRDefault="00600998" w:rsidP="00265A39">
      <w:pPr>
        <w:rPr>
          <w:sz w:val="24"/>
          <w:szCs w:val="24"/>
        </w:rPr>
      </w:pPr>
      <w:r w:rsidRPr="009C40EC">
        <w:rPr>
          <w:sz w:val="24"/>
          <w:szCs w:val="24"/>
        </w:rPr>
        <w:t>Innovating for - Safer Better Healthcare</w:t>
      </w:r>
    </w:p>
    <w:sectPr w:rsidR="00B73C9E" w:rsidRPr="009C4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1724"/>
    <w:multiLevelType w:val="hybridMultilevel"/>
    <w:tmpl w:val="D144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E5B73"/>
    <w:multiLevelType w:val="hybridMultilevel"/>
    <w:tmpl w:val="421C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164BE"/>
    <w:multiLevelType w:val="hybridMultilevel"/>
    <w:tmpl w:val="34F4D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8255271">
    <w:abstractNumId w:val="2"/>
  </w:num>
  <w:num w:numId="2" w16cid:durableId="283461679">
    <w:abstractNumId w:val="0"/>
  </w:num>
  <w:num w:numId="3" w16cid:durableId="136118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8F6"/>
    <w:rsid w:val="000114B3"/>
    <w:rsid w:val="00015070"/>
    <w:rsid w:val="000155FB"/>
    <w:rsid w:val="00016B00"/>
    <w:rsid w:val="00023374"/>
    <w:rsid w:val="0004456B"/>
    <w:rsid w:val="00050BBD"/>
    <w:rsid w:val="00052A6B"/>
    <w:rsid w:val="0006312A"/>
    <w:rsid w:val="00102728"/>
    <w:rsid w:val="001363EF"/>
    <w:rsid w:val="001469D9"/>
    <w:rsid w:val="00175F43"/>
    <w:rsid w:val="001B2DAD"/>
    <w:rsid w:val="001C0B53"/>
    <w:rsid w:val="001D72D6"/>
    <w:rsid w:val="001F2A8B"/>
    <w:rsid w:val="001F58F6"/>
    <w:rsid w:val="00210C23"/>
    <w:rsid w:val="00241A2A"/>
    <w:rsid w:val="00265A39"/>
    <w:rsid w:val="0028410E"/>
    <w:rsid w:val="002914E3"/>
    <w:rsid w:val="002970F4"/>
    <w:rsid w:val="002A0E3A"/>
    <w:rsid w:val="002C7193"/>
    <w:rsid w:val="002D3015"/>
    <w:rsid w:val="002E2527"/>
    <w:rsid w:val="002E6BA9"/>
    <w:rsid w:val="003007F8"/>
    <w:rsid w:val="00307EBA"/>
    <w:rsid w:val="0031172D"/>
    <w:rsid w:val="003604F1"/>
    <w:rsid w:val="00366EF7"/>
    <w:rsid w:val="00373A40"/>
    <w:rsid w:val="00375288"/>
    <w:rsid w:val="00394BC2"/>
    <w:rsid w:val="003B54FB"/>
    <w:rsid w:val="003B583D"/>
    <w:rsid w:val="003C0504"/>
    <w:rsid w:val="003D16B4"/>
    <w:rsid w:val="003F4EF4"/>
    <w:rsid w:val="003F6BD4"/>
    <w:rsid w:val="0040280E"/>
    <w:rsid w:val="004168FF"/>
    <w:rsid w:val="0042620F"/>
    <w:rsid w:val="0042647F"/>
    <w:rsid w:val="004445F6"/>
    <w:rsid w:val="00460849"/>
    <w:rsid w:val="004836AD"/>
    <w:rsid w:val="0048746D"/>
    <w:rsid w:val="0049318D"/>
    <w:rsid w:val="004C3826"/>
    <w:rsid w:val="004D0A2D"/>
    <w:rsid w:val="004D4AF9"/>
    <w:rsid w:val="00523428"/>
    <w:rsid w:val="0052712C"/>
    <w:rsid w:val="00544B61"/>
    <w:rsid w:val="00556896"/>
    <w:rsid w:val="00557A8C"/>
    <w:rsid w:val="00564C96"/>
    <w:rsid w:val="00577B8E"/>
    <w:rsid w:val="0058374D"/>
    <w:rsid w:val="005A3F7A"/>
    <w:rsid w:val="005B2394"/>
    <w:rsid w:val="005B2D10"/>
    <w:rsid w:val="005B63F3"/>
    <w:rsid w:val="005D1E4A"/>
    <w:rsid w:val="005D239F"/>
    <w:rsid w:val="00600998"/>
    <w:rsid w:val="00625262"/>
    <w:rsid w:val="00626314"/>
    <w:rsid w:val="00627BB4"/>
    <w:rsid w:val="00632DFB"/>
    <w:rsid w:val="00644BD5"/>
    <w:rsid w:val="00654216"/>
    <w:rsid w:val="00677BD4"/>
    <w:rsid w:val="006861D0"/>
    <w:rsid w:val="00693EFF"/>
    <w:rsid w:val="006970C2"/>
    <w:rsid w:val="006A0632"/>
    <w:rsid w:val="006B0BC8"/>
    <w:rsid w:val="006C0B88"/>
    <w:rsid w:val="006C5E73"/>
    <w:rsid w:val="006F4113"/>
    <w:rsid w:val="00702729"/>
    <w:rsid w:val="0071732F"/>
    <w:rsid w:val="00721248"/>
    <w:rsid w:val="007247A0"/>
    <w:rsid w:val="00742C4C"/>
    <w:rsid w:val="007640F3"/>
    <w:rsid w:val="00785B4A"/>
    <w:rsid w:val="00791693"/>
    <w:rsid w:val="00792181"/>
    <w:rsid w:val="007B034D"/>
    <w:rsid w:val="007C63F3"/>
    <w:rsid w:val="007F2668"/>
    <w:rsid w:val="00807257"/>
    <w:rsid w:val="008271C1"/>
    <w:rsid w:val="00830DA4"/>
    <w:rsid w:val="0084447D"/>
    <w:rsid w:val="00846A29"/>
    <w:rsid w:val="0085234D"/>
    <w:rsid w:val="008579B9"/>
    <w:rsid w:val="00895DC0"/>
    <w:rsid w:val="008A1249"/>
    <w:rsid w:val="008A28E6"/>
    <w:rsid w:val="008A4A4E"/>
    <w:rsid w:val="008B350C"/>
    <w:rsid w:val="008B5CBC"/>
    <w:rsid w:val="008B6D68"/>
    <w:rsid w:val="008D2629"/>
    <w:rsid w:val="008D3657"/>
    <w:rsid w:val="008D532B"/>
    <w:rsid w:val="008D66BC"/>
    <w:rsid w:val="008F66DF"/>
    <w:rsid w:val="008F70D6"/>
    <w:rsid w:val="0092617D"/>
    <w:rsid w:val="00930071"/>
    <w:rsid w:val="0094242B"/>
    <w:rsid w:val="00970054"/>
    <w:rsid w:val="0098035D"/>
    <w:rsid w:val="009A47A1"/>
    <w:rsid w:val="009A63BD"/>
    <w:rsid w:val="009B4F3E"/>
    <w:rsid w:val="009B690F"/>
    <w:rsid w:val="009B7F8C"/>
    <w:rsid w:val="009C40EC"/>
    <w:rsid w:val="009D08B2"/>
    <w:rsid w:val="00A11950"/>
    <w:rsid w:val="00A15C69"/>
    <w:rsid w:val="00A162FB"/>
    <w:rsid w:val="00A17986"/>
    <w:rsid w:val="00A23889"/>
    <w:rsid w:val="00A24FDD"/>
    <w:rsid w:val="00A30957"/>
    <w:rsid w:val="00A50CE1"/>
    <w:rsid w:val="00A5285C"/>
    <w:rsid w:val="00A632D4"/>
    <w:rsid w:val="00A71E7F"/>
    <w:rsid w:val="00A97CC4"/>
    <w:rsid w:val="00A97FFC"/>
    <w:rsid w:val="00AA3CC9"/>
    <w:rsid w:val="00AC289B"/>
    <w:rsid w:val="00AF32D0"/>
    <w:rsid w:val="00B26C09"/>
    <w:rsid w:val="00B436BC"/>
    <w:rsid w:val="00B73C9E"/>
    <w:rsid w:val="00BA4E1D"/>
    <w:rsid w:val="00BC36CD"/>
    <w:rsid w:val="00BF01CF"/>
    <w:rsid w:val="00C03040"/>
    <w:rsid w:val="00C101B6"/>
    <w:rsid w:val="00C11D4E"/>
    <w:rsid w:val="00C502F7"/>
    <w:rsid w:val="00C94C4E"/>
    <w:rsid w:val="00C94CC1"/>
    <w:rsid w:val="00C96567"/>
    <w:rsid w:val="00C975FB"/>
    <w:rsid w:val="00CA16C4"/>
    <w:rsid w:val="00CD7CB7"/>
    <w:rsid w:val="00CE39F4"/>
    <w:rsid w:val="00CE5C53"/>
    <w:rsid w:val="00CF1415"/>
    <w:rsid w:val="00CF3446"/>
    <w:rsid w:val="00D02450"/>
    <w:rsid w:val="00D03560"/>
    <w:rsid w:val="00D2609B"/>
    <w:rsid w:val="00D70369"/>
    <w:rsid w:val="00D813AE"/>
    <w:rsid w:val="00D818AD"/>
    <w:rsid w:val="00D927B2"/>
    <w:rsid w:val="00DB70CB"/>
    <w:rsid w:val="00DD04C4"/>
    <w:rsid w:val="00E028CF"/>
    <w:rsid w:val="00E12433"/>
    <w:rsid w:val="00E3733B"/>
    <w:rsid w:val="00E4364F"/>
    <w:rsid w:val="00E64E9C"/>
    <w:rsid w:val="00E6663B"/>
    <w:rsid w:val="00E709DC"/>
    <w:rsid w:val="00E73CCA"/>
    <w:rsid w:val="00E75BF4"/>
    <w:rsid w:val="00E97602"/>
    <w:rsid w:val="00EA543B"/>
    <w:rsid w:val="00EB3826"/>
    <w:rsid w:val="00EF1DE8"/>
    <w:rsid w:val="00EF67AF"/>
    <w:rsid w:val="00EF6861"/>
    <w:rsid w:val="00F16E58"/>
    <w:rsid w:val="00F255DB"/>
    <w:rsid w:val="00F34683"/>
    <w:rsid w:val="00F44F14"/>
    <w:rsid w:val="00F70708"/>
    <w:rsid w:val="00F74A7D"/>
    <w:rsid w:val="00F87F29"/>
    <w:rsid w:val="00F95E30"/>
    <w:rsid w:val="00FC024F"/>
    <w:rsid w:val="00FC2002"/>
    <w:rsid w:val="00FF3C34"/>
    <w:rsid w:val="00FF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CADF"/>
  <w15:chartTrackingRefBased/>
  <w15:docId w15:val="{C266EE5B-E75D-442A-91AC-7F307276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8F6"/>
    <w:rPr>
      <w:rFonts w:eastAsiaTheme="majorEastAsia" w:cstheme="majorBidi"/>
      <w:color w:val="272727" w:themeColor="text1" w:themeTint="D8"/>
    </w:rPr>
  </w:style>
  <w:style w:type="paragraph" w:styleId="Title">
    <w:name w:val="Title"/>
    <w:basedOn w:val="Normal"/>
    <w:next w:val="Normal"/>
    <w:link w:val="TitleChar"/>
    <w:uiPriority w:val="10"/>
    <w:qFormat/>
    <w:rsid w:val="001F5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8F6"/>
    <w:pPr>
      <w:spacing w:before="160"/>
      <w:jc w:val="center"/>
    </w:pPr>
    <w:rPr>
      <w:i/>
      <w:iCs/>
      <w:color w:val="404040" w:themeColor="text1" w:themeTint="BF"/>
    </w:rPr>
  </w:style>
  <w:style w:type="character" w:customStyle="1" w:styleId="QuoteChar">
    <w:name w:val="Quote Char"/>
    <w:basedOn w:val="DefaultParagraphFont"/>
    <w:link w:val="Quote"/>
    <w:uiPriority w:val="29"/>
    <w:rsid w:val="001F58F6"/>
    <w:rPr>
      <w:i/>
      <w:iCs/>
      <w:color w:val="404040" w:themeColor="text1" w:themeTint="BF"/>
    </w:rPr>
  </w:style>
  <w:style w:type="paragraph" w:styleId="ListParagraph">
    <w:name w:val="List Paragraph"/>
    <w:basedOn w:val="Normal"/>
    <w:uiPriority w:val="34"/>
    <w:qFormat/>
    <w:rsid w:val="001F58F6"/>
    <w:pPr>
      <w:ind w:left="720"/>
      <w:contextualSpacing/>
    </w:pPr>
  </w:style>
  <w:style w:type="character" w:styleId="IntenseEmphasis">
    <w:name w:val="Intense Emphasis"/>
    <w:basedOn w:val="DefaultParagraphFont"/>
    <w:uiPriority w:val="21"/>
    <w:qFormat/>
    <w:rsid w:val="001F58F6"/>
    <w:rPr>
      <w:i/>
      <w:iCs/>
      <w:color w:val="0F4761" w:themeColor="accent1" w:themeShade="BF"/>
    </w:rPr>
  </w:style>
  <w:style w:type="paragraph" w:styleId="IntenseQuote">
    <w:name w:val="Intense Quote"/>
    <w:basedOn w:val="Normal"/>
    <w:next w:val="Normal"/>
    <w:link w:val="IntenseQuoteChar"/>
    <w:uiPriority w:val="30"/>
    <w:qFormat/>
    <w:rsid w:val="001F5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8F6"/>
    <w:rPr>
      <w:i/>
      <w:iCs/>
      <w:color w:val="0F4761" w:themeColor="accent1" w:themeShade="BF"/>
    </w:rPr>
  </w:style>
  <w:style w:type="character" w:styleId="IntenseReference">
    <w:name w:val="Intense Reference"/>
    <w:basedOn w:val="DefaultParagraphFont"/>
    <w:uiPriority w:val="32"/>
    <w:qFormat/>
    <w:rsid w:val="001F58F6"/>
    <w:rPr>
      <w:b/>
      <w:bCs/>
      <w:smallCaps/>
      <w:color w:val="0F4761" w:themeColor="accent1" w:themeShade="BF"/>
      <w:spacing w:val="5"/>
    </w:rPr>
  </w:style>
  <w:style w:type="table" w:styleId="TableGrid">
    <w:name w:val="Table Grid"/>
    <w:basedOn w:val="TableNormal"/>
    <w:uiPriority w:val="39"/>
    <w:rsid w:val="0036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7193"/>
    <w:rPr>
      <w:color w:val="467886" w:themeColor="hyperlink"/>
      <w:u w:val="single"/>
    </w:rPr>
  </w:style>
  <w:style w:type="character" w:styleId="UnresolvedMention">
    <w:name w:val="Unresolved Mention"/>
    <w:basedOn w:val="DefaultParagraphFont"/>
    <w:uiPriority w:val="99"/>
    <w:semiHidden/>
    <w:unhideWhenUsed/>
    <w:rsid w:val="002C7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522463">
      <w:bodyDiv w:val="1"/>
      <w:marLeft w:val="0"/>
      <w:marRight w:val="0"/>
      <w:marTop w:val="0"/>
      <w:marBottom w:val="0"/>
      <w:divBdr>
        <w:top w:val="none" w:sz="0" w:space="0" w:color="auto"/>
        <w:left w:val="none" w:sz="0" w:space="0" w:color="auto"/>
        <w:bottom w:val="none" w:sz="0" w:space="0" w:color="auto"/>
        <w:right w:val="none" w:sz="0" w:space="0" w:color="auto"/>
      </w:divBdr>
    </w:div>
    <w:div w:id="191470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1842</Words>
  <Characters>10503</Characters>
  <Application>Microsoft Office Word</Application>
  <DocSecurity>0</DocSecurity>
  <Lines>87</Lines>
  <Paragraphs>24</Paragraphs>
  <ScaleCrop>false</ScaleCrop>
  <Company>NHS Education For Scotland</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Bowie</dc:creator>
  <cp:keywords/>
  <dc:description/>
  <cp:lastModifiedBy>Paul Bowie</cp:lastModifiedBy>
  <cp:revision>3</cp:revision>
  <dcterms:created xsi:type="dcterms:W3CDTF">2025-02-03T16:08:00Z</dcterms:created>
  <dcterms:modified xsi:type="dcterms:W3CDTF">2025-02-03T16:17:00Z</dcterms:modified>
</cp:coreProperties>
</file>