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6D026F" w14:textId="77777777" w:rsidR="000E4FCE" w:rsidRPr="0030061B" w:rsidRDefault="000E4FCE" w:rsidP="000E4FCE">
      <w:pPr>
        <w:spacing w:line="257" w:lineRule="auto"/>
        <w:rPr>
          <w:rFonts w:ascii="Calibri" w:hAnsi="Calibri" w:cs="Calibri"/>
          <w:color w:val="201F1E"/>
        </w:rPr>
      </w:pPr>
    </w:p>
    <w:tbl>
      <w:tblPr>
        <w:tblpPr w:leftFromText="180" w:rightFromText="180" w:vertAnchor="text" w:horzAnchor="margin" w:tblpXSpec="center" w:tblpY="-613"/>
        <w:tblW w:w="909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55"/>
        <w:gridCol w:w="6641"/>
      </w:tblGrid>
      <w:tr w:rsidR="000E4FCE" w:rsidRPr="00861634" w14:paraId="6DB5CF3E" w14:textId="77777777" w:rsidTr="00DB5189">
        <w:trPr>
          <w:trHeight w:val="219"/>
        </w:trPr>
        <w:tc>
          <w:tcPr>
            <w:tcW w:w="2455" w:type="dxa"/>
            <w:tcBorders>
              <w:top w:val="single" w:sz="4" w:space="0" w:color="auto"/>
              <w:bottom w:val="single" w:sz="4" w:space="0" w:color="auto"/>
              <w:right w:val="single" w:sz="4" w:space="0" w:color="auto"/>
            </w:tcBorders>
            <w:shd w:val="clear" w:color="auto" w:fill="D9D9D9" w:themeFill="background1" w:themeFillShade="D9"/>
          </w:tcPr>
          <w:p w14:paraId="122BB8CA" w14:textId="2CC5DD93" w:rsidR="000E4FCE" w:rsidRPr="00861634" w:rsidRDefault="000E4FCE" w:rsidP="00DB5189">
            <w:pPr>
              <w:autoSpaceDE w:val="0"/>
              <w:autoSpaceDN w:val="0"/>
              <w:adjustRightInd w:val="0"/>
              <w:spacing w:line="360" w:lineRule="auto"/>
              <w:rPr>
                <w:rFonts w:asciiTheme="majorHAnsi" w:hAnsiTheme="majorHAnsi" w:cstheme="majorHAnsi"/>
                <w:color w:val="000000"/>
              </w:rPr>
            </w:pPr>
          </w:p>
        </w:tc>
        <w:tc>
          <w:tcPr>
            <w:tcW w:w="6641" w:type="dxa"/>
            <w:tcBorders>
              <w:top w:val="single" w:sz="4" w:space="0" w:color="auto"/>
              <w:left w:val="single" w:sz="4" w:space="0" w:color="auto"/>
              <w:bottom w:val="single" w:sz="4" w:space="0" w:color="auto"/>
            </w:tcBorders>
            <w:shd w:val="clear" w:color="auto" w:fill="F2F2F2" w:themeFill="background1" w:themeFillShade="F2"/>
          </w:tcPr>
          <w:p w14:paraId="2C2A4C17" w14:textId="3A3E045E" w:rsidR="000E4FCE" w:rsidRPr="00861634" w:rsidRDefault="00B526B3" w:rsidP="00DB5189">
            <w:pPr>
              <w:autoSpaceDE w:val="0"/>
              <w:autoSpaceDN w:val="0"/>
              <w:adjustRightInd w:val="0"/>
              <w:spacing w:line="360" w:lineRule="auto"/>
              <w:rPr>
                <w:rFonts w:asciiTheme="majorHAnsi" w:hAnsiTheme="majorHAnsi" w:cstheme="majorHAnsi"/>
                <w:color w:val="000000"/>
              </w:rPr>
            </w:pPr>
            <w:r>
              <w:rPr>
                <w:u w:val="single"/>
              </w:rPr>
              <w:t>Developing</w:t>
            </w:r>
            <w:r w:rsidR="000E4FCE">
              <w:rPr>
                <w:u w:val="single"/>
              </w:rPr>
              <w:t xml:space="preserve"> </w:t>
            </w:r>
            <w:r>
              <w:rPr>
                <w:u w:val="single"/>
              </w:rPr>
              <w:t xml:space="preserve">a </w:t>
            </w:r>
            <w:r w:rsidR="000E4FCE">
              <w:rPr>
                <w:u w:val="single"/>
              </w:rPr>
              <w:t>strategy to guide interprofessional education (IPE)</w:t>
            </w:r>
          </w:p>
        </w:tc>
      </w:tr>
      <w:tr w:rsidR="000E4FCE" w:rsidRPr="00861634" w14:paraId="19288945" w14:textId="77777777" w:rsidTr="00DB5189">
        <w:trPr>
          <w:trHeight w:val="375"/>
        </w:trPr>
        <w:tc>
          <w:tcPr>
            <w:tcW w:w="2455" w:type="dxa"/>
            <w:tcBorders>
              <w:top w:val="single" w:sz="4" w:space="0" w:color="auto"/>
              <w:bottom w:val="single" w:sz="4" w:space="0" w:color="auto"/>
              <w:right w:val="single" w:sz="4" w:space="0" w:color="auto"/>
            </w:tcBorders>
            <w:shd w:val="clear" w:color="auto" w:fill="D9D9D9" w:themeFill="background1" w:themeFillShade="D9"/>
          </w:tcPr>
          <w:p w14:paraId="07166101" w14:textId="3DD22140" w:rsidR="000E4FCE" w:rsidRPr="00861634" w:rsidRDefault="000E4FCE" w:rsidP="00DB5189">
            <w:pPr>
              <w:autoSpaceDE w:val="0"/>
              <w:autoSpaceDN w:val="0"/>
              <w:adjustRightInd w:val="0"/>
              <w:spacing w:line="360" w:lineRule="auto"/>
              <w:rPr>
                <w:rFonts w:asciiTheme="majorHAnsi" w:hAnsiTheme="majorHAnsi" w:cstheme="majorHAnsi"/>
                <w:color w:val="000000"/>
              </w:rPr>
            </w:pPr>
          </w:p>
        </w:tc>
        <w:tc>
          <w:tcPr>
            <w:tcW w:w="6641" w:type="dxa"/>
            <w:tcBorders>
              <w:top w:val="single" w:sz="4" w:space="0" w:color="auto"/>
              <w:left w:val="single" w:sz="4" w:space="0" w:color="auto"/>
              <w:bottom w:val="single" w:sz="4" w:space="0" w:color="auto"/>
            </w:tcBorders>
            <w:shd w:val="clear" w:color="auto" w:fill="F2F2F2" w:themeFill="background1" w:themeFillShade="F2"/>
          </w:tcPr>
          <w:p w14:paraId="21A8E746" w14:textId="77777777" w:rsidR="0039425D" w:rsidRDefault="0039425D" w:rsidP="0039425D">
            <w:pPr>
              <w:rPr>
                <w:sz w:val="20"/>
                <w:szCs w:val="20"/>
              </w:rPr>
            </w:pPr>
            <w:r>
              <w:rPr>
                <w:sz w:val="20"/>
                <w:szCs w:val="20"/>
              </w:rPr>
              <w:t>Dr Fiona Cust</w:t>
            </w:r>
          </w:p>
          <w:p w14:paraId="67BD35FA" w14:textId="77777777" w:rsidR="0039425D" w:rsidRDefault="0039425D" w:rsidP="0039425D">
            <w:pPr>
              <w:rPr>
                <w:color w:val="4472C4"/>
                <w:sz w:val="20"/>
                <w:szCs w:val="20"/>
                <w:u w:val="single"/>
              </w:rPr>
            </w:pPr>
            <w:r>
              <w:rPr>
                <w:color w:val="4472C4"/>
                <w:sz w:val="20"/>
                <w:szCs w:val="20"/>
                <w:u w:val="single"/>
              </w:rPr>
              <w:t>Fiona.Cust@staffs.ac.uk</w:t>
            </w:r>
          </w:p>
          <w:p w14:paraId="12A01E4E" w14:textId="77777777" w:rsidR="0039425D" w:rsidRDefault="0039425D" w:rsidP="00DB5189">
            <w:pPr>
              <w:autoSpaceDE w:val="0"/>
              <w:autoSpaceDN w:val="0"/>
              <w:adjustRightInd w:val="0"/>
              <w:spacing w:line="360" w:lineRule="auto"/>
              <w:rPr>
                <w:rFonts w:asciiTheme="majorHAnsi" w:hAnsiTheme="majorHAnsi" w:cstheme="majorHAnsi"/>
                <w:color w:val="000000"/>
              </w:rPr>
            </w:pPr>
          </w:p>
          <w:p w14:paraId="00942168" w14:textId="1B973384" w:rsidR="000E4FCE" w:rsidRPr="00861634" w:rsidRDefault="000E4FCE" w:rsidP="00DB5189">
            <w:pPr>
              <w:autoSpaceDE w:val="0"/>
              <w:autoSpaceDN w:val="0"/>
              <w:adjustRightInd w:val="0"/>
              <w:spacing w:line="360" w:lineRule="auto"/>
              <w:rPr>
                <w:rFonts w:asciiTheme="majorHAnsi" w:hAnsiTheme="majorHAnsi" w:cstheme="majorHAnsi"/>
                <w:color w:val="000000"/>
              </w:rPr>
            </w:pPr>
            <w:r w:rsidRPr="000E4FCE">
              <w:rPr>
                <w:rFonts w:asciiTheme="majorHAnsi" w:hAnsiTheme="majorHAnsi" w:cstheme="majorHAnsi"/>
                <w:color w:val="000000"/>
              </w:rPr>
              <w:t>Vikki Park</w:t>
            </w:r>
          </w:p>
          <w:p w14:paraId="011C97E4" w14:textId="28C1C32E" w:rsidR="0039425D" w:rsidRDefault="0039425D" w:rsidP="00DB5189">
            <w:pPr>
              <w:autoSpaceDE w:val="0"/>
              <w:autoSpaceDN w:val="0"/>
              <w:adjustRightInd w:val="0"/>
              <w:spacing w:line="360" w:lineRule="auto"/>
              <w:rPr>
                <w:rFonts w:asciiTheme="majorHAnsi" w:hAnsiTheme="majorHAnsi" w:cstheme="majorHAnsi"/>
                <w:color w:val="000000"/>
              </w:rPr>
            </w:pPr>
            <w:hyperlink r:id="rId8" w:history="1">
              <w:r w:rsidRPr="0083576E">
                <w:rPr>
                  <w:rStyle w:val="Hyperlink"/>
                  <w:rFonts w:asciiTheme="majorHAnsi" w:hAnsiTheme="majorHAnsi" w:cstheme="majorHAnsi"/>
                </w:rPr>
                <w:t>Vikki.park@caipe.org</w:t>
              </w:r>
            </w:hyperlink>
          </w:p>
          <w:p w14:paraId="4DD2558B" w14:textId="1437392D" w:rsidR="0039425D" w:rsidRPr="00861634" w:rsidRDefault="0039425D" w:rsidP="0039425D">
            <w:pPr>
              <w:rPr>
                <w:rFonts w:asciiTheme="majorHAnsi" w:hAnsiTheme="majorHAnsi" w:cstheme="majorHAnsi"/>
                <w:color w:val="000000"/>
              </w:rPr>
            </w:pPr>
          </w:p>
        </w:tc>
      </w:tr>
      <w:tr w:rsidR="000E4FCE" w:rsidRPr="00861634" w14:paraId="0CC52121" w14:textId="77777777" w:rsidTr="00DB5189">
        <w:trPr>
          <w:trHeight w:val="214"/>
        </w:trPr>
        <w:tc>
          <w:tcPr>
            <w:tcW w:w="2455" w:type="dxa"/>
            <w:tcBorders>
              <w:top w:val="single" w:sz="4" w:space="0" w:color="auto"/>
              <w:bottom w:val="single" w:sz="4" w:space="0" w:color="auto"/>
              <w:right w:val="single" w:sz="4" w:space="0" w:color="auto"/>
            </w:tcBorders>
            <w:shd w:val="clear" w:color="auto" w:fill="D9D9D9" w:themeFill="background1" w:themeFillShade="D9"/>
          </w:tcPr>
          <w:p w14:paraId="4326DDDB" w14:textId="41526DB7" w:rsidR="000E4FCE" w:rsidRPr="00861634" w:rsidRDefault="000E4FCE" w:rsidP="00DB5189">
            <w:pPr>
              <w:autoSpaceDE w:val="0"/>
              <w:autoSpaceDN w:val="0"/>
              <w:adjustRightInd w:val="0"/>
              <w:spacing w:line="360" w:lineRule="auto"/>
              <w:rPr>
                <w:rFonts w:asciiTheme="majorHAnsi" w:hAnsiTheme="majorHAnsi" w:cstheme="majorHAnsi"/>
                <w:color w:val="000000"/>
              </w:rPr>
            </w:pPr>
          </w:p>
        </w:tc>
        <w:tc>
          <w:tcPr>
            <w:tcW w:w="6641" w:type="dxa"/>
            <w:tcBorders>
              <w:top w:val="single" w:sz="4" w:space="0" w:color="auto"/>
              <w:left w:val="single" w:sz="4" w:space="0" w:color="auto"/>
              <w:bottom w:val="single" w:sz="4" w:space="0" w:color="auto"/>
            </w:tcBorders>
            <w:shd w:val="clear" w:color="auto" w:fill="F2F2F2" w:themeFill="background1" w:themeFillShade="F2"/>
          </w:tcPr>
          <w:p w14:paraId="4519E077" w14:textId="77777777" w:rsidR="000E4FCE" w:rsidRPr="00861634" w:rsidRDefault="000E4FCE" w:rsidP="00DB5189">
            <w:pPr>
              <w:autoSpaceDE w:val="0"/>
              <w:autoSpaceDN w:val="0"/>
              <w:adjustRightInd w:val="0"/>
              <w:spacing w:line="360" w:lineRule="auto"/>
              <w:rPr>
                <w:rFonts w:asciiTheme="majorHAnsi" w:hAnsiTheme="majorHAnsi" w:cstheme="majorHAnsi"/>
                <w:color w:val="000000"/>
              </w:rPr>
            </w:pPr>
          </w:p>
        </w:tc>
      </w:tr>
      <w:tr w:rsidR="000E4FCE" w:rsidRPr="00861634" w14:paraId="687A17D1" w14:textId="77777777" w:rsidTr="00DB5189">
        <w:trPr>
          <w:trHeight w:val="219"/>
        </w:trPr>
        <w:tc>
          <w:tcPr>
            <w:tcW w:w="2455" w:type="dxa"/>
            <w:tcBorders>
              <w:top w:val="single" w:sz="4" w:space="0" w:color="auto"/>
              <w:bottom w:val="single" w:sz="4" w:space="0" w:color="auto"/>
              <w:right w:val="single" w:sz="4" w:space="0" w:color="auto"/>
            </w:tcBorders>
            <w:shd w:val="clear" w:color="auto" w:fill="D9D9D9" w:themeFill="background1" w:themeFillShade="D9"/>
          </w:tcPr>
          <w:p w14:paraId="0194B80C" w14:textId="1247DAAD" w:rsidR="000E4FCE" w:rsidRPr="00861634" w:rsidRDefault="000E4FCE" w:rsidP="00DB5189">
            <w:pPr>
              <w:autoSpaceDE w:val="0"/>
              <w:autoSpaceDN w:val="0"/>
              <w:adjustRightInd w:val="0"/>
              <w:spacing w:line="360" w:lineRule="auto"/>
              <w:rPr>
                <w:rFonts w:asciiTheme="majorHAnsi" w:hAnsiTheme="majorHAnsi" w:cstheme="majorHAnsi"/>
                <w:color w:val="000000"/>
              </w:rPr>
            </w:pPr>
          </w:p>
        </w:tc>
        <w:tc>
          <w:tcPr>
            <w:tcW w:w="6641" w:type="dxa"/>
            <w:tcBorders>
              <w:top w:val="single" w:sz="4" w:space="0" w:color="auto"/>
              <w:left w:val="single" w:sz="4" w:space="0" w:color="auto"/>
              <w:bottom w:val="single" w:sz="4" w:space="0" w:color="auto"/>
            </w:tcBorders>
            <w:shd w:val="clear" w:color="auto" w:fill="F2F2F2" w:themeFill="background1" w:themeFillShade="F2"/>
          </w:tcPr>
          <w:p w14:paraId="41655BA8" w14:textId="0345F7BD" w:rsidR="000E4FCE" w:rsidRPr="00861634" w:rsidRDefault="006036B8" w:rsidP="00DB5189">
            <w:pPr>
              <w:autoSpaceDE w:val="0"/>
              <w:autoSpaceDN w:val="0"/>
              <w:adjustRightInd w:val="0"/>
              <w:spacing w:line="360" w:lineRule="auto"/>
              <w:rPr>
                <w:rFonts w:asciiTheme="majorHAnsi" w:hAnsiTheme="majorHAnsi" w:cstheme="majorHAnsi"/>
                <w:color w:val="000000"/>
              </w:rPr>
            </w:pPr>
            <w:r>
              <w:rPr>
                <w:rFonts w:asciiTheme="majorHAnsi" w:hAnsiTheme="majorHAnsi" w:cstheme="majorHAnsi"/>
                <w:color w:val="000000"/>
              </w:rPr>
              <w:t>3</w:t>
            </w:r>
          </w:p>
        </w:tc>
      </w:tr>
      <w:tr w:rsidR="000E4FCE" w:rsidRPr="00861634" w14:paraId="7A484F7F" w14:textId="77777777" w:rsidTr="00DB5189">
        <w:trPr>
          <w:trHeight w:val="219"/>
        </w:trPr>
        <w:tc>
          <w:tcPr>
            <w:tcW w:w="2455" w:type="dxa"/>
            <w:tcBorders>
              <w:top w:val="single" w:sz="4" w:space="0" w:color="auto"/>
              <w:bottom w:val="single" w:sz="4" w:space="0" w:color="auto"/>
              <w:right w:val="single" w:sz="4" w:space="0" w:color="auto"/>
            </w:tcBorders>
            <w:shd w:val="clear" w:color="auto" w:fill="D9D9D9" w:themeFill="background1" w:themeFillShade="D9"/>
          </w:tcPr>
          <w:p w14:paraId="2EF0A5C9" w14:textId="699CE67A" w:rsidR="000E4FCE" w:rsidRPr="00861634" w:rsidRDefault="000E4FCE" w:rsidP="00DB5189">
            <w:pPr>
              <w:autoSpaceDE w:val="0"/>
              <w:autoSpaceDN w:val="0"/>
              <w:adjustRightInd w:val="0"/>
              <w:spacing w:line="360" w:lineRule="auto"/>
              <w:rPr>
                <w:rFonts w:asciiTheme="majorHAnsi" w:hAnsiTheme="majorHAnsi" w:cstheme="majorHAnsi"/>
                <w:color w:val="000000"/>
              </w:rPr>
            </w:pPr>
          </w:p>
        </w:tc>
        <w:tc>
          <w:tcPr>
            <w:tcW w:w="6641" w:type="dxa"/>
            <w:tcBorders>
              <w:top w:val="single" w:sz="4" w:space="0" w:color="auto"/>
              <w:left w:val="single" w:sz="4" w:space="0" w:color="auto"/>
              <w:bottom w:val="single" w:sz="4" w:space="0" w:color="auto"/>
            </w:tcBorders>
            <w:shd w:val="clear" w:color="auto" w:fill="F2F2F2" w:themeFill="background1" w:themeFillShade="F2"/>
          </w:tcPr>
          <w:p w14:paraId="6114E955" w14:textId="6F850F61" w:rsidR="000E4FCE" w:rsidRPr="00861634" w:rsidRDefault="006036B8" w:rsidP="00DB5189">
            <w:pPr>
              <w:autoSpaceDE w:val="0"/>
              <w:autoSpaceDN w:val="0"/>
              <w:adjustRightInd w:val="0"/>
              <w:spacing w:line="360" w:lineRule="auto"/>
              <w:rPr>
                <w:rFonts w:asciiTheme="majorHAnsi" w:hAnsiTheme="majorHAnsi" w:cstheme="majorHAnsi"/>
                <w:color w:val="000000"/>
              </w:rPr>
            </w:pPr>
            <w:r>
              <w:rPr>
                <w:rFonts w:asciiTheme="majorHAnsi" w:hAnsiTheme="majorHAnsi" w:cstheme="majorHAnsi"/>
                <w:color w:val="000000"/>
              </w:rPr>
              <w:t>1</w:t>
            </w:r>
          </w:p>
        </w:tc>
      </w:tr>
      <w:tr w:rsidR="000E4FCE" w:rsidRPr="00861634" w14:paraId="679E9B77" w14:textId="77777777" w:rsidTr="00DB5189">
        <w:trPr>
          <w:trHeight w:val="219"/>
        </w:trPr>
        <w:tc>
          <w:tcPr>
            <w:tcW w:w="2455" w:type="dxa"/>
            <w:tcBorders>
              <w:top w:val="single" w:sz="4" w:space="0" w:color="auto"/>
              <w:bottom w:val="single" w:sz="4" w:space="0" w:color="auto"/>
              <w:right w:val="single" w:sz="4" w:space="0" w:color="auto"/>
            </w:tcBorders>
            <w:shd w:val="clear" w:color="auto" w:fill="D9D9D9" w:themeFill="background1" w:themeFillShade="D9"/>
          </w:tcPr>
          <w:p w14:paraId="431EB160" w14:textId="4342C909" w:rsidR="000E4FCE" w:rsidRPr="00861634" w:rsidRDefault="000E4FCE" w:rsidP="00DB5189">
            <w:pPr>
              <w:autoSpaceDE w:val="0"/>
              <w:autoSpaceDN w:val="0"/>
              <w:adjustRightInd w:val="0"/>
              <w:spacing w:line="360" w:lineRule="auto"/>
              <w:rPr>
                <w:rFonts w:asciiTheme="majorHAnsi" w:hAnsiTheme="majorHAnsi" w:cstheme="majorHAnsi"/>
                <w:color w:val="000000"/>
              </w:rPr>
            </w:pPr>
          </w:p>
        </w:tc>
        <w:tc>
          <w:tcPr>
            <w:tcW w:w="6641" w:type="dxa"/>
            <w:tcBorders>
              <w:top w:val="single" w:sz="4" w:space="0" w:color="auto"/>
              <w:left w:val="single" w:sz="4" w:space="0" w:color="auto"/>
              <w:bottom w:val="single" w:sz="4" w:space="0" w:color="auto"/>
            </w:tcBorders>
            <w:shd w:val="clear" w:color="auto" w:fill="F2F2F2" w:themeFill="background1" w:themeFillShade="F2"/>
          </w:tcPr>
          <w:p w14:paraId="0B877BA2" w14:textId="78BC6BEB" w:rsidR="000E4FCE" w:rsidRPr="00861634" w:rsidRDefault="006036B8" w:rsidP="00DB5189">
            <w:pPr>
              <w:autoSpaceDE w:val="0"/>
              <w:autoSpaceDN w:val="0"/>
              <w:adjustRightInd w:val="0"/>
              <w:spacing w:line="360" w:lineRule="auto"/>
              <w:rPr>
                <w:rFonts w:asciiTheme="majorHAnsi" w:hAnsiTheme="majorHAnsi" w:cstheme="majorHAnsi"/>
                <w:color w:val="000000"/>
              </w:rPr>
            </w:pPr>
            <w:r>
              <w:rPr>
                <w:rFonts w:asciiTheme="majorHAnsi" w:hAnsiTheme="majorHAnsi" w:cstheme="majorHAnsi"/>
                <w:color w:val="000000"/>
              </w:rPr>
              <w:t>2</w:t>
            </w:r>
          </w:p>
        </w:tc>
      </w:tr>
      <w:tr w:rsidR="000E4FCE" w:rsidRPr="00861634" w14:paraId="6EA634BA" w14:textId="77777777" w:rsidTr="00DB5189">
        <w:trPr>
          <w:trHeight w:val="214"/>
        </w:trPr>
        <w:tc>
          <w:tcPr>
            <w:tcW w:w="2455" w:type="dxa"/>
            <w:tcBorders>
              <w:top w:val="single" w:sz="4" w:space="0" w:color="auto"/>
              <w:bottom w:val="single" w:sz="4" w:space="0" w:color="auto"/>
              <w:right w:val="single" w:sz="4" w:space="0" w:color="auto"/>
            </w:tcBorders>
            <w:shd w:val="clear" w:color="auto" w:fill="D9D9D9" w:themeFill="background1" w:themeFillShade="D9"/>
          </w:tcPr>
          <w:p w14:paraId="4ABF051D" w14:textId="74273BA1" w:rsidR="000E4FCE" w:rsidRPr="00861634" w:rsidRDefault="000E4FCE" w:rsidP="00DB5189">
            <w:pPr>
              <w:autoSpaceDE w:val="0"/>
              <w:autoSpaceDN w:val="0"/>
              <w:adjustRightInd w:val="0"/>
              <w:spacing w:line="360" w:lineRule="auto"/>
              <w:rPr>
                <w:rFonts w:asciiTheme="majorHAnsi" w:hAnsiTheme="majorHAnsi" w:cstheme="majorHAnsi"/>
                <w:color w:val="000000"/>
              </w:rPr>
            </w:pPr>
          </w:p>
        </w:tc>
        <w:tc>
          <w:tcPr>
            <w:tcW w:w="6641" w:type="dxa"/>
            <w:tcBorders>
              <w:top w:val="single" w:sz="4" w:space="0" w:color="auto"/>
              <w:left w:val="single" w:sz="4" w:space="0" w:color="auto"/>
              <w:bottom w:val="single" w:sz="4" w:space="0" w:color="auto"/>
            </w:tcBorders>
            <w:shd w:val="clear" w:color="auto" w:fill="F2F2F2" w:themeFill="background1" w:themeFillShade="F2"/>
          </w:tcPr>
          <w:p w14:paraId="1D33FE0F" w14:textId="5EABE390" w:rsidR="000E4FCE" w:rsidRPr="00861634" w:rsidRDefault="006036B8" w:rsidP="00DB5189">
            <w:pPr>
              <w:autoSpaceDE w:val="0"/>
              <w:autoSpaceDN w:val="0"/>
              <w:adjustRightInd w:val="0"/>
              <w:spacing w:line="360" w:lineRule="auto"/>
              <w:rPr>
                <w:rFonts w:asciiTheme="majorHAnsi" w:hAnsiTheme="majorHAnsi" w:cstheme="majorHAnsi"/>
                <w:color w:val="000000"/>
              </w:rPr>
            </w:pPr>
            <w:r>
              <w:rPr>
                <w:rFonts w:asciiTheme="majorHAnsi" w:hAnsiTheme="majorHAnsi" w:cstheme="majorHAnsi"/>
                <w:color w:val="000000"/>
              </w:rPr>
              <w:t>1</w:t>
            </w:r>
          </w:p>
        </w:tc>
      </w:tr>
      <w:tr w:rsidR="000E4FCE" w:rsidRPr="00861634" w14:paraId="2A90B4B1" w14:textId="77777777" w:rsidTr="00DB5189">
        <w:trPr>
          <w:trHeight w:val="531"/>
        </w:trPr>
        <w:tc>
          <w:tcPr>
            <w:tcW w:w="2455" w:type="dxa"/>
            <w:tcBorders>
              <w:top w:val="single" w:sz="4" w:space="0" w:color="auto"/>
              <w:bottom w:val="single" w:sz="4" w:space="0" w:color="auto"/>
              <w:right w:val="single" w:sz="4" w:space="0" w:color="auto"/>
            </w:tcBorders>
            <w:shd w:val="clear" w:color="auto" w:fill="D9D9D9" w:themeFill="background1" w:themeFillShade="D9"/>
          </w:tcPr>
          <w:p w14:paraId="7941B502" w14:textId="202775C5" w:rsidR="000E4FCE" w:rsidRPr="00861634" w:rsidRDefault="000E4FCE" w:rsidP="00DB5189">
            <w:pPr>
              <w:autoSpaceDE w:val="0"/>
              <w:autoSpaceDN w:val="0"/>
              <w:adjustRightInd w:val="0"/>
              <w:spacing w:line="360" w:lineRule="auto"/>
              <w:rPr>
                <w:rFonts w:asciiTheme="majorHAnsi" w:hAnsiTheme="majorHAnsi" w:cstheme="majorHAnsi"/>
                <w:color w:val="000000"/>
              </w:rPr>
            </w:pPr>
          </w:p>
        </w:tc>
        <w:tc>
          <w:tcPr>
            <w:tcW w:w="6641" w:type="dxa"/>
            <w:tcBorders>
              <w:top w:val="single" w:sz="4" w:space="0" w:color="auto"/>
              <w:left w:val="single" w:sz="4" w:space="0" w:color="auto"/>
              <w:bottom w:val="single" w:sz="4" w:space="0" w:color="auto"/>
            </w:tcBorders>
            <w:shd w:val="clear" w:color="auto" w:fill="F2F2F2" w:themeFill="background1" w:themeFillShade="F2"/>
          </w:tcPr>
          <w:p w14:paraId="68CA0E3A" w14:textId="77777777" w:rsidR="000E4FCE" w:rsidRPr="00861634" w:rsidRDefault="000E4FCE" w:rsidP="00DB5189">
            <w:pPr>
              <w:autoSpaceDE w:val="0"/>
              <w:autoSpaceDN w:val="0"/>
              <w:adjustRightInd w:val="0"/>
              <w:spacing w:line="360" w:lineRule="auto"/>
              <w:rPr>
                <w:rFonts w:asciiTheme="majorHAnsi" w:hAnsiTheme="majorHAnsi" w:cstheme="majorHAnsi"/>
                <w:color w:val="000000"/>
              </w:rPr>
            </w:pPr>
          </w:p>
        </w:tc>
      </w:tr>
      <w:tr w:rsidR="000E4FCE" w:rsidRPr="00861634" w14:paraId="1B741DAF" w14:textId="77777777" w:rsidTr="00DB5189">
        <w:trPr>
          <w:trHeight w:val="219"/>
        </w:trPr>
        <w:tc>
          <w:tcPr>
            <w:tcW w:w="2455" w:type="dxa"/>
            <w:tcBorders>
              <w:top w:val="single" w:sz="4" w:space="0" w:color="auto"/>
              <w:bottom w:val="single" w:sz="4" w:space="0" w:color="auto"/>
              <w:right w:val="single" w:sz="4" w:space="0" w:color="auto"/>
            </w:tcBorders>
            <w:shd w:val="clear" w:color="auto" w:fill="D9D9D9" w:themeFill="background1" w:themeFillShade="D9"/>
          </w:tcPr>
          <w:p w14:paraId="0C70BA2E" w14:textId="24DDB7CC" w:rsidR="000E4FCE" w:rsidRPr="00861634" w:rsidRDefault="000E4FCE" w:rsidP="00DB5189">
            <w:pPr>
              <w:autoSpaceDE w:val="0"/>
              <w:autoSpaceDN w:val="0"/>
              <w:adjustRightInd w:val="0"/>
              <w:spacing w:line="360" w:lineRule="auto"/>
              <w:rPr>
                <w:rFonts w:asciiTheme="majorHAnsi" w:hAnsiTheme="majorHAnsi" w:cstheme="majorHAnsi"/>
                <w:color w:val="000000"/>
              </w:rPr>
            </w:pPr>
          </w:p>
        </w:tc>
        <w:tc>
          <w:tcPr>
            <w:tcW w:w="6641" w:type="dxa"/>
            <w:tcBorders>
              <w:top w:val="single" w:sz="4" w:space="0" w:color="auto"/>
              <w:left w:val="single" w:sz="4" w:space="0" w:color="auto"/>
              <w:bottom w:val="single" w:sz="4" w:space="0" w:color="auto"/>
            </w:tcBorders>
            <w:shd w:val="clear" w:color="auto" w:fill="F2F2F2" w:themeFill="background1" w:themeFillShade="F2"/>
          </w:tcPr>
          <w:p w14:paraId="5BA31BF3" w14:textId="783A58BF" w:rsidR="000E4FCE" w:rsidRPr="00861634" w:rsidRDefault="000E4FCE" w:rsidP="00DB5189">
            <w:pPr>
              <w:autoSpaceDE w:val="0"/>
              <w:autoSpaceDN w:val="0"/>
              <w:adjustRightInd w:val="0"/>
              <w:spacing w:line="360" w:lineRule="auto"/>
              <w:rPr>
                <w:rFonts w:asciiTheme="majorHAnsi" w:hAnsiTheme="majorHAnsi" w:cstheme="majorHAnsi"/>
                <w:color w:val="000000"/>
              </w:rPr>
            </w:pPr>
          </w:p>
        </w:tc>
      </w:tr>
      <w:tr w:rsidR="000E4FCE" w:rsidRPr="00861634" w14:paraId="092337C8" w14:textId="77777777" w:rsidTr="00DB5189">
        <w:trPr>
          <w:trHeight w:val="1033"/>
        </w:trPr>
        <w:tc>
          <w:tcPr>
            <w:tcW w:w="2455" w:type="dxa"/>
            <w:tcBorders>
              <w:top w:val="single" w:sz="4" w:space="0" w:color="auto"/>
              <w:bottom w:val="single" w:sz="4" w:space="0" w:color="auto"/>
              <w:right w:val="single" w:sz="4" w:space="0" w:color="auto"/>
            </w:tcBorders>
            <w:shd w:val="clear" w:color="auto" w:fill="D9D9D9" w:themeFill="background1" w:themeFillShade="D9"/>
          </w:tcPr>
          <w:p w14:paraId="50A38556" w14:textId="68E0CD8C" w:rsidR="000E4FCE" w:rsidRPr="00861634" w:rsidRDefault="000E4FCE" w:rsidP="00DB5189">
            <w:pPr>
              <w:autoSpaceDE w:val="0"/>
              <w:autoSpaceDN w:val="0"/>
              <w:adjustRightInd w:val="0"/>
              <w:spacing w:line="360" w:lineRule="auto"/>
              <w:rPr>
                <w:rFonts w:asciiTheme="majorHAnsi" w:hAnsiTheme="majorHAnsi" w:cstheme="majorHAnsi"/>
                <w:color w:val="000000"/>
              </w:rPr>
            </w:pPr>
          </w:p>
        </w:tc>
        <w:tc>
          <w:tcPr>
            <w:tcW w:w="6641" w:type="dxa"/>
            <w:tcBorders>
              <w:top w:val="single" w:sz="4" w:space="0" w:color="auto"/>
              <w:left w:val="single" w:sz="4" w:space="0" w:color="auto"/>
              <w:bottom w:val="single" w:sz="4" w:space="0" w:color="auto"/>
            </w:tcBorders>
            <w:shd w:val="clear" w:color="auto" w:fill="F2F2F2" w:themeFill="background1" w:themeFillShade="F2"/>
          </w:tcPr>
          <w:p w14:paraId="2C3F0803" w14:textId="77777777" w:rsidR="000E4FCE" w:rsidRPr="00861634" w:rsidRDefault="000E4FCE" w:rsidP="00DB5189">
            <w:pPr>
              <w:autoSpaceDE w:val="0"/>
              <w:autoSpaceDN w:val="0"/>
              <w:adjustRightInd w:val="0"/>
              <w:spacing w:line="360" w:lineRule="auto"/>
              <w:rPr>
                <w:rFonts w:asciiTheme="majorHAnsi" w:hAnsiTheme="majorHAnsi" w:cstheme="majorHAnsi"/>
                <w:color w:val="000000"/>
              </w:rPr>
            </w:pPr>
          </w:p>
        </w:tc>
      </w:tr>
      <w:tr w:rsidR="000E4FCE" w:rsidRPr="00861634" w14:paraId="4AB51BF4" w14:textId="77777777" w:rsidTr="00DB5189">
        <w:trPr>
          <w:trHeight w:val="721"/>
        </w:trPr>
        <w:tc>
          <w:tcPr>
            <w:tcW w:w="2455" w:type="dxa"/>
            <w:tcBorders>
              <w:top w:val="single" w:sz="4" w:space="0" w:color="auto"/>
              <w:bottom w:val="single" w:sz="4" w:space="0" w:color="auto"/>
              <w:right w:val="single" w:sz="4" w:space="0" w:color="auto"/>
            </w:tcBorders>
            <w:shd w:val="clear" w:color="auto" w:fill="D9D9D9" w:themeFill="background1" w:themeFillShade="D9"/>
          </w:tcPr>
          <w:p w14:paraId="271F9B38" w14:textId="133A55CB" w:rsidR="000E4FCE" w:rsidRPr="00861634" w:rsidRDefault="000E4FCE" w:rsidP="00DB5189">
            <w:pPr>
              <w:autoSpaceDE w:val="0"/>
              <w:autoSpaceDN w:val="0"/>
              <w:adjustRightInd w:val="0"/>
              <w:spacing w:line="360" w:lineRule="auto"/>
              <w:rPr>
                <w:rFonts w:asciiTheme="majorHAnsi" w:hAnsiTheme="majorHAnsi" w:cstheme="majorHAnsi"/>
                <w:color w:val="000000"/>
              </w:rPr>
            </w:pPr>
          </w:p>
        </w:tc>
        <w:tc>
          <w:tcPr>
            <w:tcW w:w="6641" w:type="dxa"/>
            <w:tcBorders>
              <w:top w:val="single" w:sz="4" w:space="0" w:color="auto"/>
              <w:left w:val="single" w:sz="4" w:space="0" w:color="auto"/>
              <w:bottom w:val="single" w:sz="4" w:space="0" w:color="auto"/>
            </w:tcBorders>
            <w:shd w:val="clear" w:color="auto" w:fill="F2F2F2" w:themeFill="background1" w:themeFillShade="F2"/>
          </w:tcPr>
          <w:p w14:paraId="02928997" w14:textId="77777777" w:rsidR="000E4FCE" w:rsidRPr="00861634" w:rsidRDefault="000E4FCE" w:rsidP="00DB5189">
            <w:pPr>
              <w:autoSpaceDE w:val="0"/>
              <w:autoSpaceDN w:val="0"/>
              <w:adjustRightInd w:val="0"/>
              <w:spacing w:line="360" w:lineRule="auto"/>
              <w:rPr>
                <w:rFonts w:asciiTheme="majorHAnsi" w:hAnsiTheme="majorHAnsi" w:cstheme="majorHAnsi"/>
                <w:color w:val="000000"/>
              </w:rPr>
            </w:pPr>
          </w:p>
        </w:tc>
      </w:tr>
      <w:tr w:rsidR="000E4FCE" w:rsidRPr="00861634" w14:paraId="6EED9E70" w14:textId="77777777" w:rsidTr="00DB5189">
        <w:trPr>
          <w:trHeight w:val="828"/>
        </w:trPr>
        <w:tc>
          <w:tcPr>
            <w:tcW w:w="2455" w:type="dxa"/>
            <w:tcBorders>
              <w:top w:val="single" w:sz="4" w:space="0" w:color="auto"/>
              <w:bottom w:val="single" w:sz="4" w:space="0" w:color="auto"/>
              <w:right w:val="single" w:sz="4" w:space="0" w:color="auto"/>
            </w:tcBorders>
            <w:shd w:val="clear" w:color="auto" w:fill="D9D9D9" w:themeFill="background1" w:themeFillShade="D9"/>
          </w:tcPr>
          <w:p w14:paraId="54C4C2CA" w14:textId="3FFA0FBB" w:rsidR="000E4FCE" w:rsidRPr="00861634" w:rsidRDefault="000E4FCE" w:rsidP="00DB5189">
            <w:pPr>
              <w:autoSpaceDE w:val="0"/>
              <w:autoSpaceDN w:val="0"/>
              <w:adjustRightInd w:val="0"/>
              <w:spacing w:line="360" w:lineRule="auto"/>
              <w:rPr>
                <w:rFonts w:asciiTheme="majorHAnsi" w:hAnsiTheme="majorHAnsi" w:cstheme="majorHAnsi"/>
                <w:color w:val="000000"/>
              </w:rPr>
            </w:pPr>
          </w:p>
        </w:tc>
        <w:tc>
          <w:tcPr>
            <w:tcW w:w="6641" w:type="dxa"/>
            <w:tcBorders>
              <w:top w:val="single" w:sz="4" w:space="0" w:color="auto"/>
              <w:left w:val="single" w:sz="4" w:space="0" w:color="auto"/>
              <w:bottom w:val="single" w:sz="4" w:space="0" w:color="auto"/>
            </w:tcBorders>
            <w:shd w:val="clear" w:color="auto" w:fill="F2F2F2" w:themeFill="background1" w:themeFillShade="F2"/>
          </w:tcPr>
          <w:p w14:paraId="0085D7FC" w14:textId="77777777" w:rsidR="000E4FCE" w:rsidRDefault="000E4FCE" w:rsidP="00DB5189">
            <w:pPr>
              <w:rPr>
                <w:rFonts w:asciiTheme="majorHAnsi" w:hAnsiTheme="majorHAnsi" w:cstheme="majorHAnsi"/>
                <w:color w:val="000000"/>
              </w:rPr>
            </w:pPr>
          </w:p>
          <w:p w14:paraId="1B7191A8" w14:textId="3DAB9C67" w:rsidR="003E179C" w:rsidRPr="00861634" w:rsidRDefault="003E179C" w:rsidP="00DB5189">
            <w:pPr>
              <w:rPr>
                <w:rFonts w:asciiTheme="majorHAnsi" w:hAnsiTheme="majorHAnsi" w:cstheme="majorHAnsi"/>
                <w:color w:val="000000"/>
              </w:rPr>
            </w:pPr>
            <w:r>
              <w:rPr>
                <w:rFonts w:asciiTheme="majorHAnsi" w:hAnsiTheme="majorHAnsi" w:cstheme="majorHAnsi"/>
                <w:color w:val="000000"/>
              </w:rPr>
              <w:t>Education and training</w:t>
            </w:r>
          </w:p>
        </w:tc>
      </w:tr>
      <w:tr w:rsidR="000E4FCE" w:rsidRPr="00861634" w14:paraId="3AE35CF7" w14:textId="77777777" w:rsidTr="00DB5189">
        <w:trPr>
          <w:trHeight w:val="828"/>
        </w:trPr>
        <w:tc>
          <w:tcPr>
            <w:tcW w:w="2455" w:type="dxa"/>
            <w:tcBorders>
              <w:top w:val="single" w:sz="4" w:space="0" w:color="auto"/>
              <w:bottom w:val="single" w:sz="4" w:space="0" w:color="auto"/>
              <w:right w:val="single" w:sz="4" w:space="0" w:color="auto"/>
            </w:tcBorders>
            <w:shd w:val="clear" w:color="auto" w:fill="D9D9D9" w:themeFill="background1" w:themeFillShade="D9"/>
          </w:tcPr>
          <w:p w14:paraId="2CE428AC" w14:textId="773A619B" w:rsidR="000E4FCE" w:rsidRPr="00861634" w:rsidRDefault="000E4FCE" w:rsidP="00DB5189">
            <w:pPr>
              <w:autoSpaceDE w:val="0"/>
              <w:autoSpaceDN w:val="0"/>
              <w:adjustRightInd w:val="0"/>
              <w:spacing w:line="360" w:lineRule="auto"/>
              <w:rPr>
                <w:rFonts w:asciiTheme="majorHAnsi" w:hAnsiTheme="majorHAnsi" w:cstheme="majorHAnsi"/>
                <w:color w:val="000000"/>
              </w:rPr>
            </w:pPr>
          </w:p>
        </w:tc>
        <w:tc>
          <w:tcPr>
            <w:tcW w:w="6641" w:type="dxa"/>
            <w:tcBorders>
              <w:top w:val="single" w:sz="4" w:space="0" w:color="auto"/>
              <w:left w:val="single" w:sz="4" w:space="0" w:color="auto"/>
              <w:bottom w:val="single" w:sz="4" w:space="0" w:color="auto"/>
            </w:tcBorders>
            <w:shd w:val="clear" w:color="auto" w:fill="F2F2F2" w:themeFill="background1" w:themeFillShade="F2"/>
          </w:tcPr>
          <w:p w14:paraId="47F91D3C" w14:textId="77777777" w:rsidR="000E4FCE" w:rsidRPr="00861634" w:rsidRDefault="000E4FCE" w:rsidP="00DB5189">
            <w:pPr>
              <w:autoSpaceDE w:val="0"/>
              <w:autoSpaceDN w:val="0"/>
              <w:adjustRightInd w:val="0"/>
              <w:spacing w:line="360" w:lineRule="auto"/>
              <w:rPr>
                <w:rFonts w:asciiTheme="majorHAnsi" w:hAnsiTheme="majorHAnsi" w:cstheme="majorHAnsi"/>
                <w:color w:val="000000"/>
              </w:rPr>
            </w:pPr>
          </w:p>
        </w:tc>
      </w:tr>
      <w:tr w:rsidR="000E4FCE" w:rsidRPr="00861634" w14:paraId="48DB1CD9" w14:textId="77777777" w:rsidTr="00DB5189">
        <w:trPr>
          <w:trHeight w:val="828"/>
        </w:trPr>
        <w:tc>
          <w:tcPr>
            <w:tcW w:w="2455" w:type="dxa"/>
            <w:tcBorders>
              <w:top w:val="single" w:sz="4" w:space="0" w:color="auto"/>
              <w:bottom w:val="single" w:sz="4" w:space="0" w:color="auto"/>
              <w:right w:val="single" w:sz="4" w:space="0" w:color="auto"/>
            </w:tcBorders>
            <w:shd w:val="clear" w:color="auto" w:fill="D9D9D9" w:themeFill="background1" w:themeFillShade="D9"/>
          </w:tcPr>
          <w:p w14:paraId="3F724539" w14:textId="15BF6DFF" w:rsidR="000E4FCE" w:rsidRPr="00861634" w:rsidRDefault="000E4FCE" w:rsidP="00DB5189">
            <w:pPr>
              <w:autoSpaceDE w:val="0"/>
              <w:autoSpaceDN w:val="0"/>
              <w:adjustRightInd w:val="0"/>
              <w:spacing w:line="360" w:lineRule="auto"/>
              <w:rPr>
                <w:rFonts w:asciiTheme="majorHAnsi" w:hAnsiTheme="majorHAnsi" w:cstheme="majorHAnsi"/>
                <w:color w:val="000000"/>
              </w:rPr>
            </w:pPr>
          </w:p>
        </w:tc>
        <w:tc>
          <w:tcPr>
            <w:tcW w:w="6641" w:type="dxa"/>
            <w:tcBorders>
              <w:top w:val="single" w:sz="4" w:space="0" w:color="auto"/>
              <w:left w:val="single" w:sz="4" w:space="0" w:color="auto"/>
              <w:bottom w:val="single" w:sz="4" w:space="0" w:color="auto"/>
            </w:tcBorders>
            <w:shd w:val="clear" w:color="auto" w:fill="F2F2F2" w:themeFill="background1" w:themeFillShade="F2"/>
          </w:tcPr>
          <w:p w14:paraId="1DD67F37" w14:textId="77777777" w:rsidR="000E4FCE" w:rsidRPr="00861634" w:rsidRDefault="000E4FCE" w:rsidP="00DB5189">
            <w:pPr>
              <w:autoSpaceDE w:val="0"/>
              <w:autoSpaceDN w:val="0"/>
              <w:adjustRightInd w:val="0"/>
              <w:spacing w:line="360" w:lineRule="auto"/>
              <w:rPr>
                <w:rFonts w:asciiTheme="majorHAnsi" w:hAnsiTheme="majorHAnsi" w:cstheme="majorHAnsi"/>
                <w:color w:val="000000"/>
              </w:rPr>
            </w:pPr>
          </w:p>
        </w:tc>
      </w:tr>
    </w:tbl>
    <w:p w14:paraId="2CFE3908" w14:textId="77777777" w:rsidR="000E4FCE" w:rsidRDefault="000E4FCE">
      <w:pPr>
        <w:pStyle w:val="Heading1"/>
        <w:rPr>
          <w:sz w:val="24"/>
          <w:szCs w:val="24"/>
          <w:u w:val="single"/>
        </w:rPr>
      </w:pPr>
    </w:p>
    <w:p w14:paraId="228012D7" w14:textId="77777777" w:rsidR="00D151FE" w:rsidRDefault="00D151FE" w:rsidP="00D151FE"/>
    <w:p w14:paraId="265F914E" w14:textId="77777777" w:rsidR="00D151FE" w:rsidRDefault="00D151FE" w:rsidP="00D151FE">
      <w:pPr>
        <w:rPr>
          <w:sz w:val="20"/>
          <w:szCs w:val="20"/>
        </w:rPr>
      </w:pPr>
      <w:r>
        <w:rPr>
          <w:b/>
          <w:sz w:val="20"/>
          <w:szCs w:val="20"/>
        </w:rPr>
        <w:t>Keywords</w:t>
      </w:r>
      <w:r>
        <w:rPr>
          <w:sz w:val="20"/>
          <w:szCs w:val="20"/>
        </w:rPr>
        <w:t>: interprofessional education, collaborative practice, strategy development, health and social care training</w:t>
      </w:r>
    </w:p>
    <w:p w14:paraId="574BFFE0" w14:textId="5401DA88" w:rsidR="00007CDF" w:rsidRDefault="00D31BC9">
      <w:pPr>
        <w:pStyle w:val="Heading1"/>
        <w:rPr>
          <w:sz w:val="24"/>
          <w:szCs w:val="24"/>
          <w:u w:val="single"/>
        </w:rPr>
      </w:pPr>
      <w:r>
        <w:rPr>
          <w:sz w:val="24"/>
          <w:szCs w:val="24"/>
          <w:u w:val="single"/>
        </w:rPr>
        <w:t>Title: Developing strategy to guide interprofessional education (IPE)</w:t>
      </w:r>
    </w:p>
    <w:p w14:paraId="574BFFE9" w14:textId="77777777" w:rsidR="00007CDF" w:rsidRDefault="00007CDF"/>
    <w:p w14:paraId="5060B24F" w14:textId="77777777" w:rsidR="001C3909" w:rsidRDefault="001C3909">
      <w:pPr>
        <w:rPr>
          <w:rFonts w:ascii="Calibri" w:eastAsia="Calibri" w:hAnsi="Calibri" w:cs="Calibri"/>
          <w:b/>
          <w:i/>
          <w:sz w:val="22"/>
          <w:szCs w:val="22"/>
        </w:rPr>
      </w:pPr>
      <w:r>
        <w:rPr>
          <w:rFonts w:ascii="Calibri" w:eastAsia="Calibri" w:hAnsi="Calibri" w:cs="Calibri"/>
          <w:b/>
          <w:i/>
          <w:sz w:val="22"/>
          <w:szCs w:val="22"/>
        </w:rPr>
        <w:t>Standfirst:</w:t>
      </w:r>
    </w:p>
    <w:p w14:paraId="574BFFEA" w14:textId="36D8D035" w:rsidR="00007CDF" w:rsidRDefault="00D31BC9">
      <w:pPr>
        <w:rPr>
          <w:rFonts w:ascii="Calibri" w:eastAsia="Calibri" w:hAnsi="Calibri" w:cs="Calibri"/>
          <w:bCs/>
          <w:iCs/>
          <w:sz w:val="22"/>
          <w:szCs w:val="22"/>
        </w:rPr>
      </w:pPr>
      <w:r w:rsidRPr="005615B6">
        <w:rPr>
          <w:rFonts w:ascii="Calibri" w:eastAsia="Calibri" w:hAnsi="Calibri" w:cs="Calibri"/>
          <w:bCs/>
          <w:iCs/>
          <w:sz w:val="22"/>
          <w:szCs w:val="22"/>
        </w:rPr>
        <w:t xml:space="preserve">In UK </w:t>
      </w:r>
      <w:r w:rsidR="005615B6" w:rsidRPr="005615B6">
        <w:rPr>
          <w:rFonts w:ascii="Calibri" w:eastAsia="Calibri" w:hAnsi="Calibri" w:cs="Calibri"/>
          <w:bCs/>
          <w:iCs/>
          <w:sz w:val="22"/>
          <w:szCs w:val="22"/>
        </w:rPr>
        <w:t>h</w:t>
      </w:r>
      <w:r w:rsidRPr="005615B6">
        <w:rPr>
          <w:rFonts w:ascii="Calibri" w:eastAsia="Calibri" w:hAnsi="Calibri" w:cs="Calibri"/>
          <w:bCs/>
          <w:iCs/>
          <w:sz w:val="22"/>
          <w:szCs w:val="22"/>
        </w:rPr>
        <w:t xml:space="preserve">igher </w:t>
      </w:r>
      <w:r w:rsidR="005615B6" w:rsidRPr="005615B6">
        <w:rPr>
          <w:rFonts w:ascii="Calibri" w:eastAsia="Calibri" w:hAnsi="Calibri" w:cs="Calibri"/>
          <w:bCs/>
          <w:iCs/>
          <w:sz w:val="22"/>
          <w:szCs w:val="22"/>
        </w:rPr>
        <w:t>e</w:t>
      </w:r>
      <w:r w:rsidRPr="005615B6">
        <w:rPr>
          <w:rFonts w:ascii="Calibri" w:eastAsia="Calibri" w:hAnsi="Calibri" w:cs="Calibri"/>
          <w:bCs/>
          <w:iCs/>
          <w:sz w:val="22"/>
          <w:szCs w:val="22"/>
        </w:rPr>
        <w:t>ducation, strategy is needed to guide interprofessional education to improve collaborative practice</w:t>
      </w:r>
    </w:p>
    <w:p w14:paraId="6980D941" w14:textId="77777777" w:rsidR="00B50105" w:rsidRDefault="00B50105">
      <w:pPr>
        <w:rPr>
          <w:rFonts w:ascii="Calibri" w:eastAsia="Calibri" w:hAnsi="Calibri" w:cs="Calibri"/>
          <w:bCs/>
          <w:iCs/>
          <w:sz w:val="22"/>
          <w:szCs w:val="22"/>
        </w:rPr>
      </w:pPr>
    </w:p>
    <w:p w14:paraId="01A7947D" w14:textId="373746EE" w:rsidR="00C56EDC" w:rsidRDefault="00B526B3" w:rsidP="00C56EDC">
      <w:pPr>
        <w:tabs>
          <w:tab w:val="left" w:pos="1335"/>
        </w:tabs>
        <w:jc w:val="both"/>
        <w:rPr>
          <w:rFonts w:ascii="Calibri" w:eastAsia="Calibri" w:hAnsi="Calibri" w:cs="Calibri"/>
          <w:b/>
          <w:sz w:val="20"/>
          <w:szCs w:val="20"/>
        </w:rPr>
      </w:pPr>
      <w:r>
        <w:rPr>
          <w:rFonts w:ascii="Calibri" w:eastAsia="Calibri" w:hAnsi="Calibri" w:cs="Calibri"/>
          <w:b/>
          <w:sz w:val="20"/>
          <w:szCs w:val="20"/>
        </w:rPr>
        <w:t xml:space="preserve">In this </w:t>
      </w:r>
      <w:r w:rsidR="00B37E8A">
        <w:rPr>
          <w:rFonts w:ascii="Calibri" w:eastAsia="Calibri" w:hAnsi="Calibri" w:cs="Calibri"/>
          <w:b/>
          <w:sz w:val="20"/>
          <w:szCs w:val="20"/>
        </w:rPr>
        <w:t>article</w:t>
      </w:r>
    </w:p>
    <w:p w14:paraId="002BA001" w14:textId="77777777" w:rsidR="005615B6" w:rsidRDefault="005615B6" w:rsidP="00C56EDC">
      <w:pPr>
        <w:tabs>
          <w:tab w:val="left" w:pos="1335"/>
        </w:tabs>
        <w:jc w:val="both"/>
        <w:rPr>
          <w:rFonts w:ascii="Calibri" w:eastAsia="Calibri" w:hAnsi="Calibri" w:cs="Calibri"/>
          <w:b/>
          <w:sz w:val="20"/>
          <w:szCs w:val="20"/>
        </w:rPr>
      </w:pPr>
    </w:p>
    <w:p w14:paraId="7D46724C" w14:textId="3F01D35E" w:rsidR="005615B6" w:rsidRPr="005615B6" w:rsidRDefault="00131E8D" w:rsidP="005615B6">
      <w:pPr>
        <w:pStyle w:val="ListParagraph"/>
        <w:numPr>
          <w:ilvl w:val="0"/>
          <w:numId w:val="4"/>
        </w:numPr>
        <w:tabs>
          <w:tab w:val="left" w:pos="1335"/>
        </w:tabs>
        <w:jc w:val="both"/>
        <w:rPr>
          <w:rFonts w:ascii="Calibri" w:eastAsia="Calibri" w:hAnsi="Calibri" w:cs="Calibri"/>
          <w:bCs/>
          <w:sz w:val="20"/>
          <w:szCs w:val="20"/>
        </w:rPr>
      </w:pPr>
      <w:r>
        <w:rPr>
          <w:rFonts w:ascii="Calibri" w:eastAsia="Calibri" w:hAnsi="Calibri" w:cs="Calibri"/>
          <w:bCs/>
          <w:sz w:val="20"/>
          <w:szCs w:val="20"/>
        </w:rPr>
        <w:lastRenderedPageBreak/>
        <w:t xml:space="preserve">Interprofessional education </w:t>
      </w:r>
      <w:r w:rsidR="002234EC">
        <w:rPr>
          <w:rFonts w:ascii="Calibri" w:eastAsia="Calibri" w:hAnsi="Calibri" w:cs="Calibri"/>
          <w:sz w:val="20"/>
          <w:szCs w:val="20"/>
        </w:rPr>
        <w:t>can help students</w:t>
      </w:r>
      <w:r>
        <w:rPr>
          <w:rFonts w:ascii="Calibri" w:eastAsia="Calibri" w:hAnsi="Calibri" w:cs="Calibri"/>
          <w:sz w:val="20"/>
          <w:szCs w:val="20"/>
        </w:rPr>
        <w:t xml:space="preserve"> work well together in teams</w:t>
      </w:r>
    </w:p>
    <w:p w14:paraId="5A0B22BD" w14:textId="73B82A8E" w:rsidR="005615B6" w:rsidRPr="005615B6" w:rsidRDefault="00131E8D" w:rsidP="005615B6">
      <w:pPr>
        <w:pStyle w:val="ListParagraph"/>
        <w:numPr>
          <w:ilvl w:val="0"/>
          <w:numId w:val="4"/>
        </w:numPr>
        <w:tabs>
          <w:tab w:val="left" w:pos="1335"/>
        </w:tabs>
        <w:jc w:val="both"/>
        <w:rPr>
          <w:rFonts w:ascii="Calibri" w:eastAsia="Calibri" w:hAnsi="Calibri" w:cs="Calibri"/>
          <w:bCs/>
          <w:sz w:val="20"/>
          <w:szCs w:val="20"/>
        </w:rPr>
      </w:pPr>
      <w:r>
        <w:rPr>
          <w:rFonts w:ascii="Calibri" w:eastAsia="Calibri" w:hAnsi="Calibri" w:cs="Calibri"/>
          <w:bCs/>
          <w:sz w:val="20"/>
          <w:szCs w:val="20"/>
        </w:rPr>
        <w:t>It needs to be planned, purposeful and sustained to be effective</w:t>
      </w:r>
    </w:p>
    <w:p w14:paraId="7B9255D7" w14:textId="4A98BADA" w:rsidR="005615B6" w:rsidRPr="005615B6" w:rsidRDefault="00973763" w:rsidP="005615B6">
      <w:pPr>
        <w:pStyle w:val="ListParagraph"/>
        <w:numPr>
          <w:ilvl w:val="0"/>
          <w:numId w:val="4"/>
        </w:numPr>
        <w:tabs>
          <w:tab w:val="left" w:pos="1335"/>
        </w:tabs>
        <w:jc w:val="both"/>
        <w:rPr>
          <w:rFonts w:ascii="Calibri" w:eastAsia="Calibri" w:hAnsi="Calibri" w:cs="Calibri"/>
          <w:bCs/>
          <w:sz w:val="20"/>
          <w:szCs w:val="20"/>
        </w:rPr>
      </w:pPr>
      <w:r>
        <w:rPr>
          <w:rFonts w:ascii="Calibri" w:eastAsia="Calibri" w:hAnsi="Calibri" w:cs="Calibri"/>
          <w:bCs/>
          <w:sz w:val="20"/>
          <w:szCs w:val="20"/>
        </w:rPr>
        <w:t>A strategy is essential to</w:t>
      </w:r>
      <w:r w:rsidR="00964DFF">
        <w:rPr>
          <w:rFonts w:ascii="Calibri" w:eastAsia="Calibri" w:hAnsi="Calibri" w:cs="Calibri"/>
          <w:bCs/>
          <w:sz w:val="20"/>
          <w:szCs w:val="20"/>
        </w:rPr>
        <w:t xml:space="preserve"> imp</w:t>
      </w:r>
      <w:r w:rsidR="005E5072">
        <w:rPr>
          <w:rFonts w:ascii="Calibri" w:eastAsia="Calibri" w:hAnsi="Calibri" w:cs="Calibri"/>
          <w:bCs/>
          <w:sz w:val="20"/>
          <w:szCs w:val="20"/>
        </w:rPr>
        <w:t>lement</w:t>
      </w:r>
      <w:r w:rsidR="00964DFF">
        <w:rPr>
          <w:rFonts w:ascii="Calibri" w:eastAsia="Calibri" w:hAnsi="Calibri" w:cs="Calibri"/>
          <w:bCs/>
          <w:sz w:val="20"/>
          <w:szCs w:val="20"/>
        </w:rPr>
        <w:t xml:space="preserve"> i</w:t>
      </w:r>
      <w:r>
        <w:rPr>
          <w:rFonts w:ascii="Calibri" w:eastAsia="Calibri" w:hAnsi="Calibri" w:cs="Calibri"/>
          <w:bCs/>
          <w:sz w:val="20"/>
          <w:szCs w:val="20"/>
        </w:rPr>
        <w:t>nter</w:t>
      </w:r>
      <w:r w:rsidR="009C0079">
        <w:rPr>
          <w:rFonts w:ascii="Calibri" w:eastAsia="Calibri" w:hAnsi="Calibri" w:cs="Calibri"/>
          <w:bCs/>
          <w:sz w:val="20"/>
          <w:szCs w:val="20"/>
        </w:rPr>
        <w:t>professional education</w:t>
      </w:r>
      <w:r w:rsidR="005E5072">
        <w:rPr>
          <w:rFonts w:ascii="Calibri" w:eastAsia="Calibri" w:hAnsi="Calibri" w:cs="Calibri"/>
          <w:bCs/>
          <w:sz w:val="20"/>
          <w:szCs w:val="20"/>
        </w:rPr>
        <w:t xml:space="preserve"> across</w:t>
      </w:r>
      <w:r w:rsidR="00964DFF">
        <w:rPr>
          <w:rFonts w:ascii="Calibri" w:eastAsia="Calibri" w:hAnsi="Calibri" w:cs="Calibri"/>
          <w:bCs/>
          <w:sz w:val="20"/>
          <w:szCs w:val="20"/>
        </w:rPr>
        <w:t xml:space="preserve"> </w:t>
      </w:r>
      <w:r w:rsidR="00B35362">
        <w:rPr>
          <w:rFonts w:ascii="Calibri" w:eastAsia="Calibri" w:hAnsi="Calibri" w:cs="Calibri"/>
          <w:bCs/>
          <w:sz w:val="20"/>
          <w:szCs w:val="20"/>
        </w:rPr>
        <w:t>a range of student programmes</w:t>
      </w:r>
    </w:p>
    <w:p w14:paraId="3A602F0D" w14:textId="77777777" w:rsidR="00B37E8A" w:rsidRDefault="00B37E8A" w:rsidP="00B37E8A">
      <w:pPr>
        <w:tabs>
          <w:tab w:val="left" w:pos="1335"/>
        </w:tabs>
        <w:jc w:val="both"/>
        <w:rPr>
          <w:rFonts w:ascii="Calibri" w:eastAsia="Calibri" w:hAnsi="Calibri" w:cs="Calibri"/>
          <w:bCs/>
          <w:sz w:val="20"/>
          <w:szCs w:val="20"/>
        </w:rPr>
      </w:pPr>
    </w:p>
    <w:p w14:paraId="5C11519C" w14:textId="77777777" w:rsidR="00B37E8A" w:rsidRDefault="00B37E8A" w:rsidP="00B37E8A">
      <w:pPr>
        <w:tabs>
          <w:tab w:val="left" w:pos="1335"/>
        </w:tabs>
        <w:rPr>
          <w:rFonts w:ascii="Calibri" w:eastAsia="Calibri" w:hAnsi="Calibri" w:cs="Calibri"/>
          <w:b/>
          <w:sz w:val="20"/>
          <w:szCs w:val="20"/>
        </w:rPr>
      </w:pPr>
      <w:r>
        <w:rPr>
          <w:rFonts w:ascii="Calibri" w:eastAsia="Calibri" w:hAnsi="Calibri" w:cs="Calibri"/>
          <w:b/>
          <w:sz w:val="20"/>
          <w:szCs w:val="20"/>
        </w:rPr>
        <w:t>Key points</w:t>
      </w:r>
    </w:p>
    <w:p w14:paraId="1F74B4C7" w14:textId="77777777" w:rsidR="00B37E8A" w:rsidRDefault="00B37E8A" w:rsidP="00B37E8A">
      <w:pPr>
        <w:tabs>
          <w:tab w:val="left" w:pos="1335"/>
        </w:tabs>
        <w:rPr>
          <w:rFonts w:ascii="Calibri" w:eastAsia="Calibri" w:hAnsi="Calibri" w:cs="Calibri"/>
          <w:sz w:val="20"/>
          <w:szCs w:val="20"/>
        </w:rPr>
      </w:pPr>
    </w:p>
    <w:p w14:paraId="5B47F2D5" w14:textId="50835A3B" w:rsidR="00B37E8A" w:rsidRDefault="00B37E8A" w:rsidP="00B37E8A">
      <w:pPr>
        <w:numPr>
          <w:ilvl w:val="0"/>
          <w:numId w:val="3"/>
        </w:numPr>
        <w:pBdr>
          <w:top w:val="nil"/>
          <w:left w:val="nil"/>
          <w:bottom w:val="nil"/>
          <w:right w:val="nil"/>
          <w:between w:val="nil"/>
        </w:pBdr>
        <w:tabs>
          <w:tab w:val="left" w:pos="1335"/>
        </w:tabs>
        <w:rPr>
          <w:rFonts w:ascii="Calibri" w:eastAsia="Calibri" w:hAnsi="Calibri" w:cs="Calibri"/>
          <w:color w:val="000000"/>
          <w:sz w:val="20"/>
          <w:szCs w:val="20"/>
        </w:rPr>
      </w:pPr>
      <w:r>
        <w:rPr>
          <w:rFonts w:ascii="Calibri" w:eastAsia="Calibri" w:hAnsi="Calibri" w:cs="Calibri"/>
          <w:color w:val="000000"/>
          <w:sz w:val="20"/>
          <w:szCs w:val="20"/>
        </w:rPr>
        <w:t xml:space="preserve">Students need to be ‘collaborative practice ready’ to join the workforce and </w:t>
      </w:r>
      <w:r w:rsidR="004404DD">
        <w:rPr>
          <w:rFonts w:ascii="Calibri" w:eastAsia="Calibri" w:hAnsi="Calibri" w:cs="Calibri"/>
          <w:color w:val="000000"/>
          <w:sz w:val="20"/>
          <w:szCs w:val="20"/>
        </w:rPr>
        <w:t xml:space="preserve">interprofessional education is </w:t>
      </w:r>
      <w:r>
        <w:rPr>
          <w:rFonts w:ascii="Calibri" w:eastAsia="Calibri" w:hAnsi="Calibri" w:cs="Calibri"/>
          <w:color w:val="000000"/>
          <w:sz w:val="20"/>
          <w:szCs w:val="20"/>
        </w:rPr>
        <w:t>a way to achieve this</w:t>
      </w:r>
    </w:p>
    <w:p w14:paraId="723BCC96" w14:textId="31F3E0B2" w:rsidR="00B37E8A" w:rsidRDefault="008243A2" w:rsidP="00B37E8A">
      <w:pPr>
        <w:numPr>
          <w:ilvl w:val="0"/>
          <w:numId w:val="3"/>
        </w:numPr>
        <w:pBdr>
          <w:top w:val="nil"/>
          <w:left w:val="nil"/>
          <w:bottom w:val="nil"/>
          <w:right w:val="nil"/>
          <w:between w:val="nil"/>
        </w:pBdr>
        <w:tabs>
          <w:tab w:val="left" w:pos="1335"/>
        </w:tabs>
        <w:rPr>
          <w:rFonts w:ascii="Calibri" w:eastAsia="Calibri" w:hAnsi="Calibri" w:cs="Calibri"/>
          <w:color w:val="000000"/>
          <w:sz w:val="20"/>
          <w:szCs w:val="20"/>
        </w:rPr>
      </w:pPr>
      <w:r>
        <w:rPr>
          <w:rFonts w:ascii="Calibri" w:eastAsia="Calibri" w:hAnsi="Calibri" w:cs="Calibri"/>
          <w:color w:val="000000"/>
          <w:sz w:val="20"/>
          <w:szCs w:val="20"/>
        </w:rPr>
        <w:t>Interprofessional education</w:t>
      </w:r>
      <w:r w:rsidR="00B37E8A">
        <w:rPr>
          <w:rFonts w:ascii="Calibri" w:eastAsia="Calibri" w:hAnsi="Calibri" w:cs="Calibri"/>
          <w:color w:val="000000"/>
          <w:sz w:val="20"/>
          <w:szCs w:val="20"/>
        </w:rPr>
        <w:t xml:space="preserve"> is complex to design, implement and evaluate</w:t>
      </w:r>
    </w:p>
    <w:p w14:paraId="7B249651" w14:textId="12F82A74" w:rsidR="00B37E8A" w:rsidRDefault="00B37E8A" w:rsidP="00B37E8A">
      <w:pPr>
        <w:numPr>
          <w:ilvl w:val="0"/>
          <w:numId w:val="3"/>
        </w:numPr>
        <w:pBdr>
          <w:top w:val="nil"/>
          <w:left w:val="nil"/>
          <w:bottom w:val="nil"/>
          <w:right w:val="nil"/>
          <w:between w:val="nil"/>
        </w:pBdr>
        <w:tabs>
          <w:tab w:val="left" w:pos="1335"/>
        </w:tabs>
        <w:rPr>
          <w:rFonts w:ascii="Calibri" w:eastAsia="Calibri" w:hAnsi="Calibri" w:cs="Calibri"/>
          <w:color w:val="000000"/>
          <w:sz w:val="20"/>
          <w:szCs w:val="20"/>
        </w:rPr>
      </w:pPr>
      <w:r>
        <w:rPr>
          <w:rFonts w:ascii="Calibri" w:eastAsia="Calibri" w:hAnsi="Calibri" w:cs="Calibri"/>
          <w:color w:val="000000"/>
          <w:sz w:val="20"/>
          <w:szCs w:val="20"/>
        </w:rPr>
        <w:t>A</w:t>
      </w:r>
      <w:r w:rsidR="008243A2">
        <w:rPr>
          <w:rFonts w:ascii="Calibri" w:eastAsia="Calibri" w:hAnsi="Calibri" w:cs="Calibri"/>
          <w:color w:val="000000"/>
          <w:sz w:val="20"/>
          <w:szCs w:val="20"/>
        </w:rPr>
        <w:t xml:space="preserve"> </w:t>
      </w:r>
      <w:r w:rsidR="004404DD">
        <w:rPr>
          <w:rFonts w:ascii="Calibri" w:eastAsia="Calibri" w:hAnsi="Calibri" w:cs="Calibri"/>
          <w:color w:val="000000"/>
          <w:sz w:val="20"/>
          <w:szCs w:val="20"/>
        </w:rPr>
        <w:t>s</w:t>
      </w:r>
      <w:r>
        <w:rPr>
          <w:rFonts w:ascii="Calibri" w:eastAsia="Calibri" w:hAnsi="Calibri" w:cs="Calibri"/>
          <w:color w:val="000000"/>
          <w:sz w:val="20"/>
          <w:szCs w:val="20"/>
        </w:rPr>
        <w:t>trategy</w:t>
      </w:r>
      <w:r w:rsidR="009F01A8">
        <w:rPr>
          <w:rFonts w:ascii="Calibri" w:eastAsia="Calibri" w:hAnsi="Calibri" w:cs="Calibri"/>
          <w:color w:val="000000"/>
          <w:sz w:val="20"/>
          <w:szCs w:val="20"/>
        </w:rPr>
        <w:t xml:space="preserve"> that aligns with theory, policy and standards</w:t>
      </w:r>
      <w:r>
        <w:rPr>
          <w:rFonts w:ascii="Calibri" w:eastAsia="Calibri" w:hAnsi="Calibri" w:cs="Calibri"/>
          <w:color w:val="000000"/>
          <w:sz w:val="20"/>
          <w:szCs w:val="20"/>
        </w:rPr>
        <w:t xml:space="preserve"> can frame and guide provision</w:t>
      </w:r>
    </w:p>
    <w:p w14:paraId="4A43F6FF" w14:textId="3D68101F" w:rsidR="00B37E8A" w:rsidRDefault="00684B4B" w:rsidP="00B37E8A">
      <w:pPr>
        <w:numPr>
          <w:ilvl w:val="0"/>
          <w:numId w:val="3"/>
        </w:numPr>
        <w:pBdr>
          <w:top w:val="nil"/>
          <w:left w:val="nil"/>
          <w:bottom w:val="nil"/>
          <w:right w:val="nil"/>
          <w:between w:val="nil"/>
        </w:pBdr>
        <w:tabs>
          <w:tab w:val="left" w:pos="1335"/>
        </w:tabs>
        <w:rPr>
          <w:rFonts w:ascii="Calibri" w:eastAsia="Calibri" w:hAnsi="Calibri" w:cs="Calibri"/>
          <w:color w:val="000000"/>
          <w:sz w:val="20"/>
          <w:szCs w:val="20"/>
        </w:rPr>
      </w:pPr>
      <w:r>
        <w:rPr>
          <w:rFonts w:ascii="Calibri" w:eastAsia="Calibri" w:hAnsi="Calibri" w:cs="Calibri"/>
          <w:color w:val="000000"/>
          <w:sz w:val="20"/>
          <w:szCs w:val="20"/>
        </w:rPr>
        <w:t>Such a s</w:t>
      </w:r>
      <w:r w:rsidR="00B37E8A">
        <w:rPr>
          <w:rFonts w:ascii="Calibri" w:eastAsia="Calibri" w:hAnsi="Calibri" w:cs="Calibri"/>
          <w:color w:val="000000"/>
          <w:sz w:val="20"/>
          <w:szCs w:val="20"/>
        </w:rPr>
        <w:t>trategy needs to be designed with others</w:t>
      </w:r>
      <w:r w:rsidR="00B37E8A">
        <w:rPr>
          <w:rFonts w:ascii="Calibri" w:eastAsia="Calibri" w:hAnsi="Calibri" w:cs="Calibri"/>
          <w:sz w:val="20"/>
          <w:szCs w:val="20"/>
        </w:rPr>
        <w:t xml:space="preserve"> to ensure it meets the needs of all involved</w:t>
      </w:r>
    </w:p>
    <w:p w14:paraId="00ABDB86" w14:textId="77777777" w:rsidR="00B37E8A" w:rsidRPr="00B37E8A" w:rsidRDefault="00B37E8A" w:rsidP="00B37E8A">
      <w:pPr>
        <w:tabs>
          <w:tab w:val="left" w:pos="1335"/>
        </w:tabs>
        <w:jc w:val="both"/>
        <w:rPr>
          <w:rFonts w:ascii="Calibri" w:eastAsia="Calibri" w:hAnsi="Calibri" w:cs="Calibri"/>
          <w:bCs/>
          <w:sz w:val="20"/>
          <w:szCs w:val="20"/>
        </w:rPr>
      </w:pPr>
    </w:p>
    <w:p w14:paraId="2119292E" w14:textId="77777777" w:rsidR="00D151FE" w:rsidRDefault="00D151FE" w:rsidP="00D151FE">
      <w:pPr>
        <w:rPr>
          <w:rFonts w:ascii="Calibri" w:eastAsia="Calibri" w:hAnsi="Calibri" w:cs="Calibri"/>
          <w:b/>
          <w:sz w:val="22"/>
          <w:szCs w:val="22"/>
        </w:rPr>
      </w:pPr>
    </w:p>
    <w:p w14:paraId="35FBD675" w14:textId="309D642F" w:rsidR="00D151FE" w:rsidRDefault="00D151FE" w:rsidP="00D151FE">
      <w:pPr>
        <w:rPr>
          <w:rFonts w:ascii="Calibri" w:eastAsia="Calibri" w:hAnsi="Calibri" w:cs="Calibri"/>
          <w:b/>
          <w:sz w:val="22"/>
          <w:szCs w:val="22"/>
        </w:rPr>
      </w:pPr>
      <w:r>
        <w:rPr>
          <w:rFonts w:ascii="Calibri" w:eastAsia="Calibri" w:hAnsi="Calibri" w:cs="Calibri"/>
          <w:b/>
          <w:sz w:val="22"/>
          <w:szCs w:val="22"/>
        </w:rPr>
        <w:t>Authors: Dr Vikki Park and Dr Fiona Cust</w:t>
      </w:r>
    </w:p>
    <w:p w14:paraId="195F237E" w14:textId="77777777" w:rsidR="00D151FE" w:rsidRDefault="00D151FE" w:rsidP="00D151FE">
      <w:pPr>
        <w:rPr>
          <w:sz w:val="20"/>
          <w:szCs w:val="20"/>
        </w:rPr>
      </w:pPr>
      <w:r>
        <w:rPr>
          <w:sz w:val="20"/>
          <w:szCs w:val="20"/>
        </w:rPr>
        <w:t xml:space="preserve">Dr Vikki Park, HE </w:t>
      </w:r>
      <w:proofErr w:type="gramStart"/>
      <w:r>
        <w:rPr>
          <w:sz w:val="20"/>
          <w:szCs w:val="20"/>
        </w:rPr>
        <w:t>Teaching</w:t>
      </w:r>
      <w:proofErr w:type="gramEnd"/>
      <w:r>
        <w:rPr>
          <w:sz w:val="20"/>
          <w:szCs w:val="20"/>
        </w:rPr>
        <w:t xml:space="preserve"> and Excellence Lead, NCG and CAIPE National Board Member &amp; Research Priority Group Lead.</w:t>
      </w:r>
    </w:p>
    <w:p w14:paraId="71E15C35" w14:textId="77777777" w:rsidR="00D151FE" w:rsidRDefault="00D151FE" w:rsidP="00D151FE">
      <w:pPr>
        <w:rPr>
          <w:color w:val="4472C4"/>
          <w:sz w:val="20"/>
          <w:szCs w:val="20"/>
        </w:rPr>
      </w:pPr>
      <w:hyperlink r:id="rId9">
        <w:r>
          <w:rPr>
            <w:color w:val="4472C4"/>
            <w:sz w:val="20"/>
            <w:szCs w:val="20"/>
            <w:u w:val="single"/>
          </w:rPr>
          <w:t>Vikki.park@caipe.org</w:t>
        </w:r>
      </w:hyperlink>
      <w:r>
        <w:rPr>
          <w:color w:val="4472C4"/>
          <w:sz w:val="20"/>
          <w:szCs w:val="20"/>
        </w:rPr>
        <w:t xml:space="preserve"> </w:t>
      </w:r>
    </w:p>
    <w:p w14:paraId="6D9B495F" w14:textId="722995AC" w:rsidR="00D151FE" w:rsidRDefault="00D151FE" w:rsidP="00D151FE">
      <w:pPr>
        <w:rPr>
          <w:sz w:val="20"/>
          <w:szCs w:val="20"/>
        </w:rPr>
      </w:pPr>
      <w:r>
        <w:rPr>
          <w:sz w:val="20"/>
          <w:szCs w:val="20"/>
        </w:rPr>
        <w:t xml:space="preserve">Dr Fiona Cust, Associate Professor in Children’s Nursing and Collaborative Practice, </w:t>
      </w:r>
      <w:r w:rsidR="00BA11A8">
        <w:rPr>
          <w:sz w:val="20"/>
          <w:szCs w:val="20"/>
        </w:rPr>
        <w:t xml:space="preserve">University of </w:t>
      </w:r>
      <w:r>
        <w:rPr>
          <w:sz w:val="20"/>
          <w:szCs w:val="20"/>
        </w:rPr>
        <w:t>Staffordshire.</w:t>
      </w:r>
    </w:p>
    <w:p w14:paraId="795AC5E8" w14:textId="77777777" w:rsidR="00D151FE" w:rsidRDefault="00D151FE" w:rsidP="00D151FE">
      <w:pPr>
        <w:rPr>
          <w:color w:val="4472C4"/>
          <w:sz w:val="20"/>
          <w:szCs w:val="20"/>
          <w:u w:val="single"/>
        </w:rPr>
      </w:pPr>
      <w:r>
        <w:rPr>
          <w:color w:val="4472C4"/>
          <w:sz w:val="20"/>
          <w:szCs w:val="20"/>
          <w:u w:val="single"/>
        </w:rPr>
        <w:t>Fiona.Cust@staffs.ac.uk</w:t>
      </w:r>
    </w:p>
    <w:p w14:paraId="2A8E4FF0" w14:textId="77777777" w:rsidR="00D151FE" w:rsidRDefault="00D151FE">
      <w:pPr>
        <w:tabs>
          <w:tab w:val="left" w:pos="1335"/>
        </w:tabs>
        <w:jc w:val="both"/>
        <w:rPr>
          <w:rFonts w:ascii="Calibri" w:eastAsia="Calibri" w:hAnsi="Calibri" w:cs="Calibri"/>
          <w:b/>
          <w:sz w:val="20"/>
          <w:szCs w:val="20"/>
        </w:rPr>
      </w:pPr>
    </w:p>
    <w:p w14:paraId="574BFFEC" w14:textId="190D33F0" w:rsidR="00007CDF" w:rsidRDefault="00D31BC9">
      <w:pPr>
        <w:tabs>
          <w:tab w:val="left" w:pos="1335"/>
        </w:tabs>
        <w:jc w:val="both"/>
        <w:rPr>
          <w:rFonts w:ascii="Calibri" w:eastAsia="Calibri" w:hAnsi="Calibri" w:cs="Calibri"/>
          <w:sz w:val="20"/>
          <w:szCs w:val="20"/>
        </w:rPr>
      </w:pPr>
      <w:r>
        <w:rPr>
          <w:rFonts w:ascii="Calibri" w:eastAsia="Calibri" w:hAnsi="Calibri" w:cs="Calibri"/>
          <w:b/>
          <w:sz w:val="20"/>
          <w:szCs w:val="20"/>
        </w:rPr>
        <w:t>Abstract</w:t>
      </w:r>
    </w:p>
    <w:p w14:paraId="574BFFED" w14:textId="538A3C13" w:rsidR="00007CDF" w:rsidRDefault="00D31BC9">
      <w:pPr>
        <w:tabs>
          <w:tab w:val="left" w:pos="1335"/>
        </w:tabs>
        <w:jc w:val="both"/>
        <w:rPr>
          <w:rFonts w:ascii="Calibri" w:eastAsia="Calibri" w:hAnsi="Calibri" w:cs="Calibri"/>
          <w:sz w:val="20"/>
          <w:szCs w:val="20"/>
        </w:rPr>
      </w:pPr>
      <w:r>
        <w:rPr>
          <w:rFonts w:ascii="Calibri" w:eastAsia="Calibri" w:hAnsi="Calibri" w:cs="Calibri"/>
          <w:sz w:val="20"/>
          <w:szCs w:val="20"/>
        </w:rPr>
        <w:t xml:space="preserve">Students in health and social care programmes need to develop competence to work and learn together in effective interprofessional teams. Interprofessional education (IPE) is an approach used to prepare students for the realities of practice, to help them to become safe, inclusive and collaborative professionals who put the patient at the centre of the care team. Designing, delivering and evaluating IPE across many student programmes is complex. Having an IPE strategy helps to plan this type of education, and this article discusses how two nursing academics have collaborated, developed and implemented IPE </w:t>
      </w:r>
      <w:r w:rsidR="005E5072">
        <w:rPr>
          <w:rFonts w:ascii="Calibri" w:eastAsia="Calibri" w:hAnsi="Calibri" w:cs="Calibri"/>
          <w:sz w:val="20"/>
          <w:szCs w:val="20"/>
        </w:rPr>
        <w:t>s</w:t>
      </w:r>
      <w:r>
        <w:rPr>
          <w:rFonts w:ascii="Calibri" w:eastAsia="Calibri" w:hAnsi="Calibri" w:cs="Calibri"/>
          <w:sz w:val="20"/>
          <w:szCs w:val="20"/>
        </w:rPr>
        <w:t>trategy into higher education curricula.</w:t>
      </w:r>
    </w:p>
    <w:p w14:paraId="543CD595" w14:textId="77777777" w:rsidR="006B2107" w:rsidRDefault="006B2107">
      <w:pPr>
        <w:tabs>
          <w:tab w:val="left" w:pos="1335"/>
        </w:tabs>
        <w:jc w:val="both"/>
        <w:rPr>
          <w:rFonts w:ascii="Calibri" w:eastAsia="Calibri" w:hAnsi="Calibri" w:cs="Calibri"/>
          <w:sz w:val="20"/>
          <w:szCs w:val="20"/>
        </w:rPr>
      </w:pPr>
    </w:p>
    <w:p w14:paraId="574BFFEE" w14:textId="77777777" w:rsidR="00007CDF" w:rsidRDefault="00007CDF">
      <w:pPr>
        <w:tabs>
          <w:tab w:val="left" w:pos="1335"/>
        </w:tabs>
        <w:jc w:val="both"/>
        <w:rPr>
          <w:rFonts w:ascii="Calibri" w:eastAsia="Calibri" w:hAnsi="Calibri" w:cs="Calibri"/>
          <w:sz w:val="20"/>
          <w:szCs w:val="20"/>
        </w:rPr>
      </w:pPr>
    </w:p>
    <w:p w14:paraId="574BFFEF" w14:textId="77777777" w:rsidR="00007CDF" w:rsidRDefault="00D31BC9">
      <w:pPr>
        <w:tabs>
          <w:tab w:val="left" w:pos="1335"/>
        </w:tabs>
        <w:jc w:val="both"/>
        <w:rPr>
          <w:rFonts w:ascii="Calibri" w:eastAsia="Calibri" w:hAnsi="Calibri" w:cs="Calibri"/>
          <w:b/>
          <w:sz w:val="20"/>
          <w:szCs w:val="20"/>
        </w:rPr>
      </w:pPr>
      <w:r>
        <w:rPr>
          <w:rFonts w:ascii="Calibri" w:eastAsia="Calibri" w:hAnsi="Calibri" w:cs="Calibri"/>
          <w:b/>
          <w:sz w:val="20"/>
          <w:szCs w:val="20"/>
        </w:rPr>
        <w:t xml:space="preserve">Introduction </w:t>
      </w:r>
    </w:p>
    <w:p w14:paraId="574BFFF0" w14:textId="07A930FF" w:rsidR="00007CDF" w:rsidRDefault="00B67D6B">
      <w:pPr>
        <w:tabs>
          <w:tab w:val="left" w:pos="1335"/>
        </w:tabs>
        <w:jc w:val="both"/>
        <w:rPr>
          <w:rFonts w:ascii="Calibri" w:eastAsia="Calibri" w:hAnsi="Calibri" w:cs="Calibri"/>
          <w:sz w:val="20"/>
          <w:szCs w:val="20"/>
        </w:rPr>
      </w:pPr>
      <w:r>
        <w:rPr>
          <w:rFonts w:ascii="Calibri" w:eastAsia="Calibri" w:hAnsi="Calibri" w:cs="Calibri"/>
          <w:sz w:val="20"/>
          <w:szCs w:val="20"/>
        </w:rPr>
        <w:t>I</w:t>
      </w:r>
      <w:r w:rsidR="00D31BC9">
        <w:rPr>
          <w:rFonts w:ascii="Calibri" w:eastAsia="Calibri" w:hAnsi="Calibri" w:cs="Calibri"/>
          <w:sz w:val="20"/>
          <w:szCs w:val="20"/>
        </w:rPr>
        <w:t xml:space="preserve">n the UK and across the world, interprofessional education (IPE) has been recommended to prepare health and social care learners for collaborative practice (World Health Organization (WHO), 2010). IPE is used to prepare students to enter the health and social care workforce to enhance care quality, improve health outcomes and to help them to work well together in teams (van </w:t>
      </w:r>
      <w:proofErr w:type="spellStart"/>
      <w:r w:rsidR="00D31BC9">
        <w:rPr>
          <w:rFonts w:ascii="Calibri" w:eastAsia="Calibri" w:hAnsi="Calibri" w:cs="Calibri"/>
          <w:sz w:val="20"/>
          <w:szCs w:val="20"/>
        </w:rPr>
        <w:t>Diggele</w:t>
      </w:r>
      <w:proofErr w:type="spellEnd"/>
      <w:r w:rsidR="00D31BC9">
        <w:rPr>
          <w:rFonts w:ascii="Calibri" w:eastAsia="Calibri" w:hAnsi="Calibri" w:cs="Calibri"/>
          <w:sz w:val="20"/>
          <w:szCs w:val="20"/>
        </w:rPr>
        <w:t xml:space="preserve"> </w:t>
      </w:r>
      <w:r w:rsidR="00304630">
        <w:rPr>
          <w:rFonts w:ascii="Calibri" w:eastAsia="Calibri" w:hAnsi="Calibri" w:cs="Calibri"/>
          <w:i/>
          <w:sz w:val="20"/>
          <w:szCs w:val="20"/>
        </w:rPr>
        <w:t>et al</w:t>
      </w:r>
      <w:r w:rsidR="00D31BC9">
        <w:rPr>
          <w:rFonts w:ascii="Calibri" w:eastAsia="Calibri" w:hAnsi="Calibri" w:cs="Calibri"/>
          <w:sz w:val="20"/>
          <w:szCs w:val="20"/>
        </w:rPr>
        <w:t>, 2020).</w:t>
      </w:r>
    </w:p>
    <w:p w14:paraId="574BFFF1" w14:textId="77777777" w:rsidR="00007CDF" w:rsidRDefault="00007CDF">
      <w:pPr>
        <w:tabs>
          <w:tab w:val="left" w:pos="1335"/>
        </w:tabs>
        <w:jc w:val="both"/>
        <w:rPr>
          <w:rFonts w:ascii="Calibri" w:eastAsia="Calibri" w:hAnsi="Calibri" w:cs="Calibri"/>
          <w:sz w:val="20"/>
          <w:szCs w:val="20"/>
        </w:rPr>
      </w:pPr>
    </w:p>
    <w:p w14:paraId="574BFFF2" w14:textId="1EBE2E6D" w:rsidR="00007CDF" w:rsidRDefault="00D31BC9">
      <w:pPr>
        <w:tabs>
          <w:tab w:val="left" w:pos="1335"/>
        </w:tabs>
        <w:jc w:val="both"/>
        <w:rPr>
          <w:rFonts w:ascii="Calibri" w:eastAsia="Calibri" w:hAnsi="Calibri" w:cs="Calibri"/>
          <w:sz w:val="20"/>
          <w:szCs w:val="20"/>
        </w:rPr>
      </w:pPr>
      <w:r>
        <w:rPr>
          <w:rFonts w:ascii="Calibri" w:eastAsia="Calibri" w:hAnsi="Calibri" w:cs="Calibri"/>
          <w:sz w:val="20"/>
          <w:szCs w:val="20"/>
        </w:rPr>
        <w:t xml:space="preserve">The Centre for the Advancement of Interprofessional Education (CAIPE, 2016) states that to be effective and to improve collaborative practice, IPE needs to be planned, purposeful, concerted and sustained (CAIPE, 2016). In higher education (HE), it is useful for this type of education to be planned </w:t>
      </w:r>
      <w:proofErr w:type="gramStart"/>
      <w:r>
        <w:rPr>
          <w:rFonts w:ascii="Calibri" w:eastAsia="Calibri" w:hAnsi="Calibri" w:cs="Calibri"/>
          <w:sz w:val="20"/>
          <w:szCs w:val="20"/>
        </w:rPr>
        <w:t>using</w:t>
      </w:r>
      <w:proofErr w:type="gramEnd"/>
      <w:r>
        <w:rPr>
          <w:rFonts w:ascii="Calibri" w:eastAsia="Calibri" w:hAnsi="Calibri" w:cs="Calibri"/>
          <w:sz w:val="20"/>
          <w:szCs w:val="20"/>
        </w:rPr>
        <w:t xml:space="preserve"> an educational strategy. Embedding IPE into curricula provides opportunities to prepare students for interprofessional collaborative practice (Hosny </w:t>
      </w:r>
      <w:r w:rsidR="00304630">
        <w:rPr>
          <w:rFonts w:ascii="Calibri" w:eastAsia="Calibri" w:hAnsi="Calibri" w:cs="Calibri"/>
          <w:i/>
          <w:sz w:val="20"/>
          <w:szCs w:val="20"/>
        </w:rPr>
        <w:t>et al</w:t>
      </w:r>
      <w:r>
        <w:rPr>
          <w:rFonts w:ascii="Calibri" w:eastAsia="Calibri" w:hAnsi="Calibri" w:cs="Calibri"/>
          <w:sz w:val="20"/>
          <w:szCs w:val="20"/>
        </w:rPr>
        <w:t xml:space="preserve">, 2024). It is essential to ensure that IPE is contemporary and fit for purpose to meet requirements for professional registration and as an important part of training, IPE directly impacts care quality and experiences (Power </w:t>
      </w:r>
      <w:r w:rsidR="00304630">
        <w:rPr>
          <w:rFonts w:ascii="Calibri" w:eastAsia="Calibri" w:hAnsi="Calibri" w:cs="Calibri"/>
          <w:i/>
          <w:sz w:val="20"/>
          <w:szCs w:val="20"/>
        </w:rPr>
        <w:t>et al</w:t>
      </w:r>
      <w:r>
        <w:rPr>
          <w:rFonts w:ascii="Calibri" w:eastAsia="Calibri" w:hAnsi="Calibri" w:cs="Calibri"/>
          <w:i/>
          <w:sz w:val="20"/>
          <w:szCs w:val="20"/>
        </w:rPr>
        <w:t>,</w:t>
      </w:r>
      <w:r>
        <w:rPr>
          <w:rFonts w:ascii="Calibri" w:eastAsia="Calibri" w:hAnsi="Calibri" w:cs="Calibri"/>
          <w:sz w:val="20"/>
          <w:szCs w:val="20"/>
        </w:rPr>
        <w:t xml:space="preserve"> 2021). </w:t>
      </w:r>
    </w:p>
    <w:p w14:paraId="574BFFF3" w14:textId="77777777" w:rsidR="00007CDF" w:rsidRDefault="00D31BC9">
      <w:pPr>
        <w:tabs>
          <w:tab w:val="left" w:pos="1335"/>
        </w:tabs>
        <w:rPr>
          <w:rFonts w:ascii="Calibri" w:eastAsia="Calibri" w:hAnsi="Calibri" w:cs="Calibri"/>
          <w:sz w:val="20"/>
          <w:szCs w:val="20"/>
        </w:rPr>
      </w:pPr>
      <w:r>
        <w:rPr>
          <w:rFonts w:ascii="Calibri" w:eastAsia="Calibri" w:hAnsi="Calibri" w:cs="Calibri"/>
          <w:color w:val="FF0000"/>
          <w:sz w:val="20"/>
          <w:szCs w:val="20"/>
        </w:rPr>
        <w:t xml:space="preserve"> </w:t>
      </w:r>
      <w:r>
        <w:rPr>
          <w:rFonts w:ascii="Calibri" w:eastAsia="Calibri" w:hAnsi="Calibri" w:cs="Calibri"/>
          <w:sz w:val="20"/>
          <w:szCs w:val="20"/>
        </w:rPr>
        <w:t xml:space="preserve"> </w:t>
      </w:r>
    </w:p>
    <w:p w14:paraId="574BFFF4" w14:textId="77777777" w:rsidR="00007CDF" w:rsidRDefault="00D31BC9">
      <w:pPr>
        <w:tabs>
          <w:tab w:val="left" w:pos="1335"/>
        </w:tabs>
        <w:jc w:val="both"/>
        <w:rPr>
          <w:rFonts w:ascii="Calibri" w:eastAsia="Calibri" w:hAnsi="Calibri" w:cs="Calibri"/>
          <w:sz w:val="20"/>
          <w:szCs w:val="20"/>
        </w:rPr>
      </w:pPr>
      <w:bookmarkStart w:id="0" w:name="_heading=h.gjdgxs" w:colFirst="0" w:colLast="0"/>
      <w:bookmarkEnd w:id="0"/>
      <w:r>
        <w:rPr>
          <w:rFonts w:ascii="Calibri" w:eastAsia="Calibri" w:hAnsi="Calibri" w:cs="Calibri"/>
          <w:sz w:val="20"/>
          <w:szCs w:val="20"/>
        </w:rPr>
        <w:t xml:space="preserve">Despite the large number of universities now delivering IPE to health and social care students, there is limited guidance available explaining how to plan, implement and evaluate IPE using a strategy. Drawing on our nursing academic leadership of IPE, in this paper we reflect on our experiences of collaborating, leading and guiding educational provision in universities through strategy development and we explore the role that strategy plays to enhance the interprofessional collaborative competence of students.  </w:t>
      </w:r>
    </w:p>
    <w:p w14:paraId="574BFFF5" w14:textId="77777777" w:rsidR="00007CDF" w:rsidRDefault="00007CDF">
      <w:pPr>
        <w:tabs>
          <w:tab w:val="left" w:pos="1335"/>
        </w:tabs>
        <w:jc w:val="both"/>
        <w:rPr>
          <w:rFonts w:ascii="Calibri" w:eastAsia="Calibri" w:hAnsi="Calibri" w:cs="Calibri"/>
          <w:sz w:val="20"/>
          <w:szCs w:val="20"/>
        </w:rPr>
      </w:pPr>
    </w:p>
    <w:p w14:paraId="574BFFF6" w14:textId="77777777" w:rsidR="00007CDF" w:rsidRDefault="00D31BC9">
      <w:pPr>
        <w:tabs>
          <w:tab w:val="left" w:pos="1335"/>
        </w:tabs>
        <w:rPr>
          <w:rFonts w:ascii="Calibri" w:eastAsia="Calibri" w:hAnsi="Calibri" w:cs="Calibri"/>
          <w:b/>
          <w:sz w:val="20"/>
          <w:szCs w:val="20"/>
        </w:rPr>
      </w:pPr>
      <w:r>
        <w:rPr>
          <w:rFonts w:ascii="Calibri" w:eastAsia="Calibri" w:hAnsi="Calibri" w:cs="Calibri"/>
          <w:b/>
          <w:sz w:val="20"/>
          <w:szCs w:val="20"/>
        </w:rPr>
        <w:t>What is IPE?</w:t>
      </w:r>
    </w:p>
    <w:p w14:paraId="574BFFF7" w14:textId="77777777" w:rsidR="00007CDF" w:rsidRDefault="00007CDF">
      <w:pPr>
        <w:tabs>
          <w:tab w:val="left" w:pos="1335"/>
        </w:tabs>
        <w:jc w:val="both"/>
        <w:rPr>
          <w:rFonts w:ascii="Calibri" w:eastAsia="Calibri" w:hAnsi="Calibri" w:cs="Calibri"/>
          <w:sz w:val="20"/>
          <w:szCs w:val="20"/>
        </w:rPr>
      </w:pPr>
    </w:p>
    <w:tbl>
      <w:tblPr>
        <w:tblStyle w:val="a"/>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96"/>
      </w:tblGrid>
      <w:tr w:rsidR="00007CDF" w14:paraId="574C0001" w14:textId="77777777">
        <w:tc>
          <w:tcPr>
            <w:tcW w:w="8296" w:type="dxa"/>
          </w:tcPr>
          <w:p w14:paraId="574BFFF8" w14:textId="77777777" w:rsidR="00007CDF" w:rsidRDefault="00D31BC9">
            <w:pPr>
              <w:tabs>
                <w:tab w:val="left" w:pos="1335"/>
              </w:tabs>
              <w:jc w:val="center"/>
              <w:rPr>
                <w:rFonts w:ascii="Calibri" w:eastAsia="Calibri" w:hAnsi="Calibri" w:cs="Calibri"/>
                <w:b/>
                <w:sz w:val="20"/>
                <w:szCs w:val="20"/>
              </w:rPr>
            </w:pPr>
            <w:r>
              <w:rPr>
                <w:rFonts w:ascii="Calibri" w:eastAsia="Calibri" w:hAnsi="Calibri" w:cs="Calibri"/>
                <w:b/>
                <w:sz w:val="20"/>
                <w:szCs w:val="20"/>
              </w:rPr>
              <w:t>BOX 1</w:t>
            </w:r>
          </w:p>
          <w:p w14:paraId="574BFFF9" w14:textId="77777777" w:rsidR="00007CDF" w:rsidRDefault="00D31BC9">
            <w:pPr>
              <w:tabs>
                <w:tab w:val="left" w:pos="1335"/>
              </w:tabs>
              <w:jc w:val="center"/>
              <w:rPr>
                <w:rFonts w:ascii="Calibri" w:eastAsia="Calibri" w:hAnsi="Calibri" w:cs="Calibri"/>
                <w:sz w:val="20"/>
                <w:szCs w:val="20"/>
              </w:rPr>
            </w:pPr>
            <w:r>
              <w:rPr>
                <w:rFonts w:ascii="Calibri" w:eastAsia="Calibri" w:hAnsi="Calibri" w:cs="Calibri"/>
                <w:sz w:val="20"/>
                <w:szCs w:val="20"/>
              </w:rPr>
              <w:t>Interprofessional education (IPE) refers to:</w:t>
            </w:r>
          </w:p>
          <w:p w14:paraId="574BFFFA" w14:textId="77777777" w:rsidR="00007CDF" w:rsidRDefault="00007CDF">
            <w:pPr>
              <w:tabs>
                <w:tab w:val="left" w:pos="1335"/>
              </w:tabs>
              <w:jc w:val="center"/>
              <w:rPr>
                <w:rFonts w:ascii="Calibri" w:eastAsia="Calibri" w:hAnsi="Calibri" w:cs="Calibri"/>
                <w:sz w:val="20"/>
                <w:szCs w:val="20"/>
              </w:rPr>
            </w:pPr>
          </w:p>
          <w:p w14:paraId="574BFFFB" w14:textId="77777777" w:rsidR="00007CDF" w:rsidRDefault="00D31BC9">
            <w:pPr>
              <w:tabs>
                <w:tab w:val="left" w:pos="1335"/>
              </w:tabs>
              <w:jc w:val="center"/>
              <w:rPr>
                <w:rFonts w:ascii="Calibri" w:eastAsia="Calibri" w:hAnsi="Calibri" w:cs="Calibri"/>
                <w:sz w:val="20"/>
                <w:szCs w:val="20"/>
              </w:rPr>
            </w:pPr>
            <w:r>
              <w:rPr>
                <w:rFonts w:ascii="Calibri" w:eastAsia="Calibri" w:hAnsi="Calibri" w:cs="Calibri"/>
                <w:sz w:val="20"/>
                <w:szCs w:val="20"/>
              </w:rPr>
              <w:t>‘</w:t>
            </w:r>
            <w:proofErr w:type="gramStart"/>
            <w:r>
              <w:rPr>
                <w:rFonts w:ascii="Calibri" w:eastAsia="Calibri" w:hAnsi="Calibri" w:cs="Calibri"/>
                <w:sz w:val="20"/>
                <w:szCs w:val="20"/>
              </w:rPr>
              <w:t>occasions</w:t>
            </w:r>
            <w:proofErr w:type="gramEnd"/>
            <w:r>
              <w:rPr>
                <w:rFonts w:ascii="Calibri" w:eastAsia="Calibri" w:hAnsi="Calibri" w:cs="Calibri"/>
                <w:sz w:val="20"/>
                <w:szCs w:val="20"/>
              </w:rPr>
              <w:t xml:space="preserve"> when members or students of two or more professions learn </w:t>
            </w:r>
          </w:p>
          <w:p w14:paraId="574BFFFC" w14:textId="77777777" w:rsidR="00007CDF" w:rsidRDefault="00D31BC9">
            <w:pPr>
              <w:tabs>
                <w:tab w:val="left" w:pos="1335"/>
              </w:tabs>
              <w:jc w:val="center"/>
              <w:rPr>
                <w:rFonts w:ascii="Calibri" w:eastAsia="Calibri" w:hAnsi="Calibri" w:cs="Calibri"/>
                <w:sz w:val="20"/>
                <w:szCs w:val="20"/>
              </w:rPr>
            </w:pPr>
            <w:r>
              <w:rPr>
                <w:rFonts w:ascii="Calibri" w:eastAsia="Calibri" w:hAnsi="Calibri" w:cs="Calibri"/>
                <w:b/>
                <w:sz w:val="20"/>
                <w:szCs w:val="20"/>
              </w:rPr>
              <w:t>with, from and about</w:t>
            </w:r>
            <w:r>
              <w:rPr>
                <w:rFonts w:ascii="Calibri" w:eastAsia="Calibri" w:hAnsi="Calibri" w:cs="Calibri"/>
                <w:sz w:val="20"/>
                <w:szCs w:val="20"/>
              </w:rPr>
              <w:t xml:space="preserve"> each other </w:t>
            </w:r>
          </w:p>
          <w:p w14:paraId="574BFFFD" w14:textId="77777777" w:rsidR="00007CDF" w:rsidRDefault="00D31BC9">
            <w:pPr>
              <w:tabs>
                <w:tab w:val="left" w:pos="1335"/>
              </w:tabs>
              <w:jc w:val="center"/>
              <w:rPr>
                <w:rFonts w:ascii="Calibri" w:eastAsia="Calibri" w:hAnsi="Calibri" w:cs="Calibri"/>
                <w:sz w:val="20"/>
                <w:szCs w:val="20"/>
              </w:rPr>
            </w:pPr>
            <w:r>
              <w:rPr>
                <w:rFonts w:ascii="Calibri" w:eastAsia="Calibri" w:hAnsi="Calibri" w:cs="Calibri"/>
                <w:sz w:val="20"/>
                <w:szCs w:val="20"/>
              </w:rPr>
              <w:t>to improve collaboration and the quality of care and services’</w:t>
            </w:r>
          </w:p>
          <w:p w14:paraId="574BFFFE" w14:textId="77777777" w:rsidR="00007CDF" w:rsidRDefault="00007CDF">
            <w:pPr>
              <w:tabs>
                <w:tab w:val="left" w:pos="1335"/>
              </w:tabs>
              <w:jc w:val="center"/>
              <w:rPr>
                <w:rFonts w:ascii="Calibri" w:eastAsia="Calibri" w:hAnsi="Calibri" w:cs="Calibri"/>
                <w:sz w:val="20"/>
                <w:szCs w:val="20"/>
              </w:rPr>
            </w:pPr>
          </w:p>
          <w:p w14:paraId="574BFFFF" w14:textId="77777777" w:rsidR="00007CDF" w:rsidRDefault="00D31BC9">
            <w:pPr>
              <w:tabs>
                <w:tab w:val="left" w:pos="1335"/>
              </w:tabs>
              <w:jc w:val="center"/>
              <w:rPr>
                <w:rFonts w:ascii="Calibri" w:eastAsia="Calibri" w:hAnsi="Calibri" w:cs="Calibri"/>
                <w:sz w:val="20"/>
                <w:szCs w:val="20"/>
              </w:rPr>
            </w:pPr>
            <w:r>
              <w:rPr>
                <w:rFonts w:ascii="Calibri" w:eastAsia="Calibri" w:hAnsi="Calibri" w:cs="Calibri"/>
                <w:sz w:val="20"/>
                <w:szCs w:val="20"/>
              </w:rPr>
              <w:t>CAIPE (2016).</w:t>
            </w:r>
          </w:p>
          <w:p w14:paraId="574C0000" w14:textId="77777777" w:rsidR="00007CDF" w:rsidRDefault="00007CDF">
            <w:pPr>
              <w:tabs>
                <w:tab w:val="left" w:pos="1335"/>
              </w:tabs>
              <w:jc w:val="both"/>
              <w:rPr>
                <w:rFonts w:ascii="Calibri" w:eastAsia="Calibri" w:hAnsi="Calibri" w:cs="Calibri"/>
                <w:sz w:val="20"/>
                <w:szCs w:val="20"/>
              </w:rPr>
            </w:pPr>
          </w:p>
        </w:tc>
      </w:tr>
    </w:tbl>
    <w:p w14:paraId="574C0002" w14:textId="77777777" w:rsidR="00007CDF" w:rsidRDefault="00007CDF">
      <w:pPr>
        <w:tabs>
          <w:tab w:val="left" w:pos="1335"/>
        </w:tabs>
        <w:jc w:val="both"/>
        <w:rPr>
          <w:rFonts w:ascii="Calibri" w:eastAsia="Calibri" w:hAnsi="Calibri" w:cs="Calibri"/>
          <w:sz w:val="20"/>
          <w:szCs w:val="20"/>
        </w:rPr>
      </w:pPr>
    </w:p>
    <w:p w14:paraId="574C0003" w14:textId="77777777" w:rsidR="00007CDF" w:rsidRDefault="00D31BC9">
      <w:pPr>
        <w:tabs>
          <w:tab w:val="left" w:pos="1335"/>
        </w:tabs>
        <w:jc w:val="both"/>
        <w:rPr>
          <w:rFonts w:ascii="Calibri" w:eastAsia="Calibri" w:hAnsi="Calibri" w:cs="Calibri"/>
          <w:sz w:val="20"/>
          <w:szCs w:val="20"/>
        </w:rPr>
      </w:pPr>
      <w:r>
        <w:rPr>
          <w:rFonts w:ascii="Calibri" w:eastAsia="Calibri" w:hAnsi="Calibri" w:cs="Calibri"/>
          <w:sz w:val="20"/>
          <w:szCs w:val="20"/>
        </w:rPr>
        <w:t xml:space="preserve">It is essential to recognise that shared learning, where professions come together to learn the same topic with and from each other, is </w:t>
      </w:r>
      <w:r>
        <w:rPr>
          <w:rFonts w:ascii="Calibri" w:eastAsia="Calibri" w:hAnsi="Calibri" w:cs="Calibri"/>
          <w:i/>
          <w:sz w:val="20"/>
          <w:szCs w:val="20"/>
        </w:rPr>
        <w:t xml:space="preserve">not </w:t>
      </w:r>
      <w:r>
        <w:rPr>
          <w:rFonts w:ascii="Calibri" w:eastAsia="Calibri" w:hAnsi="Calibri" w:cs="Calibri"/>
          <w:sz w:val="20"/>
          <w:szCs w:val="20"/>
        </w:rPr>
        <w:t xml:space="preserve">the same as IPE (Ford and Gray, 2021). This is because shared learning involves different professions learning together but it excludes collaboration (Cust, 2021). The third IPE component, to learn </w:t>
      </w:r>
      <w:r>
        <w:rPr>
          <w:rFonts w:ascii="Calibri" w:eastAsia="Calibri" w:hAnsi="Calibri" w:cs="Calibri"/>
          <w:b/>
          <w:sz w:val="20"/>
          <w:szCs w:val="20"/>
        </w:rPr>
        <w:t>about</w:t>
      </w:r>
      <w:r>
        <w:rPr>
          <w:rFonts w:ascii="Calibri" w:eastAsia="Calibri" w:hAnsi="Calibri" w:cs="Calibri"/>
          <w:sz w:val="20"/>
          <w:szCs w:val="20"/>
        </w:rPr>
        <w:t xml:space="preserve"> each other, can be achieved by creating opportunities to construct learning through social interactions, so that students can establish their professional identity and learn about each other’s roles and responsibilities. Interprofessional identity comes from being a member of a professional team and from the knowledge, value and emotional significance that being part of that professional team brings (Reinders and Krijnen, 2023). </w:t>
      </w:r>
    </w:p>
    <w:p w14:paraId="574C0004" w14:textId="77777777" w:rsidR="00007CDF" w:rsidRDefault="00007CDF">
      <w:pPr>
        <w:tabs>
          <w:tab w:val="left" w:pos="1335"/>
        </w:tabs>
        <w:jc w:val="both"/>
        <w:rPr>
          <w:rFonts w:ascii="Calibri" w:eastAsia="Calibri" w:hAnsi="Calibri" w:cs="Calibri"/>
          <w:sz w:val="20"/>
          <w:szCs w:val="20"/>
        </w:rPr>
      </w:pPr>
    </w:p>
    <w:p w14:paraId="574C0005" w14:textId="77777777" w:rsidR="00007CDF" w:rsidRDefault="00D31BC9">
      <w:pPr>
        <w:tabs>
          <w:tab w:val="left" w:pos="1335"/>
        </w:tabs>
        <w:jc w:val="both"/>
        <w:rPr>
          <w:rFonts w:ascii="Calibri" w:eastAsia="Calibri" w:hAnsi="Calibri" w:cs="Calibri"/>
          <w:b/>
          <w:sz w:val="20"/>
          <w:szCs w:val="20"/>
        </w:rPr>
      </w:pPr>
      <w:r>
        <w:rPr>
          <w:rFonts w:ascii="Calibri" w:eastAsia="Calibri" w:hAnsi="Calibri" w:cs="Calibri"/>
          <w:b/>
          <w:sz w:val="20"/>
          <w:szCs w:val="20"/>
        </w:rPr>
        <w:t>The need for IPE</w:t>
      </w:r>
    </w:p>
    <w:p w14:paraId="574C0006" w14:textId="77777777" w:rsidR="00007CDF" w:rsidRDefault="00D31BC9">
      <w:pPr>
        <w:tabs>
          <w:tab w:val="left" w:pos="1335"/>
        </w:tabs>
        <w:jc w:val="both"/>
        <w:rPr>
          <w:rFonts w:ascii="Calibri" w:eastAsia="Calibri" w:hAnsi="Calibri" w:cs="Calibri"/>
          <w:sz w:val="20"/>
          <w:szCs w:val="20"/>
        </w:rPr>
      </w:pPr>
      <w:r>
        <w:rPr>
          <w:rFonts w:ascii="Calibri" w:eastAsia="Calibri" w:hAnsi="Calibri" w:cs="Calibri"/>
          <w:sz w:val="20"/>
          <w:szCs w:val="20"/>
        </w:rPr>
        <w:t xml:space="preserve">To become competent working and learning with other professionals, a term referred to as interprofessional collaborative competence, students need to practise working and learning together to develop proficiency and required competencies to work well in interprofessional teams (Interprofessional Education Collaborative (IPEC), 2023). </w:t>
      </w:r>
    </w:p>
    <w:p w14:paraId="574C0007" w14:textId="77777777" w:rsidR="00007CDF" w:rsidRDefault="00007CDF">
      <w:pPr>
        <w:tabs>
          <w:tab w:val="left" w:pos="1335"/>
        </w:tabs>
        <w:jc w:val="both"/>
        <w:rPr>
          <w:rFonts w:ascii="Calibri" w:eastAsia="Calibri" w:hAnsi="Calibri" w:cs="Calibri"/>
          <w:sz w:val="20"/>
          <w:szCs w:val="20"/>
        </w:rPr>
      </w:pPr>
    </w:p>
    <w:p w14:paraId="574C0008" w14:textId="77777777" w:rsidR="00007CDF" w:rsidRDefault="00D31BC9">
      <w:pPr>
        <w:tabs>
          <w:tab w:val="left" w:pos="1335"/>
        </w:tabs>
        <w:jc w:val="both"/>
        <w:rPr>
          <w:rFonts w:ascii="Calibri" w:eastAsia="Calibri" w:hAnsi="Calibri" w:cs="Calibri"/>
          <w:sz w:val="20"/>
          <w:szCs w:val="20"/>
        </w:rPr>
      </w:pPr>
      <w:r>
        <w:rPr>
          <w:rFonts w:ascii="Calibri" w:eastAsia="Calibri" w:hAnsi="Calibri" w:cs="Calibri"/>
          <w:sz w:val="20"/>
          <w:szCs w:val="20"/>
        </w:rPr>
        <w:t>In universities, IPE needs to be planned and aligned to IPE principles (Box 2); educational theory; and mapped to evidence; policy, guidelines, and legislation; professional standards; educational programmes in the curriculum; stakeholder needs; and workforce demands (Park, 2022).</w:t>
      </w:r>
    </w:p>
    <w:p w14:paraId="574C0009" w14:textId="77777777" w:rsidR="00007CDF" w:rsidRDefault="00007CDF">
      <w:pPr>
        <w:tabs>
          <w:tab w:val="left" w:pos="1335"/>
        </w:tabs>
        <w:jc w:val="both"/>
        <w:rPr>
          <w:rFonts w:ascii="Calibri" w:eastAsia="Calibri" w:hAnsi="Calibri" w:cs="Calibri"/>
          <w:sz w:val="20"/>
          <w:szCs w:val="20"/>
        </w:rPr>
      </w:pPr>
    </w:p>
    <w:tbl>
      <w:tblPr>
        <w:tblStyle w:val="a0"/>
        <w:tblW w:w="83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06"/>
      </w:tblGrid>
      <w:tr w:rsidR="00007CDF" w14:paraId="574C0017" w14:textId="77777777">
        <w:tc>
          <w:tcPr>
            <w:tcW w:w="8306" w:type="dxa"/>
            <w:tcMar>
              <w:top w:w="100" w:type="dxa"/>
              <w:left w:w="100" w:type="dxa"/>
              <w:bottom w:w="100" w:type="dxa"/>
              <w:right w:w="100" w:type="dxa"/>
            </w:tcMar>
          </w:tcPr>
          <w:sdt>
            <w:sdtPr>
              <w:tag w:val="goog_rdk_0"/>
              <w:id w:val="1044633107"/>
              <w:lock w:val="contentLocked"/>
            </w:sdtPr>
            <w:sdtContent>
              <w:p w14:paraId="574C000A" w14:textId="77777777" w:rsidR="00007CDF" w:rsidRDefault="00D31BC9">
                <w:pPr>
                  <w:tabs>
                    <w:tab w:val="left" w:pos="1335"/>
                  </w:tabs>
                  <w:jc w:val="center"/>
                  <w:rPr>
                    <w:rFonts w:ascii="Calibri" w:eastAsia="Calibri" w:hAnsi="Calibri" w:cs="Calibri"/>
                    <w:b/>
                    <w:sz w:val="20"/>
                    <w:szCs w:val="20"/>
                  </w:rPr>
                </w:pPr>
                <w:r>
                  <w:rPr>
                    <w:rFonts w:ascii="Calibri" w:eastAsia="Calibri" w:hAnsi="Calibri" w:cs="Calibri"/>
                    <w:b/>
                    <w:sz w:val="20"/>
                    <w:szCs w:val="20"/>
                  </w:rPr>
                  <w:t>BOX 2</w:t>
                </w:r>
              </w:p>
              <w:p w14:paraId="574C000B" w14:textId="77777777" w:rsidR="00007CDF" w:rsidRDefault="00D31BC9">
                <w:pPr>
                  <w:tabs>
                    <w:tab w:val="left" w:pos="1335"/>
                  </w:tabs>
                  <w:jc w:val="center"/>
                  <w:rPr>
                    <w:rFonts w:ascii="Calibri" w:eastAsia="Calibri" w:hAnsi="Calibri" w:cs="Calibri"/>
                    <w:b/>
                    <w:sz w:val="20"/>
                    <w:szCs w:val="20"/>
                  </w:rPr>
                </w:pPr>
                <w:r>
                  <w:rPr>
                    <w:rFonts w:ascii="Calibri" w:eastAsia="Calibri" w:hAnsi="Calibri" w:cs="Calibri"/>
                    <w:b/>
                    <w:sz w:val="20"/>
                    <w:szCs w:val="20"/>
                  </w:rPr>
                  <w:t>IPE Principles</w:t>
                </w:r>
              </w:p>
              <w:p w14:paraId="574C000C" w14:textId="77777777" w:rsidR="00007CDF" w:rsidRDefault="00007CDF">
                <w:pPr>
                  <w:tabs>
                    <w:tab w:val="left" w:pos="1335"/>
                  </w:tabs>
                  <w:jc w:val="both"/>
                  <w:rPr>
                    <w:rFonts w:ascii="Calibri" w:eastAsia="Calibri" w:hAnsi="Calibri" w:cs="Calibri"/>
                    <w:b/>
                    <w:sz w:val="20"/>
                    <w:szCs w:val="20"/>
                  </w:rPr>
                </w:pPr>
              </w:p>
              <w:p w14:paraId="574C000D" w14:textId="77777777" w:rsidR="00007CDF" w:rsidRDefault="00D31BC9">
                <w:pPr>
                  <w:tabs>
                    <w:tab w:val="left" w:pos="1335"/>
                  </w:tabs>
                  <w:jc w:val="both"/>
                  <w:rPr>
                    <w:rFonts w:ascii="Calibri" w:eastAsia="Calibri" w:hAnsi="Calibri" w:cs="Calibri"/>
                    <w:sz w:val="20"/>
                    <w:szCs w:val="20"/>
                  </w:rPr>
                </w:pPr>
                <w:r>
                  <w:rPr>
                    <w:rFonts w:ascii="Calibri" w:eastAsia="Calibri" w:hAnsi="Calibri" w:cs="Calibri"/>
                    <w:sz w:val="20"/>
                    <w:szCs w:val="20"/>
                  </w:rPr>
                  <w:t>IPE principles reflect current health and social care priorities and are needed in curricula to:</w:t>
                </w:r>
              </w:p>
              <w:p w14:paraId="574C000E" w14:textId="77777777" w:rsidR="00007CDF" w:rsidRDefault="00007CDF">
                <w:pPr>
                  <w:tabs>
                    <w:tab w:val="left" w:pos="1335"/>
                  </w:tabs>
                  <w:jc w:val="both"/>
                  <w:rPr>
                    <w:rFonts w:ascii="Calibri" w:eastAsia="Calibri" w:hAnsi="Calibri" w:cs="Calibri"/>
                    <w:sz w:val="20"/>
                    <w:szCs w:val="20"/>
                  </w:rPr>
                </w:pPr>
              </w:p>
              <w:p w14:paraId="574C000F" w14:textId="77777777" w:rsidR="00007CDF" w:rsidRDefault="00D31BC9">
                <w:pPr>
                  <w:numPr>
                    <w:ilvl w:val="0"/>
                    <w:numId w:val="1"/>
                  </w:numPr>
                  <w:tabs>
                    <w:tab w:val="left" w:pos="1335"/>
                  </w:tabs>
                  <w:jc w:val="both"/>
                  <w:rPr>
                    <w:rFonts w:ascii="Calibri" w:eastAsia="Calibri" w:hAnsi="Calibri" w:cs="Calibri"/>
                    <w:sz w:val="20"/>
                    <w:szCs w:val="20"/>
                  </w:rPr>
                </w:pPr>
                <w:r>
                  <w:rPr>
                    <w:rFonts w:ascii="Calibri" w:eastAsia="Calibri" w:hAnsi="Calibri" w:cs="Calibri"/>
                    <w:sz w:val="20"/>
                    <w:szCs w:val="20"/>
                  </w:rPr>
                  <w:t>Enable professionals to deliver integrated, holistic and person-centred care</w:t>
                </w:r>
              </w:p>
              <w:p w14:paraId="574C0010" w14:textId="77777777" w:rsidR="00007CDF" w:rsidRDefault="00D31BC9">
                <w:pPr>
                  <w:numPr>
                    <w:ilvl w:val="0"/>
                    <w:numId w:val="1"/>
                  </w:numPr>
                  <w:tabs>
                    <w:tab w:val="left" w:pos="1335"/>
                  </w:tabs>
                  <w:jc w:val="both"/>
                  <w:rPr>
                    <w:rFonts w:ascii="Calibri" w:eastAsia="Calibri" w:hAnsi="Calibri" w:cs="Calibri"/>
                    <w:sz w:val="20"/>
                    <w:szCs w:val="20"/>
                  </w:rPr>
                </w:pPr>
                <w:r>
                  <w:rPr>
                    <w:rFonts w:ascii="Calibri" w:eastAsia="Calibri" w:hAnsi="Calibri" w:cs="Calibri"/>
                    <w:sz w:val="20"/>
                    <w:szCs w:val="20"/>
                  </w:rPr>
                  <w:t>Enhance communication and team working between professions</w:t>
                </w:r>
              </w:p>
              <w:p w14:paraId="574C0011" w14:textId="77777777" w:rsidR="00007CDF" w:rsidRDefault="00D31BC9">
                <w:pPr>
                  <w:numPr>
                    <w:ilvl w:val="0"/>
                    <w:numId w:val="1"/>
                  </w:numPr>
                  <w:tabs>
                    <w:tab w:val="left" w:pos="1335"/>
                  </w:tabs>
                  <w:jc w:val="both"/>
                  <w:rPr>
                    <w:rFonts w:ascii="Calibri" w:eastAsia="Calibri" w:hAnsi="Calibri" w:cs="Calibri"/>
                    <w:sz w:val="20"/>
                    <w:szCs w:val="20"/>
                  </w:rPr>
                </w:pPr>
                <w:r>
                  <w:rPr>
                    <w:rFonts w:ascii="Calibri" w:eastAsia="Calibri" w:hAnsi="Calibri" w:cs="Calibri"/>
                    <w:sz w:val="20"/>
                    <w:szCs w:val="20"/>
                  </w:rPr>
                  <w:t>Promote safety and high quality care</w:t>
                </w:r>
              </w:p>
              <w:p w14:paraId="574C0012" w14:textId="77777777" w:rsidR="00007CDF" w:rsidRDefault="00D31BC9">
                <w:pPr>
                  <w:numPr>
                    <w:ilvl w:val="0"/>
                    <w:numId w:val="1"/>
                  </w:numPr>
                  <w:tabs>
                    <w:tab w:val="left" w:pos="1335"/>
                  </w:tabs>
                  <w:jc w:val="both"/>
                  <w:rPr>
                    <w:rFonts w:ascii="Calibri" w:eastAsia="Calibri" w:hAnsi="Calibri" w:cs="Calibri"/>
                    <w:sz w:val="20"/>
                    <w:szCs w:val="20"/>
                  </w:rPr>
                </w:pPr>
                <w:r>
                  <w:rPr>
                    <w:rFonts w:ascii="Calibri" w:eastAsia="Calibri" w:hAnsi="Calibri" w:cs="Calibri"/>
                    <w:sz w:val="20"/>
                    <w:szCs w:val="20"/>
                  </w:rPr>
                  <w:t>Embed value-based practice</w:t>
                </w:r>
              </w:p>
              <w:p w14:paraId="574C0013" w14:textId="77777777" w:rsidR="00007CDF" w:rsidRDefault="00D31BC9">
                <w:pPr>
                  <w:numPr>
                    <w:ilvl w:val="0"/>
                    <w:numId w:val="1"/>
                  </w:numPr>
                  <w:tabs>
                    <w:tab w:val="left" w:pos="1335"/>
                  </w:tabs>
                  <w:jc w:val="both"/>
                  <w:rPr>
                    <w:rFonts w:ascii="Calibri" w:eastAsia="Calibri" w:hAnsi="Calibri" w:cs="Calibri"/>
                    <w:sz w:val="20"/>
                    <w:szCs w:val="20"/>
                  </w:rPr>
                </w:pPr>
                <w:r>
                  <w:rPr>
                    <w:rFonts w:ascii="Calibri" w:eastAsia="Calibri" w:hAnsi="Calibri" w:cs="Calibri"/>
                    <w:sz w:val="20"/>
                    <w:szCs w:val="20"/>
                  </w:rPr>
                  <w:t>Foster collective leadership approaches</w:t>
                </w:r>
              </w:p>
              <w:p w14:paraId="574C0014" w14:textId="77777777" w:rsidR="00007CDF" w:rsidRDefault="00D31BC9">
                <w:pPr>
                  <w:numPr>
                    <w:ilvl w:val="0"/>
                    <w:numId w:val="1"/>
                  </w:numPr>
                  <w:tabs>
                    <w:tab w:val="left" w:pos="1335"/>
                  </w:tabs>
                  <w:jc w:val="both"/>
                  <w:rPr>
                    <w:rFonts w:ascii="Calibri" w:eastAsia="Calibri" w:hAnsi="Calibri" w:cs="Calibri"/>
                    <w:sz w:val="20"/>
                    <w:szCs w:val="20"/>
                  </w:rPr>
                </w:pPr>
                <w:r>
                  <w:rPr>
                    <w:rFonts w:ascii="Calibri" w:eastAsia="Calibri" w:hAnsi="Calibri" w:cs="Calibri"/>
                    <w:sz w:val="20"/>
                    <w:szCs w:val="20"/>
                  </w:rPr>
                  <w:t>Challenge traditional boundaries through transformative thinking.</w:t>
                </w:r>
              </w:p>
              <w:p w14:paraId="574C0015" w14:textId="77777777" w:rsidR="00007CDF" w:rsidRDefault="00007CDF">
                <w:pPr>
                  <w:widowControl w:val="0"/>
                  <w:pBdr>
                    <w:top w:val="nil"/>
                    <w:left w:val="nil"/>
                    <w:bottom w:val="nil"/>
                    <w:right w:val="nil"/>
                    <w:between w:val="nil"/>
                  </w:pBdr>
                  <w:rPr>
                    <w:rFonts w:ascii="Calibri" w:eastAsia="Calibri" w:hAnsi="Calibri" w:cs="Calibri"/>
                    <w:sz w:val="20"/>
                    <w:szCs w:val="20"/>
                  </w:rPr>
                </w:pPr>
              </w:p>
              <w:p w14:paraId="574C0016" w14:textId="77777777" w:rsidR="00007CDF" w:rsidRDefault="00D31BC9">
                <w:pPr>
                  <w:widowControl w:val="0"/>
                  <w:pBdr>
                    <w:top w:val="nil"/>
                    <w:left w:val="nil"/>
                    <w:bottom w:val="nil"/>
                    <w:right w:val="nil"/>
                    <w:between w:val="nil"/>
                  </w:pBdr>
                  <w:jc w:val="right"/>
                  <w:rPr>
                    <w:rFonts w:ascii="Calibri" w:eastAsia="Calibri" w:hAnsi="Calibri" w:cs="Calibri"/>
                    <w:sz w:val="20"/>
                    <w:szCs w:val="20"/>
                  </w:rPr>
                </w:pPr>
                <w:r>
                  <w:rPr>
                    <w:rFonts w:ascii="Calibri" w:eastAsia="Calibri" w:hAnsi="Calibri" w:cs="Calibri"/>
                    <w:sz w:val="20"/>
                    <w:szCs w:val="20"/>
                  </w:rPr>
                  <w:t>Ford and Gray (2021)</w:t>
                </w:r>
              </w:p>
            </w:sdtContent>
          </w:sdt>
        </w:tc>
      </w:tr>
    </w:tbl>
    <w:p w14:paraId="574C0018" w14:textId="77777777" w:rsidR="00007CDF" w:rsidRDefault="00007CDF">
      <w:pPr>
        <w:tabs>
          <w:tab w:val="left" w:pos="1335"/>
        </w:tabs>
        <w:jc w:val="both"/>
        <w:rPr>
          <w:rFonts w:ascii="Calibri" w:eastAsia="Calibri" w:hAnsi="Calibri" w:cs="Calibri"/>
          <w:sz w:val="20"/>
          <w:szCs w:val="20"/>
        </w:rPr>
      </w:pPr>
    </w:p>
    <w:p w14:paraId="574C0019" w14:textId="59FD6A7A" w:rsidR="00007CDF" w:rsidRDefault="00D31BC9">
      <w:pPr>
        <w:tabs>
          <w:tab w:val="left" w:pos="1335"/>
        </w:tabs>
        <w:jc w:val="both"/>
        <w:rPr>
          <w:rFonts w:ascii="Calibri" w:eastAsia="Calibri" w:hAnsi="Calibri" w:cs="Calibri"/>
          <w:sz w:val="20"/>
          <w:szCs w:val="20"/>
        </w:rPr>
      </w:pPr>
      <w:r>
        <w:rPr>
          <w:rFonts w:ascii="Calibri" w:eastAsia="Calibri" w:hAnsi="Calibri" w:cs="Calibri"/>
          <w:sz w:val="20"/>
          <w:szCs w:val="20"/>
        </w:rPr>
        <w:t xml:space="preserve">To support students to become ‘collaborative practice ready’ so they can improve health and social care experiences and outcomes in practice (WHO, 2010), education strategy needs to be designed so it is robust and adaptable to implement IPE in higher education environments. By creating an IPE Strategy that aligns with the IPE Strategy Components below in figure 1, we can better prepare our learners to be collaborative practice ready to join the workforce. </w:t>
      </w:r>
      <w:r w:rsidR="00253518">
        <w:rPr>
          <w:rFonts w:ascii="Calibri" w:eastAsia="Calibri" w:hAnsi="Calibri" w:cs="Calibri"/>
          <w:sz w:val="20"/>
          <w:szCs w:val="20"/>
        </w:rPr>
        <w:t xml:space="preserve">IPE is complex, there are many things to consider when designing an IPE strategy. </w:t>
      </w:r>
    </w:p>
    <w:p w14:paraId="574C001A" w14:textId="77777777" w:rsidR="00007CDF" w:rsidRDefault="00007CDF">
      <w:pPr>
        <w:tabs>
          <w:tab w:val="left" w:pos="1335"/>
        </w:tabs>
        <w:jc w:val="both"/>
        <w:rPr>
          <w:rFonts w:ascii="Calibri" w:eastAsia="Calibri" w:hAnsi="Calibri" w:cs="Calibri"/>
          <w:sz w:val="20"/>
          <w:szCs w:val="20"/>
        </w:rPr>
      </w:pPr>
    </w:p>
    <w:p w14:paraId="574C001B" w14:textId="77777777" w:rsidR="00007CDF" w:rsidRDefault="00D31BC9">
      <w:pPr>
        <w:tabs>
          <w:tab w:val="left" w:pos="1335"/>
        </w:tabs>
        <w:jc w:val="both"/>
        <w:rPr>
          <w:rFonts w:ascii="Calibri" w:eastAsia="Calibri" w:hAnsi="Calibri" w:cs="Calibri"/>
          <w:sz w:val="20"/>
          <w:szCs w:val="20"/>
        </w:rPr>
      </w:pPr>
      <w:r>
        <w:rPr>
          <w:rFonts w:ascii="Calibri" w:eastAsia="Calibri" w:hAnsi="Calibri" w:cs="Calibri"/>
          <w:noProof/>
          <w:sz w:val="20"/>
          <w:szCs w:val="20"/>
          <w:lang w:val="en-IN" w:eastAsia="en-IN"/>
        </w:rPr>
        <w:lastRenderedPageBreak/>
        <w:drawing>
          <wp:inline distT="0" distB="0" distL="0" distR="0" wp14:anchorId="574C0085" wp14:editId="574C0086">
            <wp:extent cx="5274310" cy="3366135"/>
            <wp:effectExtent l="0" t="0" r="0" b="0"/>
            <wp:docPr id="698111167" name="image1.png" descr="A diagram of a strateg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diagram of a strategy&#10;&#10;Description automatically generated"/>
                    <pic:cNvPicPr preferRelativeResize="0"/>
                  </pic:nvPicPr>
                  <pic:blipFill>
                    <a:blip r:embed="rId10"/>
                    <a:srcRect/>
                    <a:stretch>
                      <a:fillRect/>
                    </a:stretch>
                  </pic:blipFill>
                  <pic:spPr>
                    <a:xfrm>
                      <a:off x="0" y="0"/>
                      <a:ext cx="5274310" cy="3366135"/>
                    </a:xfrm>
                    <a:prstGeom prst="rect">
                      <a:avLst/>
                    </a:prstGeom>
                    <a:ln/>
                  </pic:spPr>
                </pic:pic>
              </a:graphicData>
            </a:graphic>
          </wp:inline>
        </w:drawing>
      </w:r>
    </w:p>
    <w:p w14:paraId="574C001C" w14:textId="77777777" w:rsidR="00007CDF" w:rsidRDefault="00D31BC9">
      <w:pPr>
        <w:tabs>
          <w:tab w:val="left" w:pos="1335"/>
        </w:tabs>
        <w:jc w:val="center"/>
        <w:rPr>
          <w:rFonts w:ascii="Calibri" w:eastAsia="Calibri" w:hAnsi="Calibri" w:cs="Calibri"/>
          <w:b/>
          <w:sz w:val="20"/>
          <w:szCs w:val="20"/>
        </w:rPr>
      </w:pPr>
      <w:r>
        <w:rPr>
          <w:rFonts w:ascii="Calibri" w:eastAsia="Calibri" w:hAnsi="Calibri" w:cs="Calibri"/>
          <w:b/>
          <w:sz w:val="20"/>
          <w:szCs w:val="20"/>
        </w:rPr>
        <w:t>Figure 1. IPE Strategy Components</w:t>
      </w:r>
    </w:p>
    <w:p w14:paraId="574C001D" w14:textId="77777777" w:rsidR="00007CDF" w:rsidRDefault="00007CDF">
      <w:pPr>
        <w:tabs>
          <w:tab w:val="left" w:pos="1335"/>
        </w:tabs>
        <w:jc w:val="both"/>
        <w:rPr>
          <w:rFonts w:ascii="Calibri" w:eastAsia="Calibri" w:hAnsi="Calibri" w:cs="Calibri"/>
          <w:b/>
          <w:sz w:val="20"/>
          <w:szCs w:val="20"/>
        </w:rPr>
      </w:pPr>
    </w:p>
    <w:p w14:paraId="574C001E" w14:textId="77777777" w:rsidR="00007CDF" w:rsidRDefault="00D31BC9">
      <w:pPr>
        <w:tabs>
          <w:tab w:val="left" w:pos="1335"/>
        </w:tabs>
        <w:rPr>
          <w:rFonts w:ascii="Calibri" w:eastAsia="Calibri" w:hAnsi="Calibri" w:cs="Calibri"/>
          <w:b/>
          <w:sz w:val="20"/>
          <w:szCs w:val="20"/>
        </w:rPr>
      </w:pPr>
      <w:r>
        <w:rPr>
          <w:rFonts w:ascii="Calibri" w:eastAsia="Calibri" w:hAnsi="Calibri" w:cs="Calibri"/>
          <w:b/>
          <w:sz w:val="20"/>
          <w:szCs w:val="20"/>
        </w:rPr>
        <w:t>Designing IPE Strategy</w:t>
      </w:r>
    </w:p>
    <w:p w14:paraId="574C001F" w14:textId="59D07C31" w:rsidR="00007CDF" w:rsidRDefault="00D31BC9">
      <w:pPr>
        <w:tabs>
          <w:tab w:val="left" w:pos="1335"/>
        </w:tabs>
        <w:rPr>
          <w:rFonts w:ascii="Calibri" w:eastAsia="Calibri" w:hAnsi="Calibri" w:cs="Calibri"/>
          <w:sz w:val="20"/>
          <w:szCs w:val="20"/>
        </w:rPr>
      </w:pPr>
      <w:r>
        <w:rPr>
          <w:rFonts w:ascii="Calibri" w:eastAsia="Calibri" w:hAnsi="Calibri" w:cs="Calibri"/>
          <w:sz w:val="20"/>
          <w:szCs w:val="20"/>
        </w:rPr>
        <w:t xml:space="preserve">Through IPE lead roles in HE, we have both led and collaborated on IPE strategy development, implementation and evaluation. </w:t>
      </w:r>
      <w:r w:rsidR="00BA11A8">
        <w:rPr>
          <w:rFonts w:ascii="Calibri" w:eastAsia="Calibri" w:hAnsi="Calibri" w:cs="Calibri"/>
          <w:sz w:val="20"/>
          <w:szCs w:val="20"/>
        </w:rPr>
        <w:t xml:space="preserve">The University of </w:t>
      </w:r>
      <w:r>
        <w:rPr>
          <w:rFonts w:ascii="Calibri" w:eastAsia="Calibri" w:hAnsi="Calibri" w:cs="Calibri"/>
          <w:sz w:val="20"/>
          <w:szCs w:val="20"/>
        </w:rPr>
        <w:t xml:space="preserve">Staffordshire and Northumbria University are examples of two UK universities that embed IPE within their curricula. </w:t>
      </w:r>
    </w:p>
    <w:p w14:paraId="574C0020" w14:textId="77777777" w:rsidR="00007CDF" w:rsidRDefault="00007CDF">
      <w:pPr>
        <w:tabs>
          <w:tab w:val="left" w:pos="1335"/>
        </w:tabs>
        <w:rPr>
          <w:rFonts w:ascii="Calibri" w:eastAsia="Calibri" w:hAnsi="Calibri" w:cs="Calibri"/>
          <w:sz w:val="20"/>
          <w:szCs w:val="20"/>
        </w:rPr>
      </w:pPr>
    </w:p>
    <w:p w14:paraId="574C0021" w14:textId="77777777" w:rsidR="00007CDF" w:rsidRDefault="00D31BC9">
      <w:pPr>
        <w:tabs>
          <w:tab w:val="left" w:pos="1335"/>
        </w:tabs>
        <w:rPr>
          <w:rFonts w:ascii="Calibri" w:eastAsia="Calibri" w:hAnsi="Calibri" w:cs="Calibri"/>
          <w:sz w:val="20"/>
          <w:szCs w:val="20"/>
        </w:rPr>
      </w:pPr>
      <w:r>
        <w:rPr>
          <w:rFonts w:ascii="Calibri" w:eastAsia="Calibri" w:hAnsi="Calibri" w:cs="Calibri"/>
          <w:sz w:val="20"/>
          <w:szCs w:val="20"/>
        </w:rPr>
        <w:t xml:space="preserve">Our tried and tested ethos is that IPE provides students with opportunities to learn and develop skills that improve their ability to effectively communicate and collaborate. Through the experience of learning with, from and about others, students develop a knowledge and insight into one another’s roles and responsibilities, preparing them to work effectively within interprofessional teams. </w:t>
      </w:r>
    </w:p>
    <w:p w14:paraId="574C0022" w14:textId="77777777" w:rsidR="00007CDF" w:rsidRDefault="00007CDF">
      <w:pPr>
        <w:tabs>
          <w:tab w:val="left" w:pos="1335"/>
        </w:tabs>
        <w:jc w:val="both"/>
        <w:rPr>
          <w:rFonts w:ascii="Calibri" w:eastAsia="Calibri" w:hAnsi="Calibri" w:cs="Calibri"/>
          <w:sz w:val="20"/>
          <w:szCs w:val="20"/>
        </w:rPr>
      </w:pPr>
    </w:p>
    <w:p w14:paraId="574C0023" w14:textId="77777777" w:rsidR="00007CDF" w:rsidRDefault="00D31BC9">
      <w:pPr>
        <w:tabs>
          <w:tab w:val="left" w:pos="1335"/>
        </w:tabs>
        <w:rPr>
          <w:rFonts w:ascii="Calibri" w:eastAsia="Calibri" w:hAnsi="Calibri" w:cs="Calibri"/>
          <w:b/>
          <w:sz w:val="20"/>
          <w:szCs w:val="20"/>
        </w:rPr>
      </w:pPr>
      <w:r>
        <w:rPr>
          <w:rFonts w:ascii="Calibri" w:eastAsia="Calibri" w:hAnsi="Calibri" w:cs="Calibri"/>
          <w:b/>
          <w:sz w:val="20"/>
          <w:szCs w:val="20"/>
        </w:rPr>
        <w:t>What we did</w:t>
      </w:r>
    </w:p>
    <w:p w14:paraId="574C0024" w14:textId="06F8C3FC" w:rsidR="00007CDF" w:rsidRDefault="00D31BC9">
      <w:pPr>
        <w:tabs>
          <w:tab w:val="left" w:pos="1335"/>
        </w:tabs>
        <w:spacing w:after="120"/>
        <w:rPr>
          <w:rFonts w:ascii="Calibri" w:eastAsia="Calibri" w:hAnsi="Calibri" w:cs="Calibri"/>
          <w:sz w:val="20"/>
          <w:szCs w:val="20"/>
        </w:rPr>
      </w:pPr>
      <w:r>
        <w:rPr>
          <w:rFonts w:ascii="Calibri" w:eastAsia="Calibri" w:hAnsi="Calibri" w:cs="Calibri"/>
          <w:sz w:val="20"/>
          <w:szCs w:val="20"/>
        </w:rPr>
        <w:t xml:space="preserve">IPE has been delivered at Northumbria University for over 20 years and in July, Vikki launched the </w:t>
      </w:r>
      <w:r>
        <w:rPr>
          <w:rFonts w:ascii="Calibri" w:eastAsia="Calibri" w:hAnsi="Calibri" w:cs="Calibri"/>
          <w:i/>
          <w:sz w:val="20"/>
          <w:szCs w:val="20"/>
        </w:rPr>
        <w:t>2024 Northumbria University IPE Five Year Strategy</w:t>
      </w:r>
      <w:r>
        <w:rPr>
          <w:rFonts w:ascii="Calibri" w:eastAsia="Calibri" w:hAnsi="Calibri" w:cs="Calibri"/>
          <w:sz w:val="20"/>
          <w:szCs w:val="20"/>
        </w:rPr>
        <w:t xml:space="preserve">, guiding IPE across health and social care curriculum (Park, 2024). At </w:t>
      </w:r>
      <w:r w:rsidR="00253518">
        <w:rPr>
          <w:rFonts w:ascii="Calibri" w:eastAsia="Calibri" w:hAnsi="Calibri" w:cs="Calibri"/>
          <w:sz w:val="20"/>
          <w:szCs w:val="20"/>
        </w:rPr>
        <w:t xml:space="preserve">the University of </w:t>
      </w:r>
      <w:r>
        <w:rPr>
          <w:rFonts w:ascii="Calibri" w:eastAsia="Calibri" w:hAnsi="Calibri" w:cs="Calibri"/>
          <w:sz w:val="20"/>
          <w:szCs w:val="20"/>
        </w:rPr>
        <w:t xml:space="preserve">Staffordshire, IPE was introduced into the curriculum in 2021 by Fiona through partnership working between us both, and the programme has created opportunities for students to learn with, from and about each other across a diverse suite of programmes. </w:t>
      </w:r>
      <w:r w:rsidR="00253518">
        <w:rPr>
          <w:rFonts w:ascii="Calibri" w:eastAsia="Calibri" w:hAnsi="Calibri" w:cs="Calibri"/>
          <w:sz w:val="20"/>
          <w:szCs w:val="20"/>
        </w:rPr>
        <w:t>Prior to this, there had been ‘pockets’ of IPE within the University of Staffordshire, but there had never been a formal creation of an IPE strategy to guide and support this.</w:t>
      </w:r>
    </w:p>
    <w:p w14:paraId="574C0025" w14:textId="77777777" w:rsidR="00007CDF" w:rsidRDefault="00D31BC9">
      <w:pPr>
        <w:tabs>
          <w:tab w:val="left" w:pos="1335"/>
        </w:tabs>
        <w:spacing w:after="120"/>
        <w:rPr>
          <w:rFonts w:ascii="Calibri" w:eastAsia="Calibri" w:hAnsi="Calibri" w:cs="Calibri"/>
          <w:sz w:val="20"/>
          <w:szCs w:val="20"/>
        </w:rPr>
      </w:pPr>
      <w:r>
        <w:rPr>
          <w:rFonts w:ascii="Calibri" w:eastAsia="Calibri" w:hAnsi="Calibri" w:cs="Calibri"/>
          <w:sz w:val="20"/>
          <w:szCs w:val="20"/>
        </w:rPr>
        <w:t>Evaluation of our IPE demonstrates that learners gain insight into the roles and responsibilities of different professions, and learners value IPE for creating rare opportunities to spend time learning with, from and about other students from diverse professional fields who they would not usually have dedicated time with.</w:t>
      </w:r>
    </w:p>
    <w:p w14:paraId="574C0026" w14:textId="77777777" w:rsidR="00007CDF" w:rsidRDefault="00007CDF">
      <w:pPr>
        <w:tabs>
          <w:tab w:val="left" w:pos="1335"/>
        </w:tabs>
        <w:rPr>
          <w:rFonts w:ascii="Calibri" w:eastAsia="Calibri" w:hAnsi="Calibri" w:cs="Calibri"/>
          <w:b/>
          <w:sz w:val="20"/>
          <w:szCs w:val="20"/>
        </w:rPr>
      </w:pPr>
    </w:p>
    <w:p w14:paraId="574C0027" w14:textId="77777777" w:rsidR="00007CDF" w:rsidRDefault="00D31BC9">
      <w:pPr>
        <w:tabs>
          <w:tab w:val="left" w:pos="1335"/>
        </w:tabs>
        <w:rPr>
          <w:rFonts w:ascii="Calibri" w:eastAsia="Calibri" w:hAnsi="Calibri" w:cs="Calibri"/>
          <w:b/>
          <w:sz w:val="20"/>
          <w:szCs w:val="20"/>
        </w:rPr>
      </w:pPr>
      <w:r>
        <w:rPr>
          <w:rFonts w:ascii="Calibri" w:eastAsia="Calibri" w:hAnsi="Calibri" w:cs="Calibri"/>
          <w:b/>
          <w:sz w:val="20"/>
          <w:szCs w:val="20"/>
        </w:rPr>
        <w:t>Why we designed IPE Strategy</w:t>
      </w:r>
    </w:p>
    <w:p w14:paraId="574C0028" w14:textId="77777777" w:rsidR="00007CDF" w:rsidRDefault="00D31BC9">
      <w:pPr>
        <w:tabs>
          <w:tab w:val="left" w:pos="1335"/>
        </w:tabs>
        <w:spacing w:after="120"/>
        <w:rPr>
          <w:rFonts w:ascii="Calibri" w:eastAsia="Calibri" w:hAnsi="Calibri" w:cs="Calibri"/>
          <w:sz w:val="20"/>
          <w:szCs w:val="20"/>
        </w:rPr>
      </w:pPr>
      <w:r>
        <w:rPr>
          <w:rFonts w:ascii="Calibri" w:eastAsia="Calibri" w:hAnsi="Calibri" w:cs="Calibri"/>
          <w:sz w:val="20"/>
          <w:szCs w:val="20"/>
        </w:rPr>
        <w:t xml:space="preserve">Strategy is essential to guide preparation and planning of IPE events, facilitation, evaluation and research, external partnerships, and to outline resource management and infrastructure requirements to sustain IPE provision. In IPE, strategy should be developed in partnership with key stakeholders. This includes undertaking stakeholder analysis and consultation with partner organisations and employees, such as practice placement facilitators and educators; students; people with lived experience of care and services; and the academic team. </w:t>
      </w:r>
    </w:p>
    <w:p w14:paraId="574C0029" w14:textId="77777777" w:rsidR="00007CDF" w:rsidRDefault="00D31BC9">
      <w:pPr>
        <w:tabs>
          <w:tab w:val="left" w:pos="1335"/>
        </w:tabs>
        <w:jc w:val="both"/>
        <w:rPr>
          <w:rFonts w:ascii="Calibri" w:eastAsia="Calibri" w:hAnsi="Calibri" w:cs="Calibri"/>
          <w:b/>
          <w:sz w:val="20"/>
          <w:szCs w:val="20"/>
        </w:rPr>
      </w:pPr>
      <w:r>
        <w:rPr>
          <w:rFonts w:ascii="Calibri" w:eastAsia="Calibri" w:hAnsi="Calibri" w:cs="Calibri"/>
          <w:b/>
          <w:sz w:val="20"/>
          <w:szCs w:val="20"/>
        </w:rPr>
        <w:t>How we designed our IPE Strategy</w:t>
      </w:r>
    </w:p>
    <w:p w14:paraId="574C002A" w14:textId="44C87A02" w:rsidR="00007CDF" w:rsidRDefault="00D31BC9">
      <w:pPr>
        <w:tabs>
          <w:tab w:val="left" w:pos="1335"/>
        </w:tabs>
        <w:jc w:val="both"/>
        <w:rPr>
          <w:rFonts w:ascii="Calibri" w:eastAsia="Calibri" w:hAnsi="Calibri" w:cs="Calibri"/>
          <w:sz w:val="20"/>
          <w:szCs w:val="20"/>
        </w:rPr>
      </w:pPr>
      <w:r>
        <w:rPr>
          <w:rFonts w:ascii="Calibri" w:eastAsia="Calibri" w:hAnsi="Calibri" w:cs="Calibri"/>
          <w:sz w:val="20"/>
          <w:szCs w:val="20"/>
        </w:rPr>
        <w:lastRenderedPageBreak/>
        <w:t>Because IPE is complex, there are many things to consider when designing IPE Strategy. The eight steps outlined in Table 1 show how we developed our IPE Strategy and can be used as a guide.</w:t>
      </w:r>
      <w:r w:rsidR="00253518" w:rsidRPr="00253518">
        <w:rPr>
          <w:rFonts w:ascii="Calibri" w:eastAsia="Calibri" w:hAnsi="Calibri" w:cs="Calibri"/>
          <w:sz w:val="20"/>
          <w:szCs w:val="20"/>
        </w:rPr>
        <w:t xml:space="preserve"> </w:t>
      </w:r>
      <w:r w:rsidR="00253518">
        <w:rPr>
          <w:rFonts w:ascii="Calibri" w:eastAsia="Calibri" w:hAnsi="Calibri" w:cs="Calibri"/>
          <w:sz w:val="20"/>
          <w:szCs w:val="20"/>
        </w:rPr>
        <w:t xml:space="preserve">These steps to development were adapted from the </w:t>
      </w:r>
      <w:proofErr w:type="spellStart"/>
      <w:r w:rsidR="00253518">
        <w:rPr>
          <w:rFonts w:ascii="Calibri" w:eastAsia="Calibri" w:hAnsi="Calibri" w:cs="Calibri"/>
          <w:sz w:val="20"/>
          <w:szCs w:val="20"/>
        </w:rPr>
        <w:t>ASPiH</w:t>
      </w:r>
      <w:proofErr w:type="spellEnd"/>
      <w:r w:rsidR="00253518">
        <w:rPr>
          <w:rFonts w:ascii="Calibri" w:eastAsia="Calibri" w:hAnsi="Calibri" w:cs="Calibri"/>
          <w:sz w:val="20"/>
          <w:szCs w:val="20"/>
        </w:rPr>
        <w:t xml:space="preserve"> Standards (2023) for Simulation-Based Practice and align with CAIPE guidance (2017, 2021).</w:t>
      </w:r>
    </w:p>
    <w:p w14:paraId="574C002B" w14:textId="77777777" w:rsidR="00007CDF" w:rsidRDefault="00007CDF">
      <w:pPr>
        <w:tabs>
          <w:tab w:val="left" w:pos="1335"/>
        </w:tabs>
        <w:jc w:val="both"/>
        <w:rPr>
          <w:rFonts w:ascii="Calibri" w:eastAsia="Calibri" w:hAnsi="Calibri" w:cs="Calibri"/>
          <w:sz w:val="20"/>
          <w:szCs w:val="20"/>
        </w:rPr>
      </w:pPr>
    </w:p>
    <w:p w14:paraId="574C002C" w14:textId="77777777" w:rsidR="00007CDF" w:rsidRDefault="00007CDF">
      <w:pPr>
        <w:tabs>
          <w:tab w:val="left" w:pos="1335"/>
        </w:tabs>
        <w:jc w:val="both"/>
        <w:rPr>
          <w:rFonts w:ascii="Calibri" w:eastAsia="Calibri" w:hAnsi="Calibri" w:cs="Calibri"/>
          <w:b/>
          <w:sz w:val="20"/>
          <w:szCs w:val="20"/>
        </w:rPr>
      </w:pPr>
    </w:p>
    <w:sdt>
      <w:sdtPr>
        <w:tag w:val="goog_rdk_1"/>
        <w:id w:val="211614133"/>
        <w:lock w:val="contentLocked"/>
      </w:sdtPr>
      <w:sdtContent>
        <w:tbl>
          <w:tblPr>
            <w:tblStyle w:val="a1"/>
            <w:tblW w:w="8190"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90"/>
          </w:tblGrid>
          <w:tr w:rsidR="00007CDF" w14:paraId="574C002F" w14:textId="77777777">
            <w:tc>
              <w:tcPr>
                <w:tcW w:w="8190" w:type="dxa"/>
                <w:tcMar>
                  <w:top w:w="100" w:type="dxa"/>
                  <w:left w:w="100" w:type="dxa"/>
                  <w:bottom w:w="100" w:type="dxa"/>
                  <w:right w:w="100" w:type="dxa"/>
                </w:tcMar>
              </w:tcPr>
              <w:p w14:paraId="574C002D" w14:textId="77777777" w:rsidR="00007CDF" w:rsidRDefault="00D31BC9">
                <w:pPr>
                  <w:widowControl w:val="0"/>
                  <w:pBdr>
                    <w:top w:val="nil"/>
                    <w:left w:val="nil"/>
                    <w:bottom w:val="nil"/>
                    <w:right w:val="nil"/>
                    <w:between w:val="nil"/>
                  </w:pBdr>
                  <w:ind w:left="720" w:hanging="360"/>
                  <w:jc w:val="center"/>
                  <w:rPr>
                    <w:rFonts w:ascii="Calibri" w:eastAsia="Calibri" w:hAnsi="Calibri" w:cs="Calibri"/>
                    <w:b/>
                    <w:sz w:val="20"/>
                    <w:szCs w:val="20"/>
                  </w:rPr>
                </w:pPr>
                <w:r>
                  <w:rPr>
                    <w:rFonts w:ascii="Calibri" w:eastAsia="Calibri" w:hAnsi="Calibri" w:cs="Calibri"/>
                    <w:b/>
                    <w:sz w:val="20"/>
                    <w:szCs w:val="20"/>
                  </w:rPr>
                  <w:t xml:space="preserve">Table 1: </w:t>
                </w:r>
              </w:p>
              <w:p w14:paraId="574C002E" w14:textId="77777777" w:rsidR="00007CDF" w:rsidRDefault="00D31BC9">
                <w:pPr>
                  <w:widowControl w:val="0"/>
                  <w:pBdr>
                    <w:top w:val="nil"/>
                    <w:left w:val="nil"/>
                    <w:bottom w:val="nil"/>
                    <w:right w:val="nil"/>
                    <w:between w:val="nil"/>
                  </w:pBdr>
                  <w:ind w:left="720" w:hanging="360"/>
                  <w:jc w:val="center"/>
                  <w:rPr>
                    <w:rFonts w:ascii="Calibri" w:eastAsia="Calibri" w:hAnsi="Calibri" w:cs="Calibri"/>
                    <w:b/>
                    <w:sz w:val="20"/>
                    <w:szCs w:val="20"/>
                  </w:rPr>
                </w:pPr>
                <w:r>
                  <w:rPr>
                    <w:rFonts w:ascii="Calibri" w:eastAsia="Calibri" w:hAnsi="Calibri" w:cs="Calibri"/>
                    <w:b/>
                    <w:sz w:val="20"/>
                    <w:szCs w:val="20"/>
                  </w:rPr>
                  <w:t>8 Steps to IPE Strategy Development</w:t>
                </w:r>
              </w:p>
            </w:tc>
          </w:tr>
          <w:tr w:rsidR="00007CDF" w14:paraId="574C0031" w14:textId="77777777">
            <w:tc>
              <w:tcPr>
                <w:tcW w:w="8190" w:type="dxa"/>
                <w:tcMar>
                  <w:top w:w="100" w:type="dxa"/>
                  <w:left w:w="100" w:type="dxa"/>
                  <w:bottom w:w="100" w:type="dxa"/>
                  <w:right w:w="100" w:type="dxa"/>
                </w:tcMar>
              </w:tcPr>
              <w:p w14:paraId="574C0030" w14:textId="77777777" w:rsidR="00007CDF" w:rsidRDefault="00D31BC9">
                <w:pPr>
                  <w:widowControl w:val="0"/>
                  <w:numPr>
                    <w:ilvl w:val="0"/>
                    <w:numId w:val="2"/>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Create an interprofessional strategy development group</w:t>
                </w:r>
              </w:p>
            </w:tc>
          </w:tr>
          <w:tr w:rsidR="00007CDF" w14:paraId="574C0033" w14:textId="77777777">
            <w:tc>
              <w:tcPr>
                <w:tcW w:w="8190" w:type="dxa"/>
                <w:tcMar>
                  <w:top w:w="100" w:type="dxa"/>
                  <w:left w:w="100" w:type="dxa"/>
                  <w:bottom w:w="100" w:type="dxa"/>
                  <w:right w:w="100" w:type="dxa"/>
                </w:tcMar>
              </w:tcPr>
              <w:p w14:paraId="574C0032" w14:textId="77777777" w:rsidR="00007CDF" w:rsidRDefault="00D31BC9">
                <w:pPr>
                  <w:widowControl w:val="0"/>
                  <w:numPr>
                    <w:ilvl w:val="0"/>
                    <w:numId w:val="2"/>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Undertake stakeholder analysis to identify everyone’s needs</w:t>
                </w:r>
              </w:p>
            </w:tc>
          </w:tr>
          <w:tr w:rsidR="00007CDF" w14:paraId="574C0035" w14:textId="77777777">
            <w:tc>
              <w:tcPr>
                <w:tcW w:w="8190" w:type="dxa"/>
                <w:tcMar>
                  <w:top w:w="100" w:type="dxa"/>
                  <w:left w:w="100" w:type="dxa"/>
                  <w:bottom w:w="100" w:type="dxa"/>
                  <w:right w:w="100" w:type="dxa"/>
                </w:tcMar>
              </w:tcPr>
              <w:p w14:paraId="574C0034" w14:textId="77777777" w:rsidR="00007CDF" w:rsidRDefault="00D31BC9">
                <w:pPr>
                  <w:widowControl w:val="0"/>
                  <w:numPr>
                    <w:ilvl w:val="0"/>
                    <w:numId w:val="2"/>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Map to professional standards, curricula, evidence, policy, and guidelines</w:t>
                </w:r>
              </w:p>
            </w:tc>
          </w:tr>
          <w:tr w:rsidR="00007CDF" w14:paraId="574C0037" w14:textId="77777777">
            <w:tc>
              <w:tcPr>
                <w:tcW w:w="8190" w:type="dxa"/>
                <w:tcMar>
                  <w:top w:w="100" w:type="dxa"/>
                  <w:left w:w="100" w:type="dxa"/>
                  <w:bottom w:w="100" w:type="dxa"/>
                  <w:right w:w="100" w:type="dxa"/>
                </w:tcMar>
              </w:tcPr>
              <w:p w14:paraId="574C0036" w14:textId="77777777" w:rsidR="00007CDF" w:rsidRDefault="00D31BC9">
                <w:pPr>
                  <w:widowControl w:val="0"/>
                  <w:numPr>
                    <w:ilvl w:val="0"/>
                    <w:numId w:val="2"/>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Identify educational theory and philosophy to underpin IPE</w:t>
                </w:r>
              </w:p>
            </w:tc>
          </w:tr>
          <w:tr w:rsidR="00007CDF" w14:paraId="574C0039" w14:textId="77777777">
            <w:tc>
              <w:tcPr>
                <w:tcW w:w="8190" w:type="dxa"/>
                <w:tcMar>
                  <w:top w:w="100" w:type="dxa"/>
                  <w:left w:w="100" w:type="dxa"/>
                  <w:bottom w:w="100" w:type="dxa"/>
                  <w:right w:w="100" w:type="dxa"/>
                </w:tcMar>
              </w:tcPr>
              <w:p w14:paraId="574C0038" w14:textId="77777777" w:rsidR="00007CDF" w:rsidRDefault="00D31BC9">
                <w:pPr>
                  <w:widowControl w:val="0"/>
                  <w:numPr>
                    <w:ilvl w:val="0"/>
                    <w:numId w:val="2"/>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Refine and agree IPE principles, philosophy, aims and learning outcomes</w:t>
                </w:r>
              </w:p>
            </w:tc>
          </w:tr>
          <w:tr w:rsidR="00007CDF" w14:paraId="574C003B" w14:textId="77777777">
            <w:tc>
              <w:tcPr>
                <w:tcW w:w="8190" w:type="dxa"/>
                <w:tcMar>
                  <w:top w:w="100" w:type="dxa"/>
                  <w:left w:w="100" w:type="dxa"/>
                  <w:bottom w:w="100" w:type="dxa"/>
                  <w:right w:w="100" w:type="dxa"/>
                </w:tcMar>
              </w:tcPr>
              <w:p w14:paraId="574C003A" w14:textId="77777777" w:rsidR="00007CDF" w:rsidRDefault="00D31BC9">
                <w:pPr>
                  <w:widowControl w:val="0"/>
                  <w:numPr>
                    <w:ilvl w:val="0"/>
                    <w:numId w:val="2"/>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Plan IPE activity for impact and evaluation</w:t>
                </w:r>
              </w:p>
            </w:tc>
          </w:tr>
          <w:tr w:rsidR="00007CDF" w14:paraId="574C003D" w14:textId="77777777">
            <w:tc>
              <w:tcPr>
                <w:tcW w:w="8190" w:type="dxa"/>
                <w:tcMar>
                  <w:top w:w="100" w:type="dxa"/>
                  <w:left w:w="100" w:type="dxa"/>
                  <w:bottom w:w="100" w:type="dxa"/>
                  <w:right w:w="100" w:type="dxa"/>
                </w:tcMar>
              </w:tcPr>
              <w:p w14:paraId="574C003C" w14:textId="77777777" w:rsidR="00007CDF" w:rsidRDefault="00D31BC9">
                <w:pPr>
                  <w:widowControl w:val="0"/>
                  <w:numPr>
                    <w:ilvl w:val="0"/>
                    <w:numId w:val="2"/>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Outline ways to sustain IPE, including finances, resources, and learning environments </w:t>
                </w:r>
              </w:p>
            </w:tc>
          </w:tr>
          <w:tr w:rsidR="00007CDF" w14:paraId="574C003F" w14:textId="77777777">
            <w:tc>
              <w:tcPr>
                <w:tcW w:w="8190" w:type="dxa"/>
                <w:tcMar>
                  <w:top w:w="100" w:type="dxa"/>
                  <w:left w:w="100" w:type="dxa"/>
                  <w:bottom w:w="100" w:type="dxa"/>
                  <w:right w:w="100" w:type="dxa"/>
                </w:tcMar>
              </w:tcPr>
              <w:p w14:paraId="574C003E" w14:textId="77777777" w:rsidR="00007CDF" w:rsidRDefault="00D31BC9">
                <w:pPr>
                  <w:widowControl w:val="0"/>
                  <w:numPr>
                    <w:ilvl w:val="0"/>
                    <w:numId w:val="2"/>
                  </w:num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Ensure the IPE Strategy is peer reviewed and designed to be revised regularly</w:t>
                </w:r>
              </w:p>
            </w:tc>
          </w:tr>
        </w:tbl>
      </w:sdtContent>
    </w:sdt>
    <w:p w14:paraId="574C0040" w14:textId="77777777" w:rsidR="00007CDF" w:rsidRDefault="00007CDF">
      <w:pPr>
        <w:tabs>
          <w:tab w:val="left" w:pos="1335"/>
        </w:tabs>
        <w:jc w:val="both"/>
        <w:rPr>
          <w:rFonts w:ascii="Calibri" w:eastAsia="Calibri" w:hAnsi="Calibri" w:cs="Calibri"/>
          <w:sz w:val="20"/>
          <w:szCs w:val="20"/>
        </w:rPr>
      </w:pPr>
    </w:p>
    <w:p w14:paraId="574C0041" w14:textId="77777777" w:rsidR="00007CDF" w:rsidRDefault="00D31BC9">
      <w:pPr>
        <w:tabs>
          <w:tab w:val="left" w:pos="1335"/>
        </w:tabs>
        <w:jc w:val="both"/>
        <w:rPr>
          <w:rFonts w:ascii="Calibri" w:eastAsia="Calibri" w:hAnsi="Calibri" w:cs="Calibri"/>
          <w:b/>
          <w:sz w:val="20"/>
          <w:szCs w:val="20"/>
        </w:rPr>
      </w:pPr>
      <w:r>
        <w:rPr>
          <w:rFonts w:ascii="Calibri" w:eastAsia="Calibri" w:hAnsi="Calibri" w:cs="Calibri"/>
          <w:b/>
          <w:sz w:val="20"/>
          <w:szCs w:val="20"/>
        </w:rPr>
        <w:t>STEP 1</w:t>
      </w:r>
    </w:p>
    <w:p w14:paraId="574C0042" w14:textId="77777777" w:rsidR="00007CDF" w:rsidRDefault="00D31BC9">
      <w:pPr>
        <w:tabs>
          <w:tab w:val="left" w:pos="1335"/>
        </w:tabs>
        <w:jc w:val="both"/>
        <w:rPr>
          <w:rFonts w:ascii="Calibri" w:eastAsia="Calibri" w:hAnsi="Calibri" w:cs="Calibri"/>
          <w:sz w:val="20"/>
          <w:szCs w:val="20"/>
        </w:rPr>
      </w:pPr>
      <w:r>
        <w:rPr>
          <w:rFonts w:ascii="Calibri" w:eastAsia="Calibri" w:hAnsi="Calibri" w:cs="Calibri"/>
          <w:sz w:val="20"/>
          <w:szCs w:val="20"/>
        </w:rPr>
        <w:t xml:space="preserve">Wider teamwork and inclusion are key to the success of IPE strategy development and an interprofessional strategy development group should be convened early in the process, with representation of students, service users and carers, and diverse professions. This group helps to carry out </w:t>
      </w:r>
      <w:proofErr w:type="gramStart"/>
      <w:r>
        <w:rPr>
          <w:rFonts w:ascii="Calibri" w:eastAsia="Calibri" w:hAnsi="Calibri" w:cs="Calibri"/>
          <w:sz w:val="20"/>
          <w:szCs w:val="20"/>
        </w:rPr>
        <w:t>all of</w:t>
      </w:r>
      <w:proofErr w:type="gramEnd"/>
      <w:r>
        <w:rPr>
          <w:rFonts w:ascii="Calibri" w:eastAsia="Calibri" w:hAnsi="Calibri" w:cs="Calibri"/>
          <w:sz w:val="20"/>
          <w:szCs w:val="20"/>
        </w:rPr>
        <w:t xml:space="preserve"> the steps involved in strategy development, and group work contributes to the production of the IPE Strategy document.</w:t>
      </w:r>
    </w:p>
    <w:p w14:paraId="574C0043" w14:textId="77777777" w:rsidR="00007CDF" w:rsidRDefault="00007CDF">
      <w:pPr>
        <w:tabs>
          <w:tab w:val="left" w:pos="1335"/>
        </w:tabs>
        <w:jc w:val="both"/>
        <w:rPr>
          <w:rFonts w:ascii="Calibri" w:eastAsia="Calibri" w:hAnsi="Calibri" w:cs="Calibri"/>
          <w:sz w:val="20"/>
          <w:szCs w:val="20"/>
        </w:rPr>
      </w:pPr>
    </w:p>
    <w:p w14:paraId="574C0044" w14:textId="77777777" w:rsidR="00007CDF" w:rsidRDefault="00D31BC9">
      <w:pPr>
        <w:tabs>
          <w:tab w:val="left" w:pos="1335"/>
        </w:tabs>
        <w:jc w:val="both"/>
        <w:rPr>
          <w:rFonts w:ascii="Calibri" w:eastAsia="Calibri" w:hAnsi="Calibri" w:cs="Calibri"/>
          <w:b/>
          <w:sz w:val="20"/>
          <w:szCs w:val="20"/>
        </w:rPr>
      </w:pPr>
      <w:r>
        <w:rPr>
          <w:rFonts w:ascii="Calibri" w:eastAsia="Calibri" w:hAnsi="Calibri" w:cs="Calibri"/>
          <w:b/>
          <w:sz w:val="20"/>
          <w:szCs w:val="20"/>
        </w:rPr>
        <w:t>STEP 2</w:t>
      </w:r>
    </w:p>
    <w:p w14:paraId="574C0045" w14:textId="77777777" w:rsidR="00007CDF" w:rsidRDefault="00D31BC9">
      <w:pPr>
        <w:tabs>
          <w:tab w:val="left" w:pos="1335"/>
        </w:tabs>
        <w:jc w:val="both"/>
        <w:rPr>
          <w:rFonts w:ascii="Calibri" w:eastAsia="Calibri" w:hAnsi="Calibri" w:cs="Calibri"/>
          <w:sz w:val="20"/>
          <w:szCs w:val="20"/>
        </w:rPr>
      </w:pPr>
      <w:r>
        <w:rPr>
          <w:rFonts w:ascii="Calibri" w:eastAsia="Calibri" w:hAnsi="Calibri" w:cs="Calibri"/>
          <w:sz w:val="20"/>
          <w:szCs w:val="20"/>
        </w:rPr>
        <w:t xml:space="preserve">To be fit for purpose, IPE strategy must be developed in partnership with others and stakeholder analysis ensures that IPE provision meets the needs of learners and ultimately the people we care for.  Stakeholders </w:t>
      </w:r>
      <w:proofErr w:type="gramStart"/>
      <w:r>
        <w:rPr>
          <w:rFonts w:ascii="Calibri" w:eastAsia="Calibri" w:hAnsi="Calibri" w:cs="Calibri"/>
          <w:sz w:val="20"/>
          <w:szCs w:val="20"/>
        </w:rPr>
        <w:t>are people who are</w:t>
      </w:r>
      <w:proofErr w:type="gramEnd"/>
      <w:r>
        <w:rPr>
          <w:rFonts w:ascii="Calibri" w:eastAsia="Calibri" w:hAnsi="Calibri" w:cs="Calibri"/>
          <w:sz w:val="20"/>
          <w:szCs w:val="20"/>
        </w:rPr>
        <w:t xml:space="preserve"> impacted by our interventions and stakeholder analysis is a process that helps to understand stakeholders needs and how they are affected (Health Education England (HEE), 2022). External networking and collaboration to share knowledge, skills, and to </w:t>
      </w:r>
      <w:proofErr w:type="spellStart"/>
      <w:r>
        <w:rPr>
          <w:rFonts w:ascii="Calibri" w:eastAsia="Calibri" w:hAnsi="Calibri" w:cs="Calibri"/>
          <w:sz w:val="20"/>
          <w:szCs w:val="20"/>
        </w:rPr>
        <w:t>interprofessionally</w:t>
      </w:r>
      <w:proofErr w:type="spellEnd"/>
      <w:r>
        <w:rPr>
          <w:rFonts w:ascii="Calibri" w:eastAsia="Calibri" w:hAnsi="Calibri" w:cs="Calibri"/>
          <w:sz w:val="20"/>
          <w:szCs w:val="20"/>
        </w:rPr>
        <w:t xml:space="preserve"> collaborate should be valued and are advocated for quality assurance, sustaining partnerships and creating pathways for impact. All relevant stakeholders need to be involved in curriculum design for IPE interventions to be effectively implemented (Ford and Gray, 2021).</w:t>
      </w:r>
    </w:p>
    <w:p w14:paraId="574C0046" w14:textId="77777777" w:rsidR="00007CDF" w:rsidRDefault="00007CDF">
      <w:pPr>
        <w:tabs>
          <w:tab w:val="left" w:pos="1335"/>
        </w:tabs>
        <w:jc w:val="both"/>
        <w:rPr>
          <w:rFonts w:ascii="Calibri" w:eastAsia="Calibri" w:hAnsi="Calibri" w:cs="Calibri"/>
          <w:sz w:val="20"/>
          <w:szCs w:val="20"/>
        </w:rPr>
      </w:pPr>
    </w:p>
    <w:p w14:paraId="574C0047" w14:textId="77777777" w:rsidR="00007CDF" w:rsidRDefault="00D31BC9">
      <w:pPr>
        <w:tabs>
          <w:tab w:val="left" w:pos="1335"/>
        </w:tabs>
        <w:jc w:val="both"/>
        <w:rPr>
          <w:rFonts w:ascii="Calibri" w:eastAsia="Calibri" w:hAnsi="Calibri" w:cs="Calibri"/>
          <w:b/>
          <w:sz w:val="20"/>
          <w:szCs w:val="20"/>
        </w:rPr>
      </w:pPr>
      <w:r>
        <w:rPr>
          <w:rFonts w:ascii="Calibri" w:eastAsia="Calibri" w:hAnsi="Calibri" w:cs="Calibri"/>
          <w:b/>
          <w:sz w:val="20"/>
          <w:szCs w:val="20"/>
        </w:rPr>
        <w:t>STEP 3</w:t>
      </w:r>
    </w:p>
    <w:p w14:paraId="574C0048" w14:textId="657748D1" w:rsidR="00007CDF" w:rsidRDefault="00D31BC9">
      <w:pPr>
        <w:tabs>
          <w:tab w:val="left" w:pos="1335"/>
        </w:tabs>
        <w:jc w:val="both"/>
        <w:rPr>
          <w:rFonts w:ascii="Calibri" w:eastAsia="Calibri" w:hAnsi="Calibri" w:cs="Calibri"/>
          <w:sz w:val="20"/>
          <w:szCs w:val="20"/>
        </w:rPr>
      </w:pPr>
      <w:r>
        <w:rPr>
          <w:rFonts w:ascii="Calibri" w:eastAsia="Calibri" w:hAnsi="Calibri" w:cs="Calibri"/>
          <w:sz w:val="20"/>
          <w:szCs w:val="20"/>
        </w:rPr>
        <w:t xml:space="preserve">By creating an IPE Strategy that aligns with professional statutory regulatory body (PSRB) requirements, programme learning outcomes in the curriculum, evidence, policy, stakeholder needs, and the </w:t>
      </w:r>
      <w:r w:rsidR="00BA11A8">
        <w:rPr>
          <w:rFonts w:ascii="Calibri" w:eastAsia="Calibri" w:hAnsi="Calibri" w:cs="Calibri"/>
          <w:sz w:val="20"/>
          <w:szCs w:val="20"/>
        </w:rPr>
        <w:t>ever-changing</w:t>
      </w:r>
      <w:r>
        <w:rPr>
          <w:rFonts w:ascii="Calibri" w:eastAsia="Calibri" w:hAnsi="Calibri" w:cs="Calibri"/>
          <w:sz w:val="20"/>
          <w:szCs w:val="20"/>
        </w:rPr>
        <w:t xml:space="preserve"> health and social care landscape, we can better prepare our learners to be collaborative practice ready to join the workforce. This means that learners are supported through IPE to develop interprofessional collaborative competence which is a PSRB requirement for registration in all UK health and social care programmes. </w:t>
      </w:r>
    </w:p>
    <w:p w14:paraId="574C0049" w14:textId="77777777" w:rsidR="00007CDF" w:rsidRDefault="00007CDF">
      <w:pPr>
        <w:tabs>
          <w:tab w:val="left" w:pos="1335"/>
        </w:tabs>
        <w:jc w:val="both"/>
        <w:rPr>
          <w:rFonts w:ascii="Calibri" w:eastAsia="Calibri" w:hAnsi="Calibri" w:cs="Calibri"/>
          <w:sz w:val="20"/>
          <w:szCs w:val="20"/>
        </w:rPr>
      </w:pPr>
    </w:p>
    <w:p w14:paraId="574C004A" w14:textId="77777777" w:rsidR="00007CDF" w:rsidRDefault="00D31BC9">
      <w:pPr>
        <w:tabs>
          <w:tab w:val="left" w:pos="1335"/>
        </w:tabs>
        <w:jc w:val="both"/>
        <w:rPr>
          <w:rFonts w:ascii="Calibri" w:eastAsia="Calibri" w:hAnsi="Calibri" w:cs="Calibri"/>
          <w:b/>
          <w:sz w:val="20"/>
          <w:szCs w:val="20"/>
        </w:rPr>
      </w:pPr>
      <w:r>
        <w:rPr>
          <w:rFonts w:ascii="Calibri" w:eastAsia="Calibri" w:hAnsi="Calibri" w:cs="Calibri"/>
          <w:b/>
          <w:sz w:val="20"/>
          <w:szCs w:val="20"/>
        </w:rPr>
        <w:t>STEP 4</w:t>
      </w:r>
    </w:p>
    <w:p w14:paraId="574C004B" w14:textId="77777777" w:rsidR="00007CDF" w:rsidRDefault="00D31BC9">
      <w:pPr>
        <w:tabs>
          <w:tab w:val="left" w:pos="1335"/>
        </w:tabs>
        <w:jc w:val="both"/>
        <w:rPr>
          <w:rFonts w:ascii="Calibri" w:eastAsia="Calibri" w:hAnsi="Calibri" w:cs="Calibri"/>
          <w:sz w:val="20"/>
          <w:szCs w:val="20"/>
        </w:rPr>
      </w:pPr>
      <w:r>
        <w:rPr>
          <w:rFonts w:ascii="Calibri" w:eastAsia="Calibri" w:hAnsi="Calibri" w:cs="Calibri"/>
          <w:sz w:val="20"/>
          <w:szCs w:val="20"/>
        </w:rPr>
        <w:t xml:space="preserve">It is essential that strategy aligns to philosophy and IPE principles to emphasise the role of theory and to ground education with interprofessional models and frameworks. Ford and Gray (2021) argue that when IPE is underpinned by educational theory it is likely to produce the most effective learning for students because it anchors IPE with logic, it predicts people's behaviour, and it helps to understand, </w:t>
      </w:r>
      <w:r>
        <w:rPr>
          <w:rFonts w:ascii="Calibri" w:eastAsia="Calibri" w:hAnsi="Calibri" w:cs="Calibri"/>
          <w:sz w:val="20"/>
          <w:szCs w:val="20"/>
        </w:rPr>
        <w:lastRenderedPageBreak/>
        <w:t>design and implement IPE overcoming challenges and helping students develop their interprofessional values, skills and knowledge.</w:t>
      </w:r>
    </w:p>
    <w:p w14:paraId="574C004C" w14:textId="77777777" w:rsidR="00007CDF" w:rsidRDefault="00007CDF">
      <w:pPr>
        <w:tabs>
          <w:tab w:val="left" w:pos="1335"/>
        </w:tabs>
        <w:jc w:val="both"/>
        <w:rPr>
          <w:rFonts w:ascii="Calibri" w:eastAsia="Calibri" w:hAnsi="Calibri" w:cs="Calibri"/>
          <w:sz w:val="20"/>
          <w:szCs w:val="20"/>
        </w:rPr>
      </w:pPr>
    </w:p>
    <w:p w14:paraId="574C004D" w14:textId="77777777" w:rsidR="00007CDF" w:rsidRDefault="00D31BC9">
      <w:pPr>
        <w:tabs>
          <w:tab w:val="left" w:pos="1335"/>
        </w:tabs>
        <w:jc w:val="both"/>
        <w:rPr>
          <w:rFonts w:ascii="Calibri" w:eastAsia="Calibri" w:hAnsi="Calibri" w:cs="Calibri"/>
          <w:b/>
          <w:sz w:val="20"/>
          <w:szCs w:val="20"/>
        </w:rPr>
      </w:pPr>
      <w:r>
        <w:rPr>
          <w:rFonts w:ascii="Calibri" w:eastAsia="Calibri" w:hAnsi="Calibri" w:cs="Calibri"/>
          <w:b/>
          <w:sz w:val="20"/>
          <w:szCs w:val="20"/>
        </w:rPr>
        <w:t>STEP 5</w:t>
      </w:r>
    </w:p>
    <w:p w14:paraId="574C004E" w14:textId="77777777" w:rsidR="00007CDF" w:rsidRDefault="00D31BC9">
      <w:pPr>
        <w:tabs>
          <w:tab w:val="left" w:pos="1335"/>
        </w:tabs>
        <w:jc w:val="both"/>
        <w:rPr>
          <w:rFonts w:ascii="Calibri" w:eastAsia="Calibri" w:hAnsi="Calibri" w:cs="Calibri"/>
          <w:sz w:val="20"/>
          <w:szCs w:val="20"/>
        </w:rPr>
      </w:pPr>
      <w:r>
        <w:rPr>
          <w:rFonts w:ascii="Calibri" w:eastAsia="Calibri" w:hAnsi="Calibri" w:cs="Calibri"/>
          <w:sz w:val="20"/>
          <w:szCs w:val="20"/>
        </w:rPr>
        <w:t xml:space="preserve">From the stakeholder analysis in step 2, mapping completed in step 3 and identification of theory in step 4, the IPE principles, learning outcomes, aims and educational philosophy can be created to frame the IPE Strategy produced. The requirements of higher education organisations will differ between institutions and by creating a bespoke IPE strategy that is aligned to individual components (figure 1) the principles, learning outcomes, aims and philosophy can be agreed based on local need. </w:t>
      </w:r>
    </w:p>
    <w:p w14:paraId="574C004F" w14:textId="77777777" w:rsidR="00007CDF" w:rsidRDefault="00007CDF">
      <w:pPr>
        <w:tabs>
          <w:tab w:val="left" w:pos="1335"/>
        </w:tabs>
        <w:jc w:val="both"/>
        <w:rPr>
          <w:rFonts w:ascii="Calibri" w:eastAsia="Calibri" w:hAnsi="Calibri" w:cs="Calibri"/>
          <w:sz w:val="20"/>
          <w:szCs w:val="20"/>
        </w:rPr>
      </w:pPr>
    </w:p>
    <w:p w14:paraId="574C0050" w14:textId="77777777" w:rsidR="00007CDF" w:rsidRDefault="00D31BC9">
      <w:pPr>
        <w:tabs>
          <w:tab w:val="left" w:pos="1335"/>
        </w:tabs>
        <w:jc w:val="both"/>
        <w:rPr>
          <w:rFonts w:ascii="Calibri" w:eastAsia="Calibri" w:hAnsi="Calibri" w:cs="Calibri"/>
          <w:b/>
          <w:sz w:val="20"/>
          <w:szCs w:val="20"/>
        </w:rPr>
      </w:pPr>
      <w:r>
        <w:rPr>
          <w:rFonts w:ascii="Calibri" w:eastAsia="Calibri" w:hAnsi="Calibri" w:cs="Calibri"/>
          <w:b/>
          <w:sz w:val="20"/>
          <w:szCs w:val="20"/>
        </w:rPr>
        <w:t>STEP 6</w:t>
      </w:r>
    </w:p>
    <w:p w14:paraId="574C0051" w14:textId="61BFF316" w:rsidR="00007CDF" w:rsidRDefault="00D31BC9">
      <w:pPr>
        <w:tabs>
          <w:tab w:val="left" w:pos="1335"/>
        </w:tabs>
        <w:jc w:val="both"/>
        <w:rPr>
          <w:rFonts w:ascii="Calibri" w:eastAsia="Calibri" w:hAnsi="Calibri" w:cs="Calibri"/>
          <w:sz w:val="20"/>
          <w:szCs w:val="20"/>
        </w:rPr>
      </w:pPr>
      <w:r>
        <w:rPr>
          <w:rFonts w:ascii="Calibri" w:eastAsia="Calibri" w:hAnsi="Calibri" w:cs="Calibri"/>
          <w:sz w:val="20"/>
          <w:szCs w:val="20"/>
        </w:rPr>
        <w:t xml:space="preserve">IPE activities need to be planned for </w:t>
      </w:r>
      <w:r w:rsidR="00BA11A8">
        <w:rPr>
          <w:rFonts w:ascii="Calibri" w:eastAsia="Calibri" w:hAnsi="Calibri" w:cs="Calibri"/>
          <w:sz w:val="20"/>
          <w:szCs w:val="20"/>
        </w:rPr>
        <w:t>impact,</w:t>
      </w:r>
      <w:r>
        <w:rPr>
          <w:rFonts w:ascii="Calibri" w:eastAsia="Calibri" w:hAnsi="Calibri" w:cs="Calibri"/>
          <w:sz w:val="20"/>
          <w:szCs w:val="20"/>
        </w:rPr>
        <w:t xml:space="preserve"> and this means that the type of educational activity and the evaluation need to be planned before IPE is delivered. It can be useful to use an impact planner in the early stages of IPE session design to identify areas for desirable change, the outcomes hoped for and how this might be achieved. For example, if students have poor understanding of professional roles, by assessing knowledge with a survey before and after they complete a professional role activity together, it can be established whether their understanding of other professions have been impacted by the IPE activity.</w:t>
      </w:r>
    </w:p>
    <w:p w14:paraId="574C0052" w14:textId="77777777" w:rsidR="00007CDF" w:rsidRDefault="00007CDF">
      <w:pPr>
        <w:tabs>
          <w:tab w:val="left" w:pos="1335"/>
        </w:tabs>
        <w:jc w:val="both"/>
        <w:rPr>
          <w:rFonts w:ascii="Calibri" w:eastAsia="Calibri" w:hAnsi="Calibri" w:cs="Calibri"/>
          <w:sz w:val="20"/>
          <w:szCs w:val="20"/>
        </w:rPr>
      </w:pPr>
    </w:p>
    <w:p w14:paraId="574C0053" w14:textId="77777777" w:rsidR="00007CDF" w:rsidRDefault="00D31BC9">
      <w:pPr>
        <w:tabs>
          <w:tab w:val="left" w:pos="1335"/>
        </w:tabs>
        <w:jc w:val="both"/>
        <w:rPr>
          <w:rFonts w:ascii="Calibri" w:eastAsia="Calibri" w:hAnsi="Calibri" w:cs="Calibri"/>
          <w:b/>
          <w:sz w:val="20"/>
          <w:szCs w:val="20"/>
        </w:rPr>
      </w:pPr>
      <w:r>
        <w:rPr>
          <w:rFonts w:ascii="Calibri" w:eastAsia="Calibri" w:hAnsi="Calibri" w:cs="Calibri"/>
          <w:b/>
          <w:sz w:val="20"/>
          <w:szCs w:val="20"/>
        </w:rPr>
        <w:t>STEP 7</w:t>
      </w:r>
    </w:p>
    <w:p w14:paraId="574C0054" w14:textId="191DB39F" w:rsidR="00007CDF" w:rsidRDefault="00D31BC9">
      <w:pPr>
        <w:tabs>
          <w:tab w:val="left" w:pos="1335"/>
        </w:tabs>
        <w:jc w:val="both"/>
        <w:rPr>
          <w:rFonts w:ascii="Arial" w:eastAsia="Arial" w:hAnsi="Arial" w:cs="Arial"/>
          <w:color w:val="333333"/>
          <w:sz w:val="26"/>
          <w:szCs w:val="26"/>
        </w:rPr>
      </w:pPr>
      <w:r>
        <w:rPr>
          <w:rFonts w:ascii="Calibri" w:eastAsia="Calibri" w:hAnsi="Calibri" w:cs="Calibri"/>
          <w:sz w:val="20"/>
          <w:szCs w:val="20"/>
        </w:rPr>
        <w:t xml:space="preserve">Sustainability of IPE is essential to ensure continued success. It is fundamental that the </w:t>
      </w:r>
      <w:r w:rsidR="00BA11A8">
        <w:rPr>
          <w:rFonts w:ascii="Calibri" w:eastAsia="Calibri" w:hAnsi="Calibri" w:cs="Calibri"/>
          <w:sz w:val="20"/>
          <w:szCs w:val="20"/>
        </w:rPr>
        <w:t>infrastructure identified</w:t>
      </w:r>
      <w:r>
        <w:rPr>
          <w:rFonts w:ascii="Calibri" w:eastAsia="Calibri" w:hAnsi="Calibri" w:cs="Calibri"/>
          <w:sz w:val="20"/>
          <w:szCs w:val="20"/>
        </w:rPr>
        <w:t xml:space="preserve"> to support and frame IPE continues. Hosny </w:t>
      </w:r>
      <w:r w:rsidR="00304630">
        <w:rPr>
          <w:rFonts w:ascii="Calibri" w:eastAsia="Calibri" w:hAnsi="Calibri" w:cs="Calibri"/>
          <w:i/>
          <w:sz w:val="20"/>
          <w:szCs w:val="20"/>
        </w:rPr>
        <w:t>et al</w:t>
      </w:r>
      <w:r>
        <w:rPr>
          <w:rFonts w:ascii="Calibri" w:eastAsia="Calibri" w:hAnsi="Calibri" w:cs="Calibri"/>
          <w:sz w:val="20"/>
          <w:szCs w:val="20"/>
        </w:rPr>
        <w:t xml:space="preserve"> (2024) identify that funding and accreditation are factors that affect sustainability, and historically there has been a lack of sustainability, with IPE vulnerable to leadership changes and intermittent funding models. </w:t>
      </w:r>
    </w:p>
    <w:p w14:paraId="574C0055" w14:textId="77777777" w:rsidR="00007CDF" w:rsidRDefault="00007CDF">
      <w:pPr>
        <w:tabs>
          <w:tab w:val="left" w:pos="1335"/>
        </w:tabs>
        <w:jc w:val="both"/>
        <w:rPr>
          <w:rFonts w:ascii="Arial" w:eastAsia="Arial" w:hAnsi="Arial" w:cs="Arial"/>
          <w:color w:val="333333"/>
          <w:sz w:val="26"/>
          <w:szCs w:val="26"/>
        </w:rPr>
      </w:pPr>
    </w:p>
    <w:p w14:paraId="574C0056" w14:textId="77777777" w:rsidR="00007CDF" w:rsidRDefault="00D31BC9">
      <w:pPr>
        <w:tabs>
          <w:tab w:val="left" w:pos="1335"/>
        </w:tabs>
        <w:jc w:val="both"/>
        <w:rPr>
          <w:rFonts w:ascii="Calibri" w:eastAsia="Calibri" w:hAnsi="Calibri" w:cs="Calibri"/>
          <w:b/>
          <w:sz w:val="20"/>
          <w:szCs w:val="20"/>
        </w:rPr>
      </w:pPr>
      <w:r>
        <w:rPr>
          <w:rFonts w:ascii="Calibri" w:eastAsia="Calibri" w:hAnsi="Calibri" w:cs="Calibri"/>
          <w:b/>
          <w:sz w:val="20"/>
          <w:szCs w:val="20"/>
        </w:rPr>
        <w:t>STEP 8</w:t>
      </w:r>
    </w:p>
    <w:p w14:paraId="574C0057" w14:textId="77777777" w:rsidR="00007CDF" w:rsidRDefault="00D31BC9">
      <w:pPr>
        <w:tabs>
          <w:tab w:val="left" w:pos="1335"/>
        </w:tabs>
        <w:jc w:val="both"/>
        <w:rPr>
          <w:rFonts w:ascii="Calibri" w:eastAsia="Calibri" w:hAnsi="Calibri" w:cs="Calibri"/>
          <w:sz w:val="20"/>
          <w:szCs w:val="20"/>
        </w:rPr>
      </w:pPr>
      <w:r>
        <w:rPr>
          <w:rFonts w:ascii="Calibri" w:eastAsia="Calibri" w:hAnsi="Calibri" w:cs="Calibri"/>
          <w:sz w:val="20"/>
          <w:szCs w:val="20"/>
        </w:rPr>
        <w:t xml:space="preserve">The final stage of strategy development is to undergo peer review. For quality assurance and representation, the IPE Strategy document needs to be reviewed by internal and external stakeholders. This ensures the document is accessible, understandable and relevant to all stakeholders. Peer review is a quality assurance indicator which helps to reduce bias and improve inclusion and quality; consider who in your network will be able to impartially review and endorse the IPE Strategy document ahead of its release. </w:t>
      </w:r>
    </w:p>
    <w:p w14:paraId="574C0058" w14:textId="77777777" w:rsidR="00007CDF" w:rsidRDefault="00007CDF">
      <w:pPr>
        <w:tabs>
          <w:tab w:val="left" w:pos="1335"/>
        </w:tabs>
        <w:jc w:val="both"/>
        <w:rPr>
          <w:rFonts w:ascii="Calibri" w:eastAsia="Calibri" w:hAnsi="Calibri" w:cs="Calibri"/>
          <w:sz w:val="20"/>
          <w:szCs w:val="20"/>
        </w:rPr>
      </w:pPr>
    </w:p>
    <w:p w14:paraId="574C0059" w14:textId="77777777" w:rsidR="00007CDF" w:rsidRDefault="00D31BC9">
      <w:pPr>
        <w:tabs>
          <w:tab w:val="left" w:pos="1335"/>
        </w:tabs>
        <w:jc w:val="both"/>
        <w:rPr>
          <w:rFonts w:ascii="Calibri" w:eastAsia="Calibri" w:hAnsi="Calibri" w:cs="Calibri"/>
          <w:b/>
          <w:sz w:val="20"/>
          <w:szCs w:val="20"/>
        </w:rPr>
      </w:pPr>
      <w:r>
        <w:rPr>
          <w:rFonts w:ascii="Calibri" w:eastAsia="Calibri" w:hAnsi="Calibri" w:cs="Calibri"/>
          <w:b/>
          <w:sz w:val="20"/>
          <w:szCs w:val="20"/>
        </w:rPr>
        <w:t>Lessons learned</w:t>
      </w:r>
    </w:p>
    <w:p w14:paraId="574C005A" w14:textId="44F03F89" w:rsidR="00007CDF" w:rsidRDefault="00D31BC9">
      <w:pPr>
        <w:tabs>
          <w:tab w:val="left" w:pos="1335"/>
        </w:tabs>
        <w:jc w:val="both"/>
        <w:rPr>
          <w:rFonts w:ascii="Calibri" w:eastAsia="Calibri" w:hAnsi="Calibri" w:cs="Calibri"/>
          <w:sz w:val="20"/>
          <w:szCs w:val="20"/>
        </w:rPr>
      </w:pPr>
      <w:proofErr w:type="gramStart"/>
      <w:r>
        <w:rPr>
          <w:rFonts w:ascii="Calibri" w:eastAsia="Calibri" w:hAnsi="Calibri" w:cs="Calibri"/>
          <w:sz w:val="20"/>
          <w:szCs w:val="20"/>
        </w:rPr>
        <w:t>A number of</w:t>
      </w:r>
      <w:proofErr w:type="gramEnd"/>
      <w:r>
        <w:rPr>
          <w:rFonts w:ascii="Calibri" w:eastAsia="Calibri" w:hAnsi="Calibri" w:cs="Calibri"/>
          <w:sz w:val="20"/>
          <w:szCs w:val="20"/>
        </w:rPr>
        <w:t xml:space="preserve"> lessons were learnt and reflected upon during the development of our IPE strategy. A primary problem was the commitment of time, not only from Vikki and Fiona’s perspective but from stakeholders, including service users and carers, students, academics, and health and social care professions. We learnt to accept that we could not expect all people invited to be present at one time and that a representation was acceptable. Communication was key, in addition to ensuring that the correct information was cascaded in readable ‘</w:t>
      </w:r>
      <w:r w:rsidR="00BA11A8">
        <w:rPr>
          <w:rFonts w:ascii="Calibri" w:eastAsia="Calibri" w:hAnsi="Calibri" w:cs="Calibri"/>
          <w:sz w:val="20"/>
          <w:szCs w:val="20"/>
        </w:rPr>
        <w:t>chunks</w:t>
      </w:r>
      <w:r>
        <w:rPr>
          <w:rFonts w:ascii="Calibri" w:eastAsia="Calibri" w:hAnsi="Calibri" w:cs="Calibri"/>
          <w:sz w:val="20"/>
          <w:szCs w:val="20"/>
        </w:rPr>
        <w:t>.</w:t>
      </w:r>
      <w:r w:rsidR="00BA11A8">
        <w:rPr>
          <w:rFonts w:ascii="Calibri" w:eastAsia="Calibri" w:hAnsi="Calibri" w:cs="Calibri"/>
          <w:sz w:val="20"/>
          <w:szCs w:val="20"/>
        </w:rPr>
        <w:t>’</w:t>
      </w:r>
      <w:r>
        <w:rPr>
          <w:rFonts w:ascii="Calibri" w:eastAsia="Calibri" w:hAnsi="Calibri" w:cs="Calibri"/>
          <w:sz w:val="20"/>
          <w:szCs w:val="20"/>
        </w:rPr>
        <w:t xml:space="preserve"> We were keen not to overwhelm but to inform, guide and support. It was imperative that we retained our focus upon the strategy development and did not get sidetracked into other projects that were potentially aligned with IPE. The strategy needed to be realistic for effective goal and objective setting. We needed to retain our focus upon specifics that were measurable but equally, relevant and realistic, and to do this we created an IPE Development Plan with goals and SMART objectives outlined.</w:t>
      </w:r>
    </w:p>
    <w:p w14:paraId="574C005B" w14:textId="77777777" w:rsidR="00007CDF" w:rsidRDefault="00007CDF">
      <w:pPr>
        <w:tabs>
          <w:tab w:val="left" w:pos="1335"/>
        </w:tabs>
        <w:jc w:val="both"/>
        <w:rPr>
          <w:rFonts w:ascii="Calibri" w:eastAsia="Calibri" w:hAnsi="Calibri" w:cs="Calibri"/>
          <w:sz w:val="20"/>
          <w:szCs w:val="20"/>
        </w:rPr>
      </w:pPr>
    </w:p>
    <w:p w14:paraId="574C005C" w14:textId="77777777" w:rsidR="00007CDF" w:rsidRDefault="00D31BC9">
      <w:pPr>
        <w:tabs>
          <w:tab w:val="left" w:pos="1335"/>
        </w:tabs>
        <w:jc w:val="both"/>
        <w:rPr>
          <w:rFonts w:ascii="Calibri" w:eastAsia="Calibri" w:hAnsi="Calibri" w:cs="Calibri"/>
          <w:sz w:val="20"/>
          <w:szCs w:val="20"/>
        </w:rPr>
      </w:pPr>
      <w:r>
        <w:rPr>
          <w:rFonts w:ascii="Calibri" w:eastAsia="Calibri" w:hAnsi="Calibri" w:cs="Calibri"/>
          <w:sz w:val="20"/>
          <w:szCs w:val="20"/>
        </w:rPr>
        <w:t>The process required commitment and an agreed vision that could be adapted as the IPE strategy development evolved. It was important not to have any fixed ‘ideals’ but to be responsive and open to ideas, discussions and input from all stakeholders. Leadership was important but in a responsive style rather than dictatorial. Resources were also crucial - not purely from a time perspective, although this was key, but also considering venues for in-person stakeholder consultations and electronic platforms such as Teams, emails and Google Forms to communicate frequently with people and to plan stakeholder analysis events. We researched other strategies, not purely in relation to IPE, and reflected upon what had worked previously, but equally, what had not, to help us to learn from this.</w:t>
      </w:r>
    </w:p>
    <w:p w14:paraId="574C005D" w14:textId="77777777" w:rsidR="00007CDF" w:rsidRDefault="00007CDF">
      <w:pPr>
        <w:tabs>
          <w:tab w:val="left" w:pos="1335"/>
        </w:tabs>
        <w:jc w:val="both"/>
        <w:rPr>
          <w:rFonts w:ascii="Calibri" w:eastAsia="Calibri" w:hAnsi="Calibri" w:cs="Calibri"/>
          <w:sz w:val="20"/>
          <w:szCs w:val="20"/>
        </w:rPr>
      </w:pPr>
    </w:p>
    <w:p w14:paraId="574C005E" w14:textId="77777777" w:rsidR="00007CDF" w:rsidRDefault="00D31BC9">
      <w:pPr>
        <w:tabs>
          <w:tab w:val="left" w:pos="1335"/>
        </w:tabs>
        <w:jc w:val="both"/>
        <w:rPr>
          <w:rFonts w:ascii="Calibri" w:eastAsia="Calibri" w:hAnsi="Calibri" w:cs="Calibri"/>
          <w:sz w:val="20"/>
          <w:szCs w:val="20"/>
        </w:rPr>
      </w:pPr>
      <w:r>
        <w:rPr>
          <w:rFonts w:ascii="Calibri" w:eastAsia="Calibri" w:hAnsi="Calibri" w:cs="Calibri"/>
          <w:sz w:val="20"/>
          <w:szCs w:val="20"/>
        </w:rPr>
        <w:lastRenderedPageBreak/>
        <w:t>What we have all learned from the pandemic and ongoing challenges that we continue to face in health and social care, is that we need to be agile and responsive to change. To future proof IPE strategy so that it is versatile and robust, core IPE aims, principles, and outcomes need to be defined, with mapping, planning for impact and with sustainability considered.</w:t>
      </w:r>
    </w:p>
    <w:p w14:paraId="574C005F" w14:textId="77777777" w:rsidR="00007CDF" w:rsidRDefault="00007CDF">
      <w:pPr>
        <w:tabs>
          <w:tab w:val="left" w:pos="1335"/>
        </w:tabs>
        <w:jc w:val="both"/>
        <w:rPr>
          <w:rFonts w:ascii="Calibri" w:eastAsia="Calibri" w:hAnsi="Calibri" w:cs="Calibri"/>
          <w:sz w:val="20"/>
          <w:szCs w:val="20"/>
        </w:rPr>
      </w:pPr>
    </w:p>
    <w:p w14:paraId="574C0060" w14:textId="03CB78A4" w:rsidR="00007CDF" w:rsidRDefault="00B37E8A">
      <w:pPr>
        <w:tabs>
          <w:tab w:val="left" w:pos="1335"/>
        </w:tabs>
        <w:rPr>
          <w:rFonts w:ascii="Calibri" w:eastAsia="Calibri" w:hAnsi="Calibri" w:cs="Calibri"/>
          <w:b/>
          <w:sz w:val="20"/>
          <w:szCs w:val="20"/>
        </w:rPr>
      </w:pPr>
      <w:r>
        <w:rPr>
          <w:rFonts w:ascii="Calibri" w:eastAsia="Calibri" w:hAnsi="Calibri" w:cs="Calibri"/>
          <w:b/>
          <w:sz w:val="20"/>
          <w:szCs w:val="20"/>
        </w:rPr>
        <w:t>Conclusion</w:t>
      </w:r>
    </w:p>
    <w:p w14:paraId="574C0061" w14:textId="77777777" w:rsidR="00007CDF" w:rsidRDefault="00D31BC9">
      <w:pPr>
        <w:tabs>
          <w:tab w:val="left" w:pos="1335"/>
        </w:tabs>
        <w:rPr>
          <w:rFonts w:ascii="Calibri" w:eastAsia="Calibri" w:hAnsi="Calibri" w:cs="Calibri"/>
          <w:sz w:val="20"/>
          <w:szCs w:val="20"/>
        </w:rPr>
      </w:pPr>
      <w:r>
        <w:rPr>
          <w:rFonts w:ascii="Calibri" w:eastAsia="Calibri" w:hAnsi="Calibri" w:cs="Calibri"/>
          <w:sz w:val="20"/>
          <w:szCs w:val="20"/>
        </w:rPr>
        <w:t>Developing strategy for IPE in higher education requires a diverse interprofessional team and we extend thanks to those who have supported us to lead strategy development. The health and social care workforce must develop interprofessional collaborative competence to work in effective teams and to provide high-quality services.</w:t>
      </w:r>
      <w:r>
        <w:rPr>
          <w:rFonts w:ascii="Calibri" w:eastAsia="Calibri" w:hAnsi="Calibri" w:cs="Calibri"/>
          <w:color w:val="FF0000"/>
          <w:sz w:val="20"/>
          <w:szCs w:val="20"/>
        </w:rPr>
        <w:t xml:space="preserve"> </w:t>
      </w:r>
      <w:r>
        <w:rPr>
          <w:rFonts w:ascii="Calibri" w:eastAsia="Calibri" w:hAnsi="Calibri" w:cs="Calibri"/>
          <w:sz w:val="20"/>
          <w:szCs w:val="20"/>
        </w:rPr>
        <w:t>Robust, versatile and aligned educational strategies are needed to guide IPE provision within higher education environments, to support learners to become ‘collaborative practice ready’ to improve health and social care experiences and outcomes in practice.</w:t>
      </w:r>
    </w:p>
    <w:p w14:paraId="574C0062" w14:textId="77777777" w:rsidR="00007CDF" w:rsidRDefault="00007CDF">
      <w:pPr>
        <w:tabs>
          <w:tab w:val="left" w:pos="1335"/>
        </w:tabs>
        <w:rPr>
          <w:rFonts w:ascii="Calibri" w:eastAsia="Calibri" w:hAnsi="Calibri" w:cs="Calibri"/>
          <w:sz w:val="20"/>
          <w:szCs w:val="20"/>
        </w:rPr>
      </w:pPr>
    </w:p>
    <w:p w14:paraId="574C0063" w14:textId="77777777" w:rsidR="00007CDF" w:rsidRDefault="00007CDF">
      <w:pPr>
        <w:tabs>
          <w:tab w:val="left" w:pos="1335"/>
        </w:tabs>
        <w:rPr>
          <w:rFonts w:ascii="Calibri" w:eastAsia="Calibri" w:hAnsi="Calibri" w:cs="Calibri"/>
          <w:sz w:val="20"/>
          <w:szCs w:val="20"/>
        </w:rPr>
      </w:pPr>
    </w:p>
    <w:p w14:paraId="574C006D" w14:textId="77777777" w:rsidR="00007CDF" w:rsidRDefault="00007CDF">
      <w:pPr>
        <w:tabs>
          <w:tab w:val="left" w:pos="1335"/>
        </w:tabs>
        <w:rPr>
          <w:rFonts w:ascii="Calibri" w:eastAsia="Calibri" w:hAnsi="Calibri" w:cs="Calibri"/>
          <w:sz w:val="20"/>
          <w:szCs w:val="20"/>
        </w:rPr>
      </w:pPr>
    </w:p>
    <w:p w14:paraId="574C006E" w14:textId="77777777" w:rsidR="00007CDF" w:rsidRDefault="00D31BC9">
      <w:pPr>
        <w:tabs>
          <w:tab w:val="left" w:pos="1335"/>
        </w:tabs>
        <w:rPr>
          <w:rFonts w:ascii="Calibri" w:eastAsia="Calibri" w:hAnsi="Calibri" w:cs="Calibri"/>
          <w:sz w:val="20"/>
          <w:szCs w:val="20"/>
        </w:rPr>
      </w:pPr>
      <w:r>
        <w:rPr>
          <w:rFonts w:ascii="Calibri" w:eastAsia="Calibri" w:hAnsi="Calibri" w:cs="Calibri"/>
          <w:b/>
          <w:sz w:val="20"/>
          <w:szCs w:val="20"/>
        </w:rPr>
        <w:t>References</w:t>
      </w:r>
      <w:r>
        <w:rPr>
          <w:rFonts w:ascii="Calibri" w:eastAsia="Calibri" w:hAnsi="Calibri" w:cs="Calibri"/>
          <w:sz w:val="20"/>
          <w:szCs w:val="20"/>
        </w:rPr>
        <w:t xml:space="preserve">: </w:t>
      </w:r>
    </w:p>
    <w:p w14:paraId="574C006F" w14:textId="77777777" w:rsidR="00007CDF" w:rsidRDefault="00007CDF">
      <w:pPr>
        <w:tabs>
          <w:tab w:val="left" w:pos="1335"/>
        </w:tabs>
        <w:rPr>
          <w:rFonts w:ascii="Calibri" w:eastAsia="Calibri" w:hAnsi="Calibri" w:cs="Calibri"/>
          <w:sz w:val="20"/>
          <w:szCs w:val="20"/>
        </w:rPr>
      </w:pPr>
    </w:p>
    <w:p w14:paraId="621B9309" w14:textId="2FBBEE9D" w:rsidR="00253518" w:rsidRDefault="00253518">
      <w:pPr>
        <w:tabs>
          <w:tab w:val="left" w:pos="1335"/>
        </w:tabs>
        <w:rPr>
          <w:rFonts w:ascii="Calibri" w:eastAsia="Calibri" w:hAnsi="Calibri" w:cs="Calibri"/>
          <w:sz w:val="20"/>
          <w:szCs w:val="20"/>
        </w:rPr>
      </w:pPr>
      <w:proofErr w:type="spellStart"/>
      <w:r>
        <w:rPr>
          <w:rFonts w:ascii="Calibri" w:eastAsia="Calibri" w:hAnsi="Calibri" w:cs="Calibri"/>
          <w:sz w:val="20"/>
          <w:szCs w:val="20"/>
        </w:rPr>
        <w:t>ASPiH</w:t>
      </w:r>
      <w:proofErr w:type="spellEnd"/>
      <w:r>
        <w:rPr>
          <w:rFonts w:ascii="Calibri" w:eastAsia="Calibri" w:hAnsi="Calibri" w:cs="Calibri"/>
          <w:sz w:val="20"/>
          <w:szCs w:val="20"/>
        </w:rPr>
        <w:t xml:space="preserve"> (2023) </w:t>
      </w:r>
      <w:proofErr w:type="spellStart"/>
      <w:r>
        <w:rPr>
          <w:rFonts w:ascii="Calibri" w:eastAsia="Calibri" w:hAnsi="Calibri" w:cs="Calibri"/>
          <w:sz w:val="20"/>
          <w:szCs w:val="20"/>
        </w:rPr>
        <w:t>ASPiH</w:t>
      </w:r>
      <w:proofErr w:type="spellEnd"/>
      <w:r>
        <w:rPr>
          <w:rFonts w:ascii="Calibri" w:eastAsia="Calibri" w:hAnsi="Calibri" w:cs="Calibri"/>
          <w:sz w:val="20"/>
          <w:szCs w:val="20"/>
        </w:rPr>
        <w:t xml:space="preserve"> Standards 2023 for Simulation-Based Practice: Guiding Simulation-Based Practice in Health and Care. </w:t>
      </w:r>
      <w:hyperlink r:id="rId11" w:history="1">
        <w:r w:rsidRPr="00552BD3">
          <w:rPr>
            <w:rStyle w:val="Hyperlink"/>
            <w:rFonts w:ascii="Calibri" w:eastAsia="Calibri" w:hAnsi="Calibri" w:cs="Calibri"/>
            <w:sz w:val="20"/>
            <w:szCs w:val="20"/>
          </w:rPr>
          <w:t>https://aspih.org.uk/standards-2/</w:t>
        </w:r>
      </w:hyperlink>
      <w:r>
        <w:rPr>
          <w:rFonts w:ascii="Calibri" w:eastAsia="Calibri" w:hAnsi="Calibri" w:cs="Calibri"/>
          <w:sz w:val="20"/>
          <w:szCs w:val="20"/>
        </w:rPr>
        <w:t xml:space="preserve"> (accessed 10 January 2025)</w:t>
      </w:r>
    </w:p>
    <w:p w14:paraId="540488B2" w14:textId="77777777" w:rsidR="00D319EE" w:rsidRDefault="00D319EE">
      <w:pPr>
        <w:tabs>
          <w:tab w:val="left" w:pos="1335"/>
        </w:tabs>
        <w:rPr>
          <w:rFonts w:ascii="Calibri" w:eastAsia="Calibri" w:hAnsi="Calibri" w:cs="Calibri"/>
          <w:sz w:val="20"/>
          <w:szCs w:val="20"/>
        </w:rPr>
      </w:pPr>
    </w:p>
    <w:p w14:paraId="1CD56DDE" w14:textId="0D40E13C" w:rsidR="00D319EE" w:rsidRPr="00D319EE" w:rsidRDefault="00D319EE">
      <w:pPr>
        <w:tabs>
          <w:tab w:val="left" w:pos="1335"/>
        </w:tabs>
        <w:rPr>
          <w:rFonts w:ascii="Calibri" w:eastAsia="Calibri" w:hAnsi="Calibri" w:cs="Calibri"/>
          <w:sz w:val="20"/>
          <w:szCs w:val="20"/>
        </w:rPr>
      </w:pPr>
      <w:r>
        <w:rPr>
          <w:rFonts w:ascii="Calibri" w:eastAsia="Calibri" w:hAnsi="Calibri" w:cs="Calibri"/>
          <w:sz w:val="20"/>
          <w:szCs w:val="20"/>
        </w:rPr>
        <w:t xml:space="preserve">Barr H, Ford J, Gray R, Helme M, Hutchings M, Low H, Machin A and Reeves S (2017) CAIPE Interprofessional Education Guidelines 2017 </w:t>
      </w:r>
      <w:hyperlink r:id="rId12" w:history="1">
        <w:r w:rsidRPr="00552BD3">
          <w:rPr>
            <w:rStyle w:val="Hyperlink"/>
            <w:rFonts w:ascii="Calibri" w:eastAsia="Calibri" w:hAnsi="Calibri" w:cs="Calibri"/>
            <w:sz w:val="20"/>
            <w:szCs w:val="20"/>
          </w:rPr>
          <w:t>https://www.caipe.org/resources/publications/caipe-publications/caipe-2017-interprofessional-education-guidelines-barr-h-ford-r-helme-m-hutchings-m-low-h-machin-reeves-s</w:t>
        </w:r>
      </w:hyperlink>
      <w:r>
        <w:rPr>
          <w:rFonts w:ascii="Calibri" w:eastAsia="Calibri" w:hAnsi="Calibri" w:cs="Calibri"/>
          <w:color w:val="4472C4" w:themeColor="accent1"/>
          <w:sz w:val="20"/>
          <w:szCs w:val="20"/>
        </w:rPr>
        <w:t xml:space="preserve"> (</w:t>
      </w:r>
      <w:r>
        <w:rPr>
          <w:rFonts w:ascii="Calibri" w:eastAsia="Calibri" w:hAnsi="Calibri" w:cs="Calibri"/>
          <w:sz w:val="20"/>
          <w:szCs w:val="20"/>
        </w:rPr>
        <w:t>accessed 10 January 2025)</w:t>
      </w:r>
    </w:p>
    <w:p w14:paraId="1F1AC641" w14:textId="77777777" w:rsidR="00253518" w:rsidRDefault="00253518">
      <w:pPr>
        <w:tabs>
          <w:tab w:val="left" w:pos="1335"/>
        </w:tabs>
        <w:rPr>
          <w:rFonts w:ascii="Calibri" w:eastAsia="Calibri" w:hAnsi="Calibri" w:cs="Calibri"/>
          <w:sz w:val="20"/>
          <w:szCs w:val="20"/>
        </w:rPr>
      </w:pPr>
    </w:p>
    <w:p w14:paraId="574C0070" w14:textId="56E4B5AE" w:rsidR="00007CDF" w:rsidRDefault="00D31BC9">
      <w:pPr>
        <w:tabs>
          <w:tab w:val="left" w:pos="1335"/>
        </w:tabs>
        <w:rPr>
          <w:rFonts w:ascii="Calibri" w:eastAsia="Calibri" w:hAnsi="Calibri" w:cs="Calibri"/>
          <w:sz w:val="20"/>
          <w:szCs w:val="20"/>
        </w:rPr>
      </w:pPr>
      <w:r>
        <w:rPr>
          <w:rFonts w:ascii="Calibri" w:eastAsia="Calibri" w:hAnsi="Calibri" w:cs="Calibri"/>
          <w:sz w:val="20"/>
          <w:szCs w:val="20"/>
        </w:rPr>
        <w:t xml:space="preserve">CAIPE (2016) </w:t>
      </w:r>
      <w:r>
        <w:rPr>
          <w:rFonts w:ascii="Calibri" w:eastAsia="Calibri" w:hAnsi="Calibri" w:cs="Calibri"/>
          <w:i/>
          <w:sz w:val="20"/>
          <w:szCs w:val="20"/>
        </w:rPr>
        <w:t>Statement of Purpose, Centre for the Advancement of Interprofessional Education.</w:t>
      </w:r>
      <w:r>
        <w:rPr>
          <w:rFonts w:ascii="Calibri" w:eastAsia="Calibri" w:hAnsi="Calibri" w:cs="Calibri"/>
          <w:sz w:val="20"/>
          <w:szCs w:val="20"/>
        </w:rPr>
        <w:t xml:space="preserve">  </w:t>
      </w:r>
      <w:hyperlink r:id="rId13">
        <w:r>
          <w:rPr>
            <w:rFonts w:ascii="Calibri" w:eastAsia="Calibri" w:hAnsi="Calibri" w:cs="Calibri"/>
            <w:color w:val="0000FF"/>
            <w:sz w:val="20"/>
            <w:szCs w:val="20"/>
            <w:u w:val="single"/>
          </w:rPr>
          <w:t>https://www.caipe.org/about</w:t>
        </w:r>
      </w:hyperlink>
      <w:r>
        <w:rPr>
          <w:rFonts w:ascii="Calibri" w:eastAsia="Calibri" w:hAnsi="Calibri" w:cs="Calibri"/>
          <w:sz w:val="20"/>
          <w:szCs w:val="20"/>
        </w:rPr>
        <w:t xml:space="preserve"> (accessed 4 September 2024)</w:t>
      </w:r>
    </w:p>
    <w:p w14:paraId="574C0071" w14:textId="77777777" w:rsidR="00007CDF" w:rsidRDefault="00007CDF">
      <w:pPr>
        <w:tabs>
          <w:tab w:val="left" w:pos="1335"/>
        </w:tabs>
        <w:rPr>
          <w:rFonts w:ascii="Calibri" w:eastAsia="Calibri" w:hAnsi="Calibri" w:cs="Calibri"/>
          <w:sz w:val="20"/>
          <w:szCs w:val="20"/>
        </w:rPr>
      </w:pPr>
    </w:p>
    <w:p w14:paraId="574C0072" w14:textId="77777777" w:rsidR="00007CDF" w:rsidRDefault="00D31BC9">
      <w:pPr>
        <w:rPr>
          <w:rFonts w:ascii="Calibri" w:eastAsia="Calibri" w:hAnsi="Calibri" w:cs="Calibri"/>
          <w:sz w:val="20"/>
          <w:szCs w:val="20"/>
        </w:rPr>
      </w:pPr>
      <w:r>
        <w:rPr>
          <w:rFonts w:ascii="Calibri" w:eastAsia="Calibri" w:hAnsi="Calibri" w:cs="Calibri"/>
          <w:sz w:val="20"/>
          <w:szCs w:val="20"/>
        </w:rPr>
        <w:t xml:space="preserve">Cust F (2021) Interprofessional education is an essential component of health professional education </w:t>
      </w:r>
      <w:r>
        <w:rPr>
          <w:rFonts w:ascii="Calibri" w:eastAsia="Calibri" w:hAnsi="Calibri" w:cs="Calibri"/>
          <w:i/>
          <w:sz w:val="20"/>
          <w:szCs w:val="20"/>
        </w:rPr>
        <w:t>Nursing Times</w:t>
      </w:r>
      <w:r>
        <w:rPr>
          <w:rFonts w:ascii="Calibri" w:eastAsia="Calibri" w:hAnsi="Calibri" w:cs="Calibri"/>
          <w:sz w:val="20"/>
          <w:szCs w:val="20"/>
        </w:rPr>
        <w:t xml:space="preserve"> Available at: </w:t>
      </w:r>
      <w:hyperlink r:id="rId14">
        <w:r>
          <w:rPr>
            <w:rFonts w:ascii="Calibri" w:eastAsia="Calibri" w:hAnsi="Calibri" w:cs="Calibri"/>
            <w:color w:val="0000FF"/>
            <w:sz w:val="20"/>
            <w:szCs w:val="20"/>
            <w:u w:val="single"/>
          </w:rPr>
          <w:t>https://www.nursingtimes.net/opinion/</w:t>
        </w:r>
      </w:hyperlink>
      <w:r>
        <w:rPr>
          <w:rFonts w:ascii="Calibri" w:eastAsia="Calibri" w:hAnsi="Calibri" w:cs="Calibri"/>
          <w:sz w:val="20"/>
          <w:szCs w:val="20"/>
        </w:rPr>
        <w:t xml:space="preserve"> (accessed 26 June 2024)</w:t>
      </w:r>
    </w:p>
    <w:p w14:paraId="574C0073" w14:textId="77777777" w:rsidR="00007CDF" w:rsidRDefault="00007CDF">
      <w:pPr>
        <w:tabs>
          <w:tab w:val="left" w:pos="1335"/>
        </w:tabs>
        <w:rPr>
          <w:rFonts w:ascii="Calibri" w:eastAsia="Calibri" w:hAnsi="Calibri" w:cs="Calibri"/>
          <w:sz w:val="20"/>
          <w:szCs w:val="20"/>
        </w:rPr>
      </w:pPr>
    </w:p>
    <w:p w14:paraId="574C0074" w14:textId="77777777" w:rsidR="00007CDF" w:rsidRDefault="00D31BC9">
      <w:pPr>
        <w:tabs>
          <w:tab w:val="left" w:pos="1335"/>
        </w:tabs>
        <w:rPr>
          <w:rFonts w:ascii="Calibri" w:eastAsia="Calibri" w:hAnsi="Calibri" w:cs="Calibri"/>
          <w:sz w:val="20"/>
          <w:szCs w:val="20"/>
        </w:rPr>
      </w:pPr>
      <w:r>
        <w:rPr>
          <w:rFonts w:ascii="Calibri" w:eastAsia="Calibri" w:hAnsi="Calibri" w:cs="Calibri"/>
          <w:sz w:val="20"/>
          <w:szCs w:val="20"/>
        </w:rPr>
        <w:t xml:space="preserve">Ford J, Gray R (2021) </w:t>
      </w:r>
      <w:r>
        <w:rPr>
          <w:rFonts w:ascii="Calibri" w:eastAsia="Calibri" w:hAnsi="Calibri" w:cs="Calibri"/>
          <w:i/>
          <w:sz w:val="20"/>
          <w:szCs w:val="20"/>
        </w:rPr>
        <w:t>Interprofessional Education Handbook: For Educators and Practitioners incorporating Integrated Care and Values-based Practice</w:t>
      </w:r>
      <w:r>
        <w:rPr>
          <w:rFonts w:ascii="Calibri" w:eastAsia="Calibri" w:hAnsi="Calibri" w:cs="Calibri"/>
          <w:sz w:val="20"/>
          <w:szCs w:val="20"/>
        </w:rPr>
        <w:t xml:space="preserve">. Centre for the Advancement of Interprofessional Education </w:t>
      </w:r>
      <w:hyperlink r:id="rId15">
        <w:r>
          <w:rPr>
            <w:rFonts w:ascii="Calibri" w:eastAsia="Calibri" w:hAnsi="Calibri" w:cs="Calibri"/>
            <w:color w:val="0000FF"/>
            <w:sz w:val="20"/>
            <w:szCs w:val="20"/>
            <w:u w:val="single"/>
          </w:rPr>
          <w:t>https://www.caipe.org/resources/publications/caipe-publications/caipe-2021-a-new-caipe-interprofessional-education-handbook-2021-ipe-incorporating-values-based-practice-ford-j-gray-r</w:t>
        </w:r>
      </w:hyperlink>
      <w:r>
        <w:rPr>
          <w:rFonts w:ascii="Calibri" w:eastAsia="Calibri" w:hAnsi="Calibri" w:cs="Calibri"/>
          <w:sz w:val="20"/>
          <w:szCs w:val="20"/>
        </w:rPr>
        <w:t xml:space="preserve"> (accessed 4 September 2024)</w:t>
      </w:r>
    </w:p>
    <w:p w14:paraId="574C0075" w14:textId="77777777" w:rsidR="00007CDF" w:rsidRDefault="00007CDF">
      <w:pPr>
        <w:tabs>
          <w:tab w:val="left" w:pos="1335"/>
        </w:tabs>
        <w:rPr>
          <w:rFonts w:ascii="Calibri" w:eastAsia="Calibri" w:hAnsi="Calibri" w:cs="Calibri"/>
          <w:sz w:val="20"/>
          <w:szCs w:val="20"/>
        </w:rPr>
      </w:pPr>
    </w:p>
    <w:p w14:paraId="574C0076" w14:textId="77777777" w:rsidR="00007CDF" w:rsidRDefault="00D31BC9">
      <w:pPr>
        <w:tabs>
          <w:tab w:val="left" w:pos="1335"/>
        </w:tabs>
        <w:rPr>
          <w:rFonts w:ascii="Calibri" w:eastAsia="Calibri" w:hAnsi="Calibri" w:cs="Calibri"/>
          <w:sz w:val="20"/>
          <w:szCs w:val="20"/>
        </w:rPr>
      </w:pPr>
      <w:r>
        <w:rPr>
          <w:rFonts w:ascii="Calibri" w:eastAsia="Calibri" w:hAnsi="Calibri" w:cs="Calibri"/>
          <w:sz w:val="20"/>
          <w:szCs w:val="20"/>
        </w:rPr>
        <w:t xml:space="preserve">Health Education England (HEE) (2022) </w:t>
      </w:r>
      <w:r>
        <w:rPr>
          <w:rFonts w:ascii="Calibri" w:eastAsia="Calibri" w:hAnsi="Calibri" w:cs="Calibri"/>
          <w:i/>
          <w:sz w:val="20"/>
          <w:szCs w:val="20"/>
        </w:rPr>
        <w:t>Stakeholder Analysis</w:t>
      </w:r>
      <w:r>
        <w:rPr>
          <w:rFonts w:ascii="Calibri" w:eastAsia="Calibri" w:hAnsi="Calibri" w:cs="Calibri"/>
          <w:sz w:val="20"/>
          <w:szCs w:val="20"/>
        </w:rPr>
        <w:t xml:space="preserve"> </w:t>
      </w:r>
      <w:hyperlink r:id="rId16">
        <w:r>
          <w:rPr>
            <w:rFonts w:ascii="Calibri" w:eastAsia="Calibri" w:hAnsi="Calibri" w:cs="Calibri"/>
            <w:color w:val="1155CC"/>
            <w:sz w:val="20"/>
            <w:szCs w:val="20"/>
            <w:u w:val="single"/>
          </w:rPr>
          <w:t>https://heeoe.hee.nhs.uk/sites/default/files/module_3.10_-_stakeholder_analysis_0.pdf</w:t>
        </w:r>
      </w:hyperlink>
      <w:r>
        <w:rPr>
          <w:rFonts w:ascii="Calibri" w:eastAsia="Calibri" w:hAnsi="Calibri" w:cs="Calibri"/>
          <w:sz w:val="20"/>
          <w:szCs w:val="20"/>
        </w:rPr>
        <w:t xml:space="preserve">  (accessed 5.9.2024)</w:t>
      </w:r>
    </w:p>
    <w:p w14:paraId="574C0077" w14:textId="77777777" w:rsidR="00007CDF" w:rsidRDefault="00007CDF">
      <w:pPr>
        <w:tabs>
          <w:tab w:val="left" w:pos="1335"/>
        </w:tabs>
        <w:rPr>
          <w:rFonts w:ascii="Calibri" w:eastAsia="Calibri" w:hAnsi="Calibri" w:cs="Calibri"/>
          <w:sz w:val="20"/>
          <w:szCs w:val="20"/>
        </w:rPr>
      </w:pPr>
    </w:p>
    <w:p w14:paraId="574C0078" w14:textId="77777777" w:rsidR="00007CDF" w:rsidRDefault="00D31BC9">
      <w:pPr>
        <w:tabs>
          <w:tab w:val="left" w:pos="1335"/>
        </w:tabs>
        <w:rPr>
          <w:rFonts w:ascii="Calibri" w:eastAsia="Calibri" w:hAnsi="Calibri" w:cs="Calibri"/>
          <w:sz w:val="20"/>
          <w:szCs w:val="20"/>
        </w:rPr>
      </w:pPr>
      <w:r>
        <w:rPr>
          <w:rFonts w:ascii="Calibri" w:eastAsia="Calibri" w:hAnsi="Calibri" w:cs="Calibri"/>
          <w:sz w:val="20"/>
          <w:szCs w:val="20"/>
        </w:rPr>
        <w:t xml:space="preserve">Hosny S, Thistlethwaite J, El-Wazir Y, Gilbert J (2024). Interprofessional learning in practice-based settings: AMEE Guide No. 169. </w:t>
      </w:r>
      <w:r>
        <w:rPr>
          <w:rFonts w:ascii="Calibri" w:eastAsia="Calibri" w:hAnsi="Calibri" w:cs="Calibri"/>
          <w:i/>
          <w:sz w:val="20"/>
          <w:szCs w:val="20"/>
        </w:rPr>
        <w:t>Medical Teacher.</w:t>
      </w:r>
      <w:r>
        <w:rPr>
          <w:rFonts w:ascii="Calibri" w:eastAsia="Calibri" w:hAnsi="Calibri" w:cs="Calibri"/>
          <w:sz w:val="20"/>
          <w:szCs w:val="20"/>
        </w:rPr>
        <w:t xml:space="preserve"> 1–13</w:t>
      </w:r>
    </w:p>
    <w:p w14:paraId="574C0079" w14:textId="77777777" w:rsidR="00007CDF" w:rsidRDefault="00007CDF">
      <w:pPr>
        <w:tabs>
          <w:tab w:val="left" w:pos="1335"/>
        </w:tabs>
        <w:rPr>
          <w:rFonts w:ascii="Calibri" w:eastAsia="Calibri" w:hAnsi="Calibri" w:cs="Calibri"/>
          <w:sz w:val="20"/>
          <w:szCs w:val="20"/>
        </w:rPr>
      </w:pPr>
    </w:p>
    <w:p w14:paraId="574C007A" w14:textId="77777777" w:rsidR="00007CDF" w:rsidRDefault="00D31BC9">
      <w:pPr>
        <w:tabs>
          <w:tab w:val="left" w:pos="1335"/>
        </w:tabs>
        <w:rPr>
          <w:rFonts w:ascii="Calibri" w:eastAsia="Calibri" w:hAnsi="Calibri" w:cs="Calibri"/>
          <w:sz w:val="20"/>
          <w:szCs w:val="20"/>
        </w:rPr>
      </w:pPr>
      <w:r>
        <w:rPr>
          <w:rFonts w:ascii="Calibri" w:eastAsia="Calibri" w:hAnsi="Calibri" w:cs="Calibri"/>
          <w:sz w:val="20"/>
          <w:szCs w:val="20"/>
        </w:rPr>
        <w:t xml:space="preserve">Interprofessional Education Collaborative (IPEC) (2023) </w:t>
      </w:r>
      <w:r>
        <w:rPr>
          <w:rFonts w:ascii="Calibri" w:eastAsia="Calibri" w:hAnsi="Calibri" w:cs="Calibri"/>
          <w:i/>
          <w:sz w:val="20"/>
          <w:szCs w:val="20"/>
        </w:rPr>
        <w:t>IPEC Core Competencies for Interprofessional Collaborative Practice: Version 3</w:t>
      </w:r>
      <w:r>
        <w:rPr>
          <w:rFonts w:ascii="Calibri" w:eastAsia="Calibri" w:hAnsi="Calibri" w:cs="Calibri"/>
          <w:sz w:val="20"/>
          <w:szCs w:val="20"/>
        </w:rPr>
        <w:t xml:space="preserve">. </w:t>
      </w:r>
      <w:hyperlink r:id="rId17">
        <w:r>
          <w:rPr>
            <w:rFonts w:ascii="Calibri" w:eastAsia="Calibri" w:hAnsi="Calibri" w:cs="Calibri"/>
            <w:color w:val="1155CC"/>
            <w:sz w:val="20"/>
            <w:szCs w:val="20"/>
            <w:u w:val="single"/>
          </w:rPr>
          <w:t>https://www.ipecollaborative.org/ipec-core-competencies</w:t>
        </w:r>
      </w:hyperlink>
      <w:r>
        <w:rPr>
          <w:rFonts w:ascii="Calibri" w:eastAsia="Calibri" w:hAnsi="Calibri" w:cs="Calibri"/>
          <w:sz w:val="20"/>
          <w:szCs w:val="20"/>
        </w:rPr>
        <w:t xml:space="preserve">  (accessed 5 September 2024)</w:t>
      </w:r>
    </w:p>
    <w:p w14:paraId="57776329" w14:textId="77777777" w:rsidR="00D319EE" w:rsidRDefault="00D319EE">
      <w:pPr>
        <w:tabs>
          <w:tab w:val="left" w:pos="1335"/>
        </w:tabs>
        <w:rPr>
          <w:rFonts w:ascii="Calibri" w:eastAsia="Calibri" w:hAnsi="Calibri" w:cs="Calibri"/>
          <w:sz w:val="20"/>
          <w:szCs w:val="20"/>
        </w:rPr>
      </w:pPr>
    </w:p>
    <w:p w14:paraId="72C1C602" w14:textId="4F199E5C" w:rsidR="00D319EE" w:rsidRDefault="00D319EE">
      <w:pPr>
        <w:tabs>
          <w:tab w:val="left" w:pos="1335"/>
        </w:tabs>
        <w:rPr>
          <w:rFonts w:ascii="Calibri" w:eastAsia="Calibri" w:hAnsi="Calibri" w:cs="Calibri"/>
          <w:sz w:val="20"/>
          <w:szCs w:val="20"/>
        </w:rPr>
      </w:pPr>
      <w:r>
        <w:rPr>
          <w:rFonts w:ascii="Calibri" w:eastAsia="Calibri" w:hAnsi="Calibri" w:cs="Calibri"/>
          <w:sz w:val="20"/>
          <w:szCs w:val="20"/>
        </w:rPr>
        <w:t xml:space="preserve">NHS (2019) The NHS Long term Plan. </w:t>
      </w:r>
      <w:hyperlink r:id="rId18" w:history="1">
        <w:r w:rsidRPr="00552BD3">
          <w:rPr>
            <w:rStyle w:val="Hyperlink"/>
            <w:rFonts w:ascii="Calibri" w:eastAsia="Calibri" w:hAnsi="Calibri" w:cs="Calibri"/>
            <w:sz w:val="20"/>
            <w:szCs w:val="20"/>
          </w:rPr>
          <w:t>https://www.longtermplan.nhs.uk/wp-content/uploads/2019/08/nhs-long-term-plan-version-1.2pdf</w:t>
        </w:r>
      </w:hyperlink>
      <w:r>
        <w:rPr>
          <w:rFonts w:ascii="Calibri" w:eastAsia="Calibri" w:hAnsi="Calibri" w:cs="Calibri"/>
          <w:color w:val="4472C4" w:themeColor="accent1"/>
          <w:sz w:val="20"/>
          <w:szCs w:val="20"/>
        </w:rPr>
        <w:t xml:space="preserve"> </w:t>
      </w:r>
      <w:r>
        <w:rPr>
          <w:rFonts w:ascii="Calibri" w:eastAsia="Calibri" w:hAnsi="Calibri" w:cs="Calibri"/>
          <w:sz w:val="20"/>
          <w:szCs w:val="20"/>
        </w:rPr>
        <w:t>(accessed 10 January 2025)</w:t>
      </w:r>
    </w:p>
    <w:p w14:paraId="50CFC8F5" w14:textId="77777777" w:rsidR="00D319EE" w:rsidRDefault="00D319EE">
      <w:pPr>
        <w:tabs>
          <w:tab w:val="left" w:pos="1335"/>
        </w:tabs>
        <w:rPr>
          <w:rFonts w:ascii="Calibri" w:eastAsia="Calibri" w:hAnsi="Calibri" w:cs="Calibri"/>
          <w:sz w:val="20"/>
          <w:szCs w:val="20"/>
        </w:rPr>
      </w:pPr>
    </w:p>
    <w:p w14:paraId="6966079F" w14:textId="79698DAC" w:rsidR="00D319EE" w:rsidRPr="00D319EE" w:rsidRDefault="00D319EE">
      <w:pPr>
        <w:tabs>
          <w:tab w:val="left" w:pos="1335"/>
        </w:tabs>
        <w:rPr>
          <w:rFonts w:ascii="Calibri" w:eastAsia="Calibri" w:hAnsi="Calibri" w:cs="Calibri"/>
          <w:sz w:val="20"/>
          <w:szCs w:val="20"/>
        </w:rPr>
      </w:pPr>
      <w:r>
        <w:rPr>
          <w:rFonts w:ascii="Calibri" w:eastAsia="Calibri" w:hAnsi="Calibri" w:cs="Calibri"/>
          <w:sz w:val="20"/>
          <w:szCs w:val="20"/>
        </w:rPr>
        <w:t xml:space="preserve">Ockenden D (2022) Findings, Conclusions, and Essential Actions: From the independent review of maternity services at Shrewsbury and Telford Hospital NHS Trust. </w:t>
      </w:r>
      <w:hyperlink r:id="rId19" w:history="1">
        <w:r w:rsidRPr="00552BD3">
          <w:rPr>
            <w:rStyle w:val="Hyperlink"/>
            <w:rFonts w:ascii="Calibri" w:eastAsia="Calibri" w:hAnsi="Calibri" w:cs="Calibri"/>
            <w:sz w:val="20"/>
            <w:szCs w:val="20"/>
          </w:rPr>
          <w:t>https://www.ockendenmaternityreview.org.uk/wpcontent/uploads/2022/03/</w:t>
        </w:r>
      </w:hyperlink>
      <w:r>
        <w:rPr>
          <w:rFonts w:ascii="Calibri" w:eastAsia="Calibri" w:hAnsi="Calibri" w:cs="Calibri"/>
          <w:color w:val="4472C4" w:themeColor="accent1"/>
          <w:sz w:val="20"/>
          <w:szCs w:val="20"/>
        </w:rPr>
        <w:t xml:space="preserve"> FINAL_INDEPENDENT_MATERNITY_REVIEW_OF_MATERNITY_SERVICES_REPORT.pdf </w:t>
      </w:r>
      <w:r>
        <w:rPr>
          <w:rFonts w:ascii="Calibri" w:eastAsia="Calibri" w:hAnsi="Calibri" w:cs="Calibri"/>
          <w:sz w:val="20"/>
          <w:szCs w:val="20"/>
        </w:rPr>
        <w:t>(accessed 10 January 2025)</w:t>
      </w:r>
    </w:p>
    <w:p w14:paraId="574C007B" w14:textId="77777777" w:rsidR="00007CDF" w:rsidRDefault="00007CDF">
      <w:pPr>
        <w:tabs>
          <w:tab w:val="left" w:pos="1335"/>
        </w:tabs>
        <w:rPr>
          <w:rFonts w:ascii="Calibri" w:eastAsia="Calibri" w:hAnsi="Calibri" w:cs="Calibri"/>
          <w:sz w:val="20"/>
          <w:szCs w:val="20"/>
        </w:rPr>
      </w:pPr>
    </w:p>
    <w:p w14:paraId="574C007C" w14:textId="77777777" w:rsidR="00007CDF" w:rsidRDefault="00D31BC9">
      <w:pPr>
        <w:tabs>
          <w:tab w:val="left" w:pos="1335"/>
        </w:tabs>
        <w:rPr>
          <w:rFonts w:ascii="Calibri" w:eastAsia="Calibri" w:hAnsi="Calibri" w:cs="Calibri"/>
          <w:sz w:val="20"/>
          <w:szCs w:val="20"/>
        </w:rPr>
      </w:pPr>
      <w:r>
        <w:rPr>
          <w:rFonts w:ascii="Calibri" w:eastAsia="Calibri" w:hAnsi="Calibri" w:cs="Calibri"/>
          <w:sz w:val="20"/>
          <w:szCs w:val="20"/>
        </w:rPr>
        <w:lastRenderedPageBreak/>
        <w:t xml:space="preserve">Park V (2024) </w:t>
      </w:r>
      <w:r>
        <w:rPr>
          <w:rFonts w:ascii="Calibri" w:eastAsia="Calibri" w:hAnsi="Calibri" w:cs="Calibri"/>
          <w:i/>
          <w:sz w:val="20"/>
          <w:szCs w:val="20"/>
        </w:rPr>
        <w:t xml:space="preserve">2024 Northumbria University Interprofessional Education Five Year Strategy: Guiding Interprofessional Education in Health and Social Care Curriculum. </w:t>
      </w:r>
      <w:r>
        <w:rPr>
          <w:rFonts w:ascii="Calibri" w:eastAsia="Calibri" w:hAnsi="Calibri" w:cs="Calibri"/>
          <w:sz w:val="20"/>
          <w:szCs w:val="20"/>
        </w:rPr>
        <w:t>Newcastle, United Kingdom. Northumbria University.</w:t>
      </w:r>
    </w:p>
    <w:p w14:paraId="574C007D" w14:textId="77777777" w:rsidR="00007CDF" w:rsidRDefault="00007CDF">
      <w:pPr>
        <w:tabs>
          <w:tab w:val="left" w:pos="1335"/>
        </w:tabs>
        <w:rPr>
          <w:rFonts w:ascii="Calibri" w:eastAsia="Calibri" w:hAnsi="Calibri" w:cs="Calibri"/>
          <w:sz w:val="20"/>
          <w:szCs w:val="20"/>
        </w:rPr>
      </w:pPr>
    </w:p>
    <w:p w14:paraId="574C007E" w14:textId="77777777" w:rsidR="00007CDF" w:rsidRDefault="00D31BC9">
      <w:pPr>
        <w:tabs>
          <w:tab w:val="left" w:pos="1335"/>
        </w:tabs>
        <w:rPr>
          <w:rFonts w:ascii="Calibri" w:eastAsia="Calibri" w:hAnsi="Calibri" w:cs="Calibri"/>
          <w:sz w:val="20"/>
          <w:szCs w:val="20"/>
        </w:rPr>
      </w:pPr>
      <w:r>
        <w:rPr>
          <w:rFonts w:ascii="Calibri" w:eastAsia="Calibri" w:hAnsi="Calibri" w:cs="Calibri"/>
          <w:sz w:val="20"/>
          <w:szCs w:val="20"/>
        </w:rPr>
        <w:t xml:space="preserve">Park V (2022) Moving interprofessional education to a virtual platform. </w:t>
      </w:r>
      <w:r>
        <w:rPr>
          <w:rFonts w:ascii="Calibri" w:eastAsia="Calibri" w:hAnsi="Calibri" w:cs="Calibri"/>
          <w:i/>
          <w:sz w:val="20"/>
          <w:szCs w:val="20"/>
        </w:rPr>
        <w:t>British Journal of Nursing.</w:t>
      </w:r>
      <w:r>
        <w:rPr>
          <w:rFonts w:ascii="Calibri" w:eastAsia="Calibri" w:hAnsi="Calibri" w:cs="Calibri"/>
          <w:sz w:val="20"/>
          <w:szCs w:val="20"/>
        </w:rPr>
        <w:t xml:space="preserve"> 31:5, 264.</w:t>
      </w:r>
    </w:p>
    <w:p w14:paraId="574C007F" w14:textId="77777777" w:rsidR="00007CDF" w:rsidRDefault="00007CDF">
      <w:pPr>
        <w:tabs>
          <w:tab w:val="left" w:pos="1335"/>
        </w:tabs>
        <w:rPr>
          <w:rFonts w:ascii="Calibri" w:eastAsia="Calibri" w:hAnsi="Calibri" w:cs="Calibri"/>
          <w:sz w:val="20"/>
          <w:szCs w:val="20"/>
        </w:rPr>
      </w:pPr>
    </w:p>
    <w:p w14:paraId="574C0080" w14:textId="77777777" w:rsidR="00007CDF" w:rsidRDefault="00D31BC9">
      <w:pPr>
        <w:tabs>
          <w:tab w:val="left" w:pos="1335"/>
        </w:tabs>
        <w:rPr>
          <w:rFonts w:ascii="Calibri" w:eastAsia="Calibri" w:hAnsi="Calibri" w:cs="Calibri"/>
          <w:sz w:val="20"/>
          <w:szCs w:val="20"/>
        </w:rPr>
      </w:pPr>
      <w:r>
        <w:rPr>
          <w:rFonts w:ascii="Calibri" w:eastAsia="Calibri" w:hAnsi="Calibri" w:cs="Calibri"/>
          <w:sz w:val="20"/>
          <w:szCs w:val="20"/>
        </w:rPr>
        <w:t xml:space="preserve">Power A, Sy M, Hutchings M, Coleman T, El-Awaisi A, </w:t>
      </w:r>
      <w:proofErr w:type="spellStart"/>
      <w:r>
        <w:rPr>
          <w:rFonts w:ascii="Calibri" w:eastAsia="Calibri" w:hAnsi="Calibri" w:cs="Calibri"/>
          <w:sz w:val="20"/>
          <w:szCs w:val="20"/>
        </w:rPr>
        <w:t>Kitema</w:t>
      </w:r>
      <w:proofErr w:type="spellEnd"/>
      <w:r>
        <w:rPr>
          <w:rFonts w:ascii="Calibri" w:eastAsia="Calibri" w:hAnsi="Calibri" w:cs="Calibri"/>
          <w:sz w:val="20"/>
          <w:szCs w:val="20"/>
        </w:rPr>
        <w:t xml:space="preserve"> G, Gallagher J, Herath C, McLarnon N, Nagraj S, Nazar H, O'Carroll V, Owens M, Park V, Pope E, </w:t>
      </w:r>
      <w:proofErr w:type="spellStart"/>
      <w:r>
        <w:rPr>
          <w:rFonts w:ascii="Calibri" w:eastAsia="Calibri" w:hAnsi="Calibri" w:cs="Calibri"/>
          <w:sz w:val="20"/>
          <w:szCs w:val="20"/>
        </w:rPr>
        <w:t>Wetzlmair</w:t>
      </w:r>
      <w:proofErr w:type="spellEnd"/>
      <w:r>
        <w:rPr>
          <w:rFonts w:ascii="Calibri" w:eastAsia="Calibri" w:hAnsi="Calibri" w:cs="Calibri"/>
          <w:sz w:val="20"/>
          <w:szCs w:val="20"/>
        </w:rPr>
        <w:t xml:space="preserve"> L-C, Anderson E, Greaves J (2021) ‘Learning in Lockdown’: exploring the experiences of the impact of COVID-19 on Interprofessional Education from academics’, students’, and service users’ perspectives.</w:t>
      </w:r>
      <w:r>
        <w:rPr>
          <w:rFonts w:ascii="Calibri" w:eastAsia="Calibri" w:hAnsi="Calibri" w:cs="Calibri"/>
          <w:i/>
          <w:sz w:val="20"/>
          <w:szCs w:val="20"/>
        </w:rPr>
        <w:t xml:space="preserve"> British Journal of Midwifery,</w:t>
      </w:r>
      <w:r>
        <w:rPr>
          <w:rFonts w:ascii="Calibri" w:eastAsia="Calibri" w:hAnsi="Calibri" w:cs="Calibri"/>
          <w:sz w:val="20"/>
          <w:szCs w:val="20"/>
        </w:rPr>
        <w:t xml:space="preserve"> 29:11, 648-652.</w:t>
      </w:r>
    </w:p>
    <w:p w14:paraId="574C0081" w14:textId="77777777" w:rsidR="00007CDF" w:rsidRDefault="00007CDF">
      <w:pPr>
        <w:tabs>
          <w:tab w:val="left" w:pos="1335"/>
        </w:tabs>
        <w:rPr>
          <w:rFonts w:ascii="Calibri" w:eastAsia="Calibri" w:hAnsi="Calibri" w:cs="Calibri"/>
          <w:sz w:val="20"/>
          <w:szCs w:val="20"/>
        </w:rPr>
      </w:pPr>
    </w:p>
    <w:p w14:paraId="574C0082" w14:textId="77777777" w:rsidR="00007CDF" w:rsidRDefault="00D31BC9">
      <w:pPr>
        <w:tabs>
          <w:tab w:val="left" w:pos="1335"/>
        </w:tabs>
        <w:rPr>
          <w:rFonts w:ascii="Calibri" w:eastAsia="Calibri" w:hAnsi="Calibri" w:cs="Calibri"/>
          <w:sz w:val="20"/>
          <w:szCs w:val="20"/>
        </w:rPr>
      </w:pPr>
      <w:r>
        <w:rPr>
          <w:rFonts w:ascii="Calibri" w:eastAsia="Calibri" w:hAnsi="Calibri" w:cs="Calibri"/>
          <w:sz w:val="20"/>
          <w:szCs w:val="20"/>
        </w:rPr>
        <w:t xml:space="preserve">Reinders JJ, Krijnen W (2023) Interprofessional identity and motivation towards interprofessional collaboration. </w:t>
      </w:r>
      <w:r>
        <w:rPr>
          <w:rFonts w:ascii="Calibri" w:eastAsia="Calibri" w:hAnsi="Calibri" w:cs="Calibri"/>
          <w:i/>
          <w:sz w:val="20"/>
          <w:szCs w:val="20"/>
        </w:rPr>
        <w:t>Medical Education</w:t>
      </w:r>
      <w:r>
        <w:rPr>
          <w:rFonts w:ascii="Calibri" w:eastAsia="Calibri" w:hAnsi="Calibri" w:cs="Calibri"/>
          <w:sz w:val="20"/>
          <w:szCs w:val="20"/>
        </w:rPr>
        <w:t xml:space="preserve"> 57:11, 1068-1078. </w:t>
      </w:r>
    </w:p>
    <w:p w14:paraId="574C0083" w14:textId="77777777" w:rsidR="00007CDF" w:rsidRDefault="00007CDF">
      <w:pPr>
        <w:tabs>
          <w:tab w:val="left" w:pos="1335"/>
        </w:tabs>
        <w:rPr>
          <w:rFonts w:ascii="Calibri" w:eastAsia="Calibri" w:hAnsi="Calibri" w:cs="Calibri"/>
          <w:sz w:val="20"/>
          <w:szCs w:val="20"/>
        </w:rPr>
      </w:pPr>
    </w:p>
    <w:p w14:paraId="574C0084" w14:textId="2F2C4294" w:rsidR="00007CDF" w:rsidRDefault="00D319EE">
      <w:pPr>
        <w:tabs>
          <w:tab w:val="left" w:pos="1335"/>
        </w:tabs>
        <w:rPr>
          <w:rFonts w:ascii="Calibri" w:eastAsia="Calibri" w:hAnsi="Calibri" w:cs="Calibri"/>
          <w:sz w:val="20"/>
          <w:szCs w:val="20"/>
        </w:rPr>
      </w:pPr>
      <w:r>
        <w:rPr>
          <w:rFonts w:ascii="Calibri" w:eastAsia="Calibri" w:hAnsi="Calibri" w:cs="Calibri"/>
          <w:sz w:val="20"/>
          <w:szCs w:val="20"/>
        </w:rPr>
        <w:t>V</w:t>
      </w:r>
      <w:r w:rsidR="00D31BC9">
        <w:rPr>
          <w:rFonts w:ascii="Calibri" w:eastAsia="Calibri" w:hAnsi="Calibri" w:cs="Calibri"/>
          <w:sz w:val="20"/>
          <w:szCs w:val="20"/>
        </w:rPr>
        <w:t xml:space="preserve">an </w:t>
      </w:r>
      <w:proofErr w:type="spellStart"/>
      <w:r w:rsidR="00D31BC9">
        <w:rPr>
          <w:rFonts w:ascii="Calibri" w:eastAsia="Calibri" w:hAnsi="Calibri" w:cs="Calibri"/>
          <w:sz w:val="20"/>
          <w:szCs w:val="20"/>
        </w:rPr>
        <w:t>Diggele</w:t>
      </w:r>
      <w:proofErr w:type="spellEnd"/>
      <w:r w:rsidR="00D31BC9">
        <w:rPr>
          <w:rFonts w:ascii="Calibri" w:eastAsia="Calibri" w:hAnsi="Calibri" w:cs="Calibri"/>
          <w:sz w:val="20"/>
          <w:szCs w:val="20"/>
        </w:rPr>
        <w:t xml:space="preserve"> C, Roberts C, Burgess A, Mellis C (2020) Interprofessional education: tips for design and implementation. </w:t>
      </w:r>
      <w:r w:rsidR="00D31BC9">
        <w:rPr>
          <w:rFonts w:ascii="Calibri" w:eastAsia="Calibri" w:hAnsi="Calibri" w:cs="Calibri"/>
          <w:i/>
          <w:sz w:val="20"/>
          <w:szCs w:val="20"/>
        </w:rPr>
        <w:t>BMC Medical Education</w:t>
      </w:r>
      <w:r w:rsidR="00D31BC9">
        <w:rPr>
          <w:rFonts w:ascii="Calibri" w:eastAsia="Calibri" w:hAnsi="Calibri" w:cs="Calibri"/>
          <w:sz w:val="20"/>
          <w:szCs w:val="20"/>
        </w:rPr>
        <w:t xml:space="preserve"> 20 (</w:t>
      </w:r>
      <w:proofErr w:type="spellStart"/>
      <w:r w:rsidR="00D31BC9">
        <w:rPr>
          <w:rFonts w:ascii="Calibri" w:eastAsia="Calibri" w:hAnsi="Calibri" w:cs="Calibri"/>
          <w:sz w:val="20"/>
          <w:szCs w:val="20"/>
        </w:rPr>
        <w:t>Suppl</w:t>
      </w:r>
      <w:proofErr w:type="spellEnd"/>
      <w:r w:rsidR="00D31BC9">
        <w:rPr>
          <w:rFonts w:ascii="Calibri" w:eastAsia="Calibri" w:hAnsi="Calibri" w:cs="Calibri"/>
          <w:sz w:val="20"/>
          <w:szCs w:val="20"/>
        </w:rPr>
        <w:t xml:space="preserve"> 2): 455 </w:t>
      </w:r>
    </w:p>
    <w:p w14:paraId="1F220051" w14:textId="77777777" w:rsidR="00D319EE" w:rsidRDefault="00D319EE">
      <w:pPr>
        <w:tabs>
          <w:tab w:val="left" w:pos="1335"/>
        </w:tabs>
        <w:rPr>
          <w:rFonts w:ascii="Calibri" w:eastAsia="Calibri" w:hAnsi="Calibri" w:cs="Calibri"/>
          <w:sz w:val="20"/>
          <w:szCs w:val="20"/>
        </w:rPr>
      </w:pPr>
    </w:p>
    <w:p w14:paraId="33375937" w14:textId="2F89CF44" w:rsidR="00D319EE" w:rsidRDefault="00D319EE">
      <w:pPr>
        <w:tabs>
          <w:tab w:val="left" w:pos="1335"/>
        </w:tabs>
        <w:rPr>
          <w:rFonts w:ascii="Calibri" w:eastAsia="Calibri" w:hAnsi="Calibri" w:cs="Calibri"/>
          <w:sz w:val="20"/>
          <w:szCs w:val="20"/>
        </w:rPr>
      </w:pPr>
      <w:r>
        <w:rPr>
          <w:rFonts w:ascii="Calibri" w:eastAsia="Calibri" w:hAnsi="Calibri" w:cs="Calibri"/>
          <w:sz w:val="20"/>
          <w:szCs w:val="20"/>
        </w:rPr>
        <w:t xml:space="preserve">World Health Organisation (2022) Global Competency Framework for Universal Health Coverage </w:t>
      </w:r>
      <w:hyperlink r:id="rId20" w:history="1">
        <w:r w:rsidRPr="00552BD3">
          <w:rPr>
            <w:rStyle w:val="Hyperlink"/>
            <w:rFonts w:ascii="Calibri" w:eastAsia="Calibri" w:hAnsi="Calibri" w:cs="Calibri"/>
            <w:sz w:val="20"/>
            <w:szCs w:val="20"/>
          </w:rPr>
          <w:t>https://www.who.int/publications/i/item/9789240034686</w:t>
        </w:r>
      </w:hyperlink>
      <w:r>
        <w:rPr>
          <w:rFonts w:ascii="Calibri" w:eastAsia="Calibri" w:hAnsi="Calibri" w:cs="Calibri"/>
          <w:color w:val="4472C4" w:themeColor="accent1"/>
          <w:sz w:val="20"/>
          <w:szCs w:val="20"/>
        </w:rPr>
        <w:t xml:space="preserve"> </w:t>
      </w:r>
      <w:r>
        <w:rPr>
          <w:rFonts w:ascii="Calibri" w:eastAsia="Calibri" w:hAnsi="Calibri" w:cs="Calibri"/>
          <w:sz w:val="20"/>
          <w:szCs w:val="20"/>
        </w:rPr>
        <w:t>(accessed 10 January 2025)</w:t>
      </w:r>
    </w:p>
    <w:p w14:paraId="0DDB20FD" w14:textId="77777777" w:rsidR="00BA11A8" w:rsidRDefault="00BA11A8">
      <w:pPr>
        <w:tabs>
          <w:tab w:val="left" w:pos="1335"/>
        </w:tabs>
        <w:rPr>
          <w:rFonts w:ascii="Calibri" w:eastAsia="Calibri" w:hAnsi="Calibri" w:cs="Calibri"/>
          <w:sz w:val="20"/>
          <w:szCs w:val="20"/>
        </w:rPr>
      </w:pPr>
    </w:p>
    <w:p w14:paraId="062B76A5" w14:textId="3B526FE6" w:rsidR="00BA11A8" w:rsidRPr="00D319EE" w:rsidRDefault="00BA11A8">
      <w:pPr>
        <w:tabs>
          <w:tab w:val="left" w:pos="1335"/>
        </w:tabs>
        <w:rPr>
          <w:rFonts w:ascii="Calibri" w:eastAsia="Calibri" w:hAnsi="Calibri" w:cs="Calibri"/>
          <w:sz w:val="20"/>
          <w:szCs w:val="20"/>
        </w:rPr>
      </w:pPr>
      <w:r>
        <w:rPr>
          <w:rFonts w:ascii="Calibri" w:eastAsia="Calibri" w:hAnsi="Calibri" w:cs="Calibri"/>
          <w:sz w:val="20"/>
          <w:szCs w:val="20"/>
        </w:rPr>
        <w:t xml:space="preserve">World Health Organisation (2010) WHO Framework for Action on Interprofessional Education and Collaborative Practice. </w:t>
      </w:r>
      <w:hyperlink r:id="rId21" w:history="1">
        <w:r w:rsidRPr="00552BD3">
          <w:rPr>
            <w:rStyle w:val="Hyperlink"/>
            <w:rFonts w:ascii="Calibri" w:eastAsia="Calibri" w:hAnsi="Calibri" w:cs="Calibri"/>
            <w:sz w:val="20"/>
            <w:szCs w:val="20"/>
          </w:rPr>
          <w:t>https://www.who.int/publications/i/item/framework-for-action-oninterprofessional-education-collaborative-practice</w:t>
        </w:r>
      </w:hyperlink>
      <w:r>
        <w:rPr>
          <w:rFonts w:ascii="Calibri" w:eastAsia="Calibri" w:hAnsi="Calibri" w:cs="Calibri"/>
          <w:color w:val="4472C4" w:themeColor="accent1"/>
          <w:sz w:val="20"/>
          <w:szCs w:val="20"/>
        </w:rPr>
        <w:t xml:space="preserve"> (</w:t>
      </w:r>
      <w:r>
        <w:rPr>
          <w:rFonts w:ascii="Calibri" w:eastAsia="Calibri" w:hAnsi="Calibri" w:cs="Calibri"/>
          <w:sz w:val="20"/>
          <w:szCs w:val="20"/>
        </w:rPr>
        <w:t xml:space="preserve">accessed 10 January 2025) </w:t>
      </w:r>
    </w:p>
    <w:sectPr w:rsidR="00BA11A8" w:rsidRPr="00D319EE" w:rsidSect="00287694">
      <w:headerReference w:type="default" r:id="rId22"/>
      <w:footerReference w:type="even" r:id="rId23"/>
      <w:footerReference w:type="default" r:id="rId24"/>
      <w:pgSz w:w="11906" w:h="16838"/>
      <w:pgMar w:top="1440" w:right="1797" w:bottom="1440" w:left="179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D10463" w14:textId="77777777" w:rsidR="00202F9E" w:rsidRDefault="00202F9E">
      <w:r>
        <w:separator/>
      </w:r>
    </w:p>
  </w:endnote>
  <w:endnote w:type="continuationSeparator" w:id="0">
    <w:p w14:paraId="30D9C0BD" w14:textId="77777777" w:rsidR="00202F9E" w:rsidRDefault="00202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A4AF911D-9679-4FB3-A576-C357E84EE597}"/>
  </w:font>
  <w:font w:name="Calibri Light">
    <w:panose1 w:val="020F0302020204030204"/>
    <w:charset w:val="00"/>
    <w:family w:val="swiss"/>
    <w:pitch w:val="variable"/>
    <w:sig w:usb0="E4002EFF" w:usb1="C200247B" w:usb2="00000009" w:usb3="00000000" w:csb0="000001FF" w:csb1="00000000"/>
    <w:embedRegular r:id="rId2" w:fontKey="{457BEB5B-E09C-4E36-8C0A-6FCA04FA327F}"/>
    <w:embedBold r:id="rId3" w:fontKey="{23ED18D3-DB8C-4170-B968-3FB66E651EF9}"/>
  </w:font>
  <w:font w:name="Tahoma">
    <w:panose1 w:val="020B0604030504040204"/>
    <w:charset w:val="00"/>
    <w:family w:val="swiss"/>
    <w:pitch w:val="variable"/>
    <w:sig w:usb0="E1002EFF" w:usb1="C000605B" w:usb2="00000029" w:usb3="00000000" w:csb0="000101FF" w:csb1="00000000"/>
    <w:embedRegular r:id="rId4" w:fontKey="{0B2E5BC5-2CB8-4D83-8FE2-171B228254E8}"/>
  </w:font>
  <w:font w:name="Calibri">
    <w:panose1 w:val="020F0502020204030204"/>
    <w:charset w:val="00"/>
    <w:family w:val="swiss"/>
    <w:pitch w:val="variable"/>
    <w:sig w:usb0="E4002EFF" w:usb1="C200247B" w:usb2="00000009" w:usb3="00000000" w:csb0="000001FF" w:csb1="00000000"/>
    <w:embedRegular r:id="rId5" w:fontKey="{0D5BAC2C-400E-4360-8F00-689037C54486}"/>
    <w:embedBold r:id="rId6" w:fontKey="{2BDAFC4F-9F56-403F-821E-DE7CEE53A124}"/>
    <w:embedItalic r:id="rId7" w:fontKey="{EBE7FBC4-997A-40AA-8F57-7B4230E46D6C}"/>
    <w:embedBoldItalic r:id="rId8" w:fontKey="{86EFA85E-75E5-4DA1-A2D9-189341627E2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C0088" w14:textId="77777777" w:rsidR="00007CDF" w:rsidRDefault="00D31BC9">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end"/>
    </w:r>
  </w:p>
  <w:p w14:paraId="574C0089" w14:textId="77777777" w:rsidR="00007CDF" w:rsidRDefault="00007CDF">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C008A" w14:textId="21FFAAC1" w:rsidR="00007CDF" w:rsidRDefault="00D31BC9">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E73798">
      <w:rPr>
        <w:noProof/>
        <w:color w:val="000000"/>
      </w:rPr>
      <w:t>8</w:t>
    </w:r>
    <w:r>
      <w:rPr>
        <w:color w:val="000000"/>
      </w:rPr>
      <w:fldChar w:fldCharType="end"/>
    </w:r>
  </w:p>
  <w:p w14:paraId="574C008B" w14:textId="77777777" w:rsidR="00007CDF" w:rsidRDefault="00007CDF">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09361" w14:textId="77777777" w:rsidR="00202F9E" w:rsidRDefault="00202F9E">
      <w:r>
        <w:separator/>
      </w:r>
    </w:p>
  </w:footnote>
  <w:footnote w:type="continuationSeparator" w:id="0">
    <w:p w14:paraId="39EAD1A1" w14:textId="77777777" w:rsidR="00202F9E" w:rsidRDefault="00202F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C0087" w14:textId="77777777" w:rsidR="00007CDF" w:rsidRDefault="00007CDF">
    <w:pPr>
      <w:pBdr>
        <w:top w:val="nil"/>
        <w:left w:val="nil"/>
        <w:bottom w:val="nil"/>
        <w:right w:val="nil"/>
        <w:between w:val="nil"/>
      </w:pBdr>
      <w:tabs>
        <w:tab w:val="center" w:pos="4513"/>
        <w:tab w:val="right" w:pos="9026"/>
      </w:tabs>
      <w:jc w:val="center"/>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A345DE"/>
    <w:multiLevelType w:val="multilevel"/>
    <w:tmpl w:val="25D6D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2C43E3"/>
    <w:multiLevelType w:val="hybridMultilevel"/>
    <w:tmpl w:val="30080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10072C"/>
    <w:multiLevelType w:val="multilevel"/>
    <w:tmpl w:val="CB1ED5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DC95C2A"/>
    <w:multiLevelType w:val="multilevel"/>
    <w:tmpl w:val="16841B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96244336">
    <w:abstractNumId w:val="0"/>
  </w:num>
  <w:num w:numId="2" w16cid:durableId="383800512">
    <w:abstractNumId w:val="3"/>
  </w:num>
  <w:num w:numId="3" w16cid:durableId="590087295">
    <w:abstractNumId w:val="2"/>
  </w:num>
  <w:num w:numId="4" w16cid:durableId="9239930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CDF"/>
    <w:rsid w:val="00007CDF"/>
    <w:rsid w:val="00030DC0"/>
    <w:rsid w:val="0004037C"/>
    <w:rsid w:val="00053547"/>
    <w:rsid w:val="0007589B"/>
    <w:rsid w:val="000E4FCE"/>
    <w:rsid w:val="00131E8D"/>
    <w:rsid w:val="001375BD"/>
    <w:rsid w:val="001C3909"/>
    <w:rsid w:val="001D6628"/>
    <w:rsid w:val="001F0610"/>
    <w:rsid w:val="00202F9E"/>
    <w:rsid w:val="002066D5"/>
    <w:rsid w:val="002234EC"/>
    <w:rsid w:val="00253518"/>
    <w:rsid w:val="00287694"/>
    <w:rsid w:val="00304630"/>
    <w:rsid w:val="00381474"/>
    <w:rsid w:val="0039425D"/>
    <w:rsid w:val="003E179C"/>
    <w:rsid w:val="003F4930"/>
    <w:rsid w:val="0040610B"/>
    <w:rsid w:val="004404DD"/>
    <w:rsid w:val="005615B6"/>
    <w:rsid w:val="005A03E7"/>
    <w:rsid w:val="005E5072"/>
    <w:rsid w:val="006036B8"/>
    <w:rsid w:val="00620C70"/>
    <w:rsid w:val="00675B6F"/>
    <w:rsid w:val="00684B4B"/>
    <w:rsid w:val="0068791B"/>
    <w:rsid w:val="006B2107"/>
    <w:rsid w:val="00704A04"/>
    <w:rsid w:val="007B763C"/>
    <w:rsid w:val="008243A2"/>
    <w:rsid w:val="008B64E1"/>
    <w:rsid w:val="00915FC3"/>
    <w:rsid w:val="00926B5E"/>
    <w:rsid w:val="00964DFF"/>
    <w:rsid w:val="00973763"/>
    <w:rsid w:val="009A0356"/>
    <w:rsid w:val="009C0079"/>
    <w:rsid w:val="009D0112"/>
    <w:rsid w:val="009F01A8"/>
    <w:rsid w:val="00A56B51"/>
    <w:rsid w:val="00A57582"/>
    <w:rsid w:val="00B35362"/>
    <w:rsid w:val="00B37E8A"/>
    <w:rsid w:val="00B50105"/>
    <w:rsid w:val="00B526B3"/>
    <w:rsid w:val="00B67D6B"/>
    <w:rsid w:val="00BA0A49"/>
    <w:rsid w:val="00BA11A8"/>
    <w:rsid w:val="00C27470"/>
    <w:rsid w:val="00C56EDC"/>
    <w:rsid w:val="00CE5FAA"/>
    <w:rsid w:val="00D151FE"/>
    <w:rsid w:val="00D319EE"/>
    <w:rsid w:val="00D31BC9"/>
    <w:rsid w:val="00D56805"/>
    <w:rsid w:val="00D67B58"/>
    <w:rsid w:val="00DA7060"/>
    <w:rsid w:val="00DA7A47"/>
    <w:rsid w:val="00E50FB0"/>
    <w:rsid w:val="00E73798"/>
    <w:rsid w:val="00E847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BFFE0"/>
  <w15:docId w15:val="{A486CC4A-A510-45F2-B0DA-DAAB6E6B1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ED2"/>
    <w:rPr>
      <w:lang w:eastAsia="en-US"/>
    </w:rPr>
  </w:style>
  <w:style w:type="paragraph" w:styleId="Heading1">
    <w:name w:val="heading 1"/>
    <w:basedOn w:val="Normal"/>
    <w:next w:val="Normal"/>
    <w:link w:val="Heading1Char"/>
    <w:uiPriority w:val="9"/>
    <w:qFormat/>
    <w:rsid w:val="00A11881"/>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semiHidden/>
    <w:unhideWhenUsed/>
    <w:qFormat/>
    <w:rsid w:val="007A37A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CommentReference">
    <w:name w:val="annotation reference"/>
    <w:semiHidden/>
    <w:rsid w:val="00BE1D19"/>
    <w:rPr>
      <w:sz w:val="16"/>
      <w:szCs w:val="16"/>
    </w:rPr>
  </w:style>
  <w:style w:type="paragraph" w:styleId="CommentText">
    <w:name w:val="annotation text"/>
    <w:basedOn w:val="Normal"/>
    <w:semiHidden/>
    <w:rsid w:val="00BE1D19"/>
    <w:rPr>
      <w:sz w:val="20"/>
      <w:szCs w:val="20"/>
    </w:rPr>
  </w:style>
  <w:style w:type="paragraph" w:styleId="CommentSubject">
    <w:name w:val="annotation subject"/>
    <w:basedOn w:val="CommentText"/>
    <w:next w:val="CommentText"/>
    <w:semiHidden/>
    <w:rsid w:val="00BE1D19"/>
    <w:rPr>
      <w:b/>
      <w:bCs/>
    </w:rPr>
  </w:style>
  <w:style w:type="paragraph" w:styleId="BalloonText">
    <w:name w:val="Balloon Text"/>
    <w:basedOn w:val="Normal"/>
    <w:semiHidden/>
    <w:rsid w:val="00BE1D19"/>
    <w:rPr>
      <w:rFonts w:ascii="Tahoma" w:hAnsi="Tahoma" w:cs="Tahoma"/>
      <w:sz w:val="16"/>
      <w:szCs w:val="16"/>
    </w:rPr>
  </w:style>
  <w:style w:type="character" w:styleId="Hyperlink">
    <w:name w:val="Hyperlink"/>
    <w:rsid w:val="00BE1D19"/>
    <w:rPr>
      <w:color w:val="0000FF"/>
      <w:u w:val="single"/>
    </w:rPr>
  </w:style>
  <w:style w:type="paragraph" w:styleId="Footer">
    <w:name w:val="footer"/>
    <w:basedOn w:val="Normal"/>
    <w:link w:val="FooterChar"/>
    <w:rsid w:val="00007063"/>
    <w:pPr>
      <w:tabs>
        <w:tab w:val="center" w:pos="4153"/>
        <w:tab w:val="right" w:pos="8306"/>
      </w:tabs>
    </w:pPr>
  </w:style>
  <w:style w:type="character" w:styleId="PageNumber">
    <w:name w:val="page number"/>
    <w:basedOn w:val="DefaultParagraphFont"/>
    <w:rsid w:val="00007063"/>
  </w:style>
  <w:style w:type="paragraph" w:styleId="NormalWeb">
    <w:name w:val="Normal (Web)"/>
    <w:basedOn w:val="Normal"/>
    <w:uiPriority w:val="99"/>
    <w:rsid w:val="00465AB8"/>
    <w:pPr>
      <w:spacing w:before="100" w:beforeAutospacing="1" w:after="100" w:afterAutospacing="1"/>
    </w:pPr>
    <w:rPr>
      <w:lang w:eastAsia="en-GB"/>
    </w:rPr>
  </w:style>
  <w:style w:type="paragraph" w:customStyle="1" w:styleId="xxmsonormal">
    <w:name w:val="x_x_msonormal"/>
    <w:basedOn w:val="Normal"/>
    <w:rsid w:val="00465AB8"/>
    <w:pPr>
      <w:spacing w:before="100" w:beforeAutospacing="1" w:after="100" w:afterAutospacing="1"/>
    </w:pPr>
    <w:rPr>
      <w:lang w:eastAsia="en-GB"/>
    </w:rPr>
  </w:style>
  <w:style w:type="paragraph" w:customStyle="1" w:styleId="xxxmsonormal">
    <w:name w:val="x_x_x_msonormal"/>
    <w:basedOn w:val="Normal"/>
    <w:rsid w:val="00465AB8"/>
    <w:pPr>
      <w:spacing w:before="100" w:beforeAutospacing="1" w:after="100" w:afterAutospacing="1"/>
    </w:pPr>
    <w:rPr>
      <w:lang w:eastAsia="en-GB"/>
    </w:rPr>
  </w:style>
  <w:style w:type="character" w:customStyle="1" w:styleId="FooterChar">
    <w:name w:val="Footer Char"/>
    <w:link w:val="Footer"/>
    <w:rsid w:val="00241C1E"/>
    <w:rPr>
      <w:sz w:val="24"/>
      <w:szCs w:val="24"/>
      <w:lang w:val="en-GB" w:eastAsia="en-US" w:bidi="ar-SA"/>
    </w:rPr>
  </w:style>
  <w:style w:type="paragraph" w:customStyle="1" w:styleId="EndNoteBibliography">
    <w:name w:val="EndNote Bibliography"/>
    <w:basedOn w:val="Normal"/>
    <w:link w:val="EndNoteBibliographyChar"/>
    <w:rsid w:val="002E5BAC"/>
    <w:rPr>
      <w:rFonts w:ascii="Calibri" w:hAnsi="Calibri"/>
      <w:noProof/>
      <w:sz w:val="22"/>
      <w:szCs w:val="22"/>
      <w:lang w:val="en-US"/>
    </w:rPr>
  </w:style>
  <w:style w:type="character" w:customStyle="1" w:styleId="EndNoteBibliographyChar">
    <w:name w:val="EndNote Bibliography Char"/>
    <w:link w:val="EndNoteBibliography"/>
    <w:locked/>
    <w:rsid w:val="002E5BAC"/>
    <w:rPr>
      <w:rFonts w:ascii="Calibri" w:hAnsi="Calibri"/>
      <w:noProof/>
      <w:sz w:val="22"/>
      <w:szCs w:val="22"/>
      <w:lang w:val="en-US" w:eastAsia="en-US" w:bidi="ar-SA"/>
    </w:rPr>
  </w:style>
  <w:style w:type="character" w:customStyle="1" w:styleId="exldetailsdisplayval">
    <w:name w:val="exldetailsdisplayval"/>
    <w:basedOn w:val="DefaultParagraphFont"/>
    <w:rsid w:val="00232049"/>
  </w:style>
  <w:style w:type="character" w:customStyle="1" w:styleId="refauthors">
    <w:name w:val="refauthors"/>
    <w:basedOn w:val="DefaultParagraphFont"/>
    <w:rsid w:val="00DC3C7E"/>
  </w:style>
  <w:style w:type="character" w:customStyle="1" w:styleId="reftitle">
    <w:name w:val="reftitle"/>
    <w:basedOn w:val="DefaultParagraphFont"/>
    <w:rsid w:val="00DC3C7E"/>
  </w:style>
  <w:style w:type="character" w:customStyle="1" w:styleId="refseriestitle">
    <w:name w:val="refseriestitle"/>
    <w:basedOn w:val="DefaultParagraphFont"/>
    <w:rsid w:val="00DC3C7E"/>
  </w:style>
  <w:style w:type="character" w:customStyle="1" w:styleId="refseriesdate">
    <w:name w:val="refseriesdate"/>
    <w:basedOn w:val="DefaultParagraphFont"/>
    <w:rsid w:val="00DC3C7E"/>
  </w:style>
  <w:style w:type="character" w:customStyle="1" w:styleId="refseriesvolume">
    <w:name w:val="refseriesvolume"/>
    <w:basedOn w:val="DefaultParagraphFont"/>
    <w:rsid w:val="00DC3C7E"/>
  </w:style>
  <w:style w:type="character" w:customStyle="1" w:styleId="refpages">
    <w:name w:val="refpages"/>
    <w:basedOn w:val="DefaultParagraphFont"/>
    <w:rsid w:val="00DC3C7E"/>
  </w:style>
  <w:style w:type="paragraph" w:customStyle="1" w:styleId="xmsonormal">
    <w:name w:val="x_msonormal"/>
    <w:basedOn w:val="Normal"/>
    <w:rsid w:val="00CF62B9"/>
    <w:pPr>
      <w:spacing w:before="100" w:beforeAutospacing="1" w:after="100" w:afterAutospacing="1"/>
    </w:pPr>
    <w:rPr>
      <w:lang w:eastAsia="en-GB"/>
    </w:rPr>
  </w:style>
  <w:style w:type="character" w:customStyle="1" w:styleId="Heading1Char">
    <w:name w:val="Heading 1 Char"/>
    <w:link w:val="Heading1"/>
    <w:rsid w:val="00A11881"/>
    <w:rPr>
      <w:rFonts w:ascii="Calibri Light" w:eastAsia="Times New Roman" w:hAnsi="Calibri Light" w:cs="Times New Roman"/>
      <w:b/>
      <w:bCs/>
      <w:kern w:val="32"/>
      <w:sz w:val="32"/>
      <w:szCs w:val="32"/>
      <w:lang w:eastAsia="en-US"/>
    </w:rPr>
  </w:style>
  <w:style w:type="character" w:customStyle="1" w:styleId="UnresolvedMention1">
    <w:name w:val="Unresolved Mention1"/>
    <w:uiPriority w:val="99"/>
    <w:semiHidden/>
    <w:unhideWhenUsed/>
    <w:rsid w:val="003216D4"/>
    <w:rPr>
      <w:color w:val="605E5C"/>
      <w:shd w:val="clear" w:color="auto" w:fill="E1DFDD"/>
    </w:rPr>
  </w:style>
  <w:style w:type="character" w:styleId="FollowedHyperlink">
    <w:name w:val="FollowedHyperlink"/>
    <w:rsid w:val="00C51A4C"/>
    <w:rPr>
      <w:color w:val="954F72"/>
      <w:u w:val="single"/>
    </w:rPr>
  </w:style>
  <w:style w:type="paragraph" w:styleId="Subtitle">
    <w:name w:val="Subtitle"/>
    <w:basedOn w:val="Normal"/>
    <w:next w:val="Normal"/>
    <w:link w:val="SubtitleChar"/>
    <w:uiPriority w:val="11"/>
    <w:qFormat/>
    <w:pPr>
      <w:spacing w:after="60"/>
      <w:jc w:val="center"/>
    </w:pPr>
    <w:rPr>
      <w:rFonts w:ascii="Calibri" w:eastAsia="Calibri" w:hAnsi="Calibri" w:cs="Calibri"/>
    </w:rPr>
  </w:style>
  <w:style w:type="character" w:customStyle="1" w:styleId="SubtitleChar">
    <w:name w:val="Subtitle Char"/>
    <w:link w:val="Subtitle"/>
    <w:rsid w:val="000F0CE7"/>
    <w:rPr>
      <w:rFonts w:ascii="Calibri Light" w:eastAsia="Times New Roman" w:hAnsi="Calibri Light" w:cs="Times New Roman"/>
      <w:sz w:val="24"/>
      <w:szCs w:val="24"/>
      <w:lang w:eastAsia="en-US"/>
    </w:rPr>
  </w:style>
  <w:style w:type="table" w:styleId="TableGrid">
    <w:name w:val="Table Grid"/>
    <w:basedOn w:val="TableNormal"/>
    <w:uiPriority w:val="59"/>
    <w:rsid w:val="00087A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573DE"/>
    <w:pPr>
      <w:tabs>
        <w:tab w:val="center" w:pos="4513"/>
        <w:tab w:val="right" w:pos="9026"/>
      </w:tabs>
    </w:pPr>
  </w:style>
  <w:style w:type="character" w:customStyle="1" w:styleId="HeaderChar">
    <w:name w:val="Header Char"/>
    <w:basedOn w:val="DefaultParagraphFont"/>
    <w:link w:val="Header"/>
    <w:rsid w:val="006573DE"/>
    <w:rPr>
      <w:sz w:val="24"/>
      <w:szCs w:val="24"/>
      <w:lang w:eastAsia="en-US"/>
    </w:rPr>
  </w:style>
  <w:style w:type="paragraph" w:styleId="ListParagraph">
    <w:name w:val="List Paragraph"/>
    <w:basedOn w:val="Normal"/>
    <w:uiPriority w:val="34"/>
    <w:qFormat/>
    <w:rsid w:val="000F56DD"/>
    <w:pPr>
      <w:ind w:left="720"/>
      <w:contextualSpacing/>
    </w:pPr>
  </w:style>
  <w:style w:type="character" w:styleId="SubtleEmphasis">
    <w:name w:val="Subtle Emphasis"/>
    <w:basedOn w:val="DefaultParagraphFont"/>
    <w:uiPriority w:val="19"/>
    <w:qFormat/>
    <w:rsid w:val="00471B14"/>
    <w:rPr>
      <w:i/>
      <w:iCs/>
      <w:color w:val="404040" w:themeColor="text1" w:themeTint="BF"/>
    </w:rPr>
  </w:style>
  <w:style w:type="character" w:styleId="IntenseEmphasis">
    <w:name w:val="Intense Emphasis"/>
    <w:basedOn w:val="DefaultParagraphFont"/>
    <w:uiPriority w:val="21"/>
    <w:qFormat/>
    <w:rsid w:val="00D81B65"/>
    <w:rPr>
      <w:i/>
      <w:iCs/>
      <w:color w:val="4472C4" w:themeColor="accent1"/>
    </w:rPr>
  </w:style>
  <w:style w:type="character" w:styleId="Strong">
    <w:name w:val="Strong"/>
    <w:basedOn w:val="DefaultParagraphFont"/>
    <w:uiPriority w:val="22"/>
    <w:qFormat/>
    <w:rsid w:val="00C96D7B"/>
    <w:rPr>
      <w:b/>
      <w:bCs/>
    </w:rPr>
  </w:style>
  <w:style w:type="paragraph" w:styleId="Revision">
    <w:name w:val="Revision"/>
    <w:hidden/>
    <w:uiPriority w:val="99"/>
    <w:semiHidden/>
    <w:rsid w:val="000B5A7C"/>
    <w:rPr>
      <w:lang w:eastAsia="en-US"/>
    </w:rPr>
  </w:style>
  <w:style w:type="character" w:customStyle="1" w:styleId="Heading2Char">
    <w:name w:val="Heading 2 Char"/>
    <w:basedOn w:val="DefaultParagraphFont"/>
    <w:link w:val="Heading2"/>
    <w:semiHidden/>
    <w:rsid w:val="007A37AD"/>
    <w:rPr>
      <w:rFonts w:asciiTheme="majorHAnsi" w:eastAsiaTheme="majorEastAsia" w:hAnsiTheme="majorHAnsi" w:cstheme="majorBidi"/>
      <w:color w:val="2F5496" w:themeColor="accent1" w:themeShade="BF"/>
      <w:sz w:val="26"/>
      <w:szCs w:val="26"/>
      <w:lang w:eastAsia="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styleId="LineNumber">
    <w:name w:val="line number"/>
    <w:basedOn w:val="DefaultParagraphFont"/>
    <w:uiPriority w:val="99"/>
    <w:semiHidden/>
    <w:unhideWhenUsed/>
    <w:rsid w:val="00D31BC9"/>
  </w:style>
  <w:style w:type="character" w:styleId="UnresolvedMention">
    <w:name w:val="Unresolved Mention"/>
    <w:basedOn w:val="DefaultParagraphFont"/>
    <w:uiPriority w:val="99"/>
    <w:semiHidden/>
    <w:unhideWhenUsed/>
    <w:rsid w:val="003942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7265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Vikki.park@caipe.org" TargetMode="External"/><Relationship Id="rId13" Type="http://schemas.openxmlformats.org/officeDocument/2006/relationships/hyperlink" Target="https://www.caipe.org/about" TargetMode="External"/><Relationship Id="rId18" Type="http://schemas.openxmlformats.org/officeDocument/2006/relationships/hyperlink" Target="https://www.longtermplan.nhs.uk/wp-content/uploads/2019/08/nhs-long-term-plan-version-1.2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who.int/publications/i/item/framework-for-action-oninterprofessional-education-collaborative-practice" TargetMode="External"/><Relationship Id="rId7" Type="http://schemas.openxmlformats.org/officeDocument/2006/relationships/endnotes" Target="endnotes.xml"/><Relationship Id="rId12" Type="http://schemas.openxmlformats.org/officeDocument/2006/relationships/hyperlink" Target="https://www.caipe.org/resources/publications/caipe-publications/caipe-2017-interprofessional-education-guidelines-barr-h-ford-r-helme-m-hutchings-m-low-h-machin-reeves-s" TargetMode="External"/><Relationship Id="rId17" Type="http://schemas.openxmlformats.org/officeDocument/2006/relationships/hyperlink" Target="https://www.ipecollaborative.org/ipec-core-competenci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heeoe.hee.nhs.uk/sites/default/files/module_3.10_-_stakeholder_analysis_0.pdf" TargetMode="External"/><Relationship Id="rId20" Type="http://schemas.openxmlformats.org/officeDocument/2006/relationships/hyperlink" Target="https://www.who.int/publications/i/item/97892400346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pih.org.uk/standards-2/"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caipe.org/resources/publications/caipe-publications/caipe-2021-a-new-caipe-interprofessional-education-handbook-2021-ipe-incorporating-values-based-practice-ford-j-gray-r"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ockendenmaternityreview.org.uk/wpcontent/uploads/2022/03/" TargetMode="External"/><Relationship Id="rId4" Type="http://schemas.openxmlformats.org/officeDocument/2006/relationships/settings" Target="settings.xml"/><Relationship Id="rId9" Type="http://schemas.openxmlformats.org/officeDocument/2006/relationships/hyperlink" Target="mailto:Vikki.park@caipe.org" TargetMode="External"/><Relationship Id="rId14" Type="http://schemas.openxmlformats.org/officeDocument/2006/relationships/hyperlink" Target="https://www.nursingtimes.net/opinion/"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KOGD+18TYbnRwYKk2ktPvOOVUg==">CgMxLjAaHwoBMBIaChgICVIUChJ0YWJsZS5wcW1iZWF1NmZvbWwaHwoBMRIaChgICVIUChJ0YWJsZS5tdXdkYjBvbmF5aTQyCGguZ2pkZ3hzOAByITFVaFFodzhWY3JrUDczeS1rRUdRbjV6Zm9NR1ZuWUN0Nw==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3268</Words>
  <Characters>18628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Vikki Park</dc:creator>
  <cp:lastModifiedBy>Fiona Cust</cp:lastModifiedBy>
  <cp:revision>2</cp:revision>
  <dcterms:created xsi:type="dcterms:W3CDTF">2025-11-12T12:03:00Z</dcterms:created>
  <dcterms:modified xsi:type="dcterms:W3CDTF">2025-11-12T12:03:00Z</dcterms:modified>
</cp:coreProperties>
</file>