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FCC4B" w14:textId="2E5A18EB" w:rsidR="0483464D" w:rsidRDefault="0483464D" w:rsidP="0511F407">
      <w:pPr>
        <w:pStyle w:val="NoSpacing"/>
        <w:jc w:val="both"/>
      </w:pPr>
      <w:r w:rsidRPr="0511F407">
        <w:rPr>
          <w:rFonts w:ascii="Arial" w:hAnsi="Arial" w:cs="Arial"/>
          <w:sz w:val="24"/>
          <w:szCs w:val="24"/>
        </w:rPr>
        <w:t>Hackathon</w:t>
      </w:r>
    </w:p>
    <w:p w14:paraId="1EE1E69C" w14:textId="77777777" w:rsidR="00775D06" w:rsidRDefault="00775D06" w:rsidP="000A414C">
      <w:pPr>
        <w:pStyle w:val="NoSpacing"/>
        <w:jc w:val="both"/>
        <w:rPr>
          <w:rFonts w:ascii="Arial" w:hAnsi="Arial" w:cs="Arial"/>
          <w:sz w:val="24"/>
          <w:szCs w:val="24"/>
        </w:rPr>
      </w:pPr>
    </w:p>
    <w:p w14:paraId="62306B54" w14:textId="33C69CEF" w:rsidR="00475B1E" w:rsidRDefault="002E462F" w:rsidP="0511F407">
      <w:pPr>
        <w:pStyle w:val="NoSpacing"/>
        <w:rPr>
          <w:rFonts w:ascii="Arial" w:hAnsi="Arial" w:cs="Arial"/>
          <w:b/>
          <w:bCs/>
          <w:sz w:val="56"/>
          <w:szCs w:val="56"/>
        </w:rPr>
      </w:pPr>
      <w:r w:rsidRPr="0511F407">
        <w:rPr>
          <w:rFonts w:ascii="Arial" w:hAnsi="Arial" w:cs="Arial"/>
          <w:b/>
          <w:bCs/>
          <w:sz w:val="56"/>
          <w:szCs w:val="56"/>
        </w:rPr>
        <w:t xml:space="preserve">Leading </w:t>
      </w:r>
      <w:r w:rsidR="6E4CE3AB" w:rsidRPr="0511F407">
        <w:rPr>
          <w:rFonts w:ascii="Arial" w:hAnsi="Arial" w:cs="Arial"/>
          <w:b/>
          <w:bCs/>
          <w:sz w:val="56"/>
          <w:szCs w:val="56"/>
        </w:rPr>
        <w:t>t</w:t>
      </w:r>
      <w:r w:rsidRPr="0511F407">
        <w:rPr>
          <w:rFonts w:ascii="Arial" w:hAnsi="Arial" w:cs="Arial"/>
          <w:b/>
          <w:bCs/>
          <w:sz w:val="56"/>
          <w:szCs w:val="56"/>
        </w:rPr>
        <w:t xml:space="preserve">hrough </w:t>
      </w:r>
      <w:r w:rsidR="5F5C2249" w:rsidRPr="0511F407">
        <w:rPr>
          <w:rFonts w:ascii="Arial" w:hAnsi="Arial" w:cs="Arial"/>
          <w:b/>
          <w:bCs/>
          <w:sz w:val="56"/>
          <w:szCs w:val="56"/>
        </w:rPr>
        <w:t>a</w:t>
      </w:r>
      <w:r w:rsidRPr="0511F407">
        <w:rPr>
          <w:rFonts w:ascii="Arial" w:hAnsi="Arial" w:cs="Arial"/>
          <w:b/>
          <w:bCs/>
          <w:sz w:val="56"/>
          <w:szCs w:val="56"/>
        </w:rPr>
        <w:t xml:space="preserve">mbiguity: </w:t>
      </w:r>
      <w:r w:rsidR="708B57DF" w:rsidRPr="0511F407">
        <w:rPr>
          <w:rFonts w:ascii="Arial" w:hAnsi="Arial" w:cs="Arial"/>
          <w:b/>
          <w:bCs/>
          <w:sz w:val="56"/>
          <w:szCs w:val="56"/>
        </w:rPr>
        <w:t>m</w:t>
      </w:r>
      <w:r w:rsidRPr="0511F407">
        <w:rPr>
          <w:rFonts w:ascii="Arial" w:hAnsi="Arial" w:cs="Arial"/>
          <w:b/>
          <w:bCs/>
          <w:sz w:val="56"/>
          <w:szCs w:val="56"/>
        </w:rPr>
        <w:t xml:space="preserve">otivating </w:t>
      </w:r>
      <w:r w:rsidR="3CE57085" w:rsidRPr="0511F407">
        <w:rPr>
          <w:rFonts w:ascii="Arial" w:hAnsi="Arial" w:cs="Arial"/>
          <w:b/>
          <w:bCs/>
          <w:sz w:val="56"/>
          <w:szCs w:val="56"/>
        </w:rPr>
        <w:t>t</w:t>
      </w:r>
      <w:r w:rsidRPr="0511F407">
        <w:rPr>
          <w:rFonts w:ascii="Arial" w:hAnsi="Arial" w:cs="Arial"/>
          <w:b/>
          <w:bCs/>
          <w:sz w:val="56"/>
          <w:szCs w:val="56"/>
        </w:rPr>
        <w:t xml:space="preserve">eams </w:t>
      </w:r>
      <w:r w:rsidR="33C493D4" w:rsidRPr="0511F407">
        <w:rPr>
          <w:rFonts w:ascii="Arial" w:hAnsi="Arial" w:cs="Arial"/>
          <w:b/>
          <w:bCs/>
          <w:sz w:val="56"/>
          <w:szCs w:val="56"/>
        </w:rPr>
        <w:t>a</w:t>
      </w:r>
      <w:r w:rsidRPr="0511F407">
        <w:rPr>
          <w:rFonts w:ascii="Arial" w:hAnsi="Arial" w:cs="Arial"/>
          <w:b/>
          <w:bCs/>
          <w:sz w:val="56"/>
          <w:szCs w:val="56"/>
        </w:rPr>
        <w:t xml:space="preserve">mid </w:t>
      </w:r>
      <w:r w:rsidR="36C2FE11" w:rsidRPr="0511F407">
        <w:rPr>
          <w:rFonts w:ascii="Arial" w:hAnsi="Arial" w:cs="Arial"/>
          <w:b/>
          <w:bCs/>
          <w:sz w:val="56"/>
          <w:szCs w:val="56"/>
        </w:rPr>
        <w:t>a</w:t>
      </w:r>
      <w:r w:rsidRPr="0511F407">
        <w:rPr>
          <w:rFonts w:ascii="Arial" w:hAnsi="Arial" w:cs="Arial"/>
          <w:b/>
          <w:bCs/>
          <w:sz w:val="56"/>
          <w:szCs w:val="56"/>
        </w:rPr>
        <w:t xml:space="preserve">pprenticeship </w:t>
      </w:r>
      <w:r w:rsidR="493E8C60" w:rsidRPr="0511F407">
        <w:rPr>
          <w:rFonts w:ascii="Arial" w:hAnsi="Arial" w:cs="Arial"/>
          <w:b/>
          <w:bCs/>
          <w:sz w:val="56"/>
          <w:szCs w:val="56"/>
        </w:rPr>
        <w:t>p</w:t>
      </w:r>
      <w:r w:rsidRPr="0511F407">
        <w:rPr>
          <w:rFonts w:ascii="Arial" w:hAnsi="Arial" w:cs="Arial"/>
          <w:b/>
          <w:bCs/>
          <w:sz w:val="56"/>
          <w:szCs w:val="56"/>
        </w:rPr>
        <w:t xml:space="preserve">olicy </w:t>
      </w:r>
      <w:r w:rsidR="5ABF1C90" w:rsidRPr="0511F407">
        <w:rPr>
          <w:rFonts w:ascii="Arial" w:hAnsi="Arial" w:cs="Arial"/>
          <w:b/>
          <w:bCs/>
          <w:sz w:val="56"/>
          <w:szCs w:val="56"/>
        </w:rPr>
        <w:t>r</w:t>
      </w:r>
      <w:r w:rsidRPr="0511F407">
        <w:rPr>
          <w:rFonts w:ascii="Arial" w:hAnsi="Arial" w:cs="Arial"/>
          <w:b/>
          <w:bCs/>
          <w:sz w:val="56"/>
          <w:szCs w:val="56"/>
        </w:rPr>
        <w:t>eform in Higher Education</w:t>
      </w:r>
    </w:p>
    <w:p w14:paraId="782AC2E1" w14:textId="77777777" w:rsidR="002E462F" w:rsidRPr="00475B1E" w:rsidRDefault="002E462F" w:rsidP="000A414C">
      <w:pPr>
        <w:pStyle w:val="NoSpacing"/>
        <w:jc w:val="both"/>
        <w:rPr>
          <w:rFonts w:ascii="Arial" w:hAnsi="Arial" w:cs="Arial"/>
          <w:sz w:val="28"/>
          <w:szCs w:val="28"/>
        </w:rPr>
      </w:pPr>
    </w:p>
    <w:p w14:paraId="7F54D0F4" w14:textId="4ACF095C" w:rsidR="00775D06" w:rsidRDefault="009675C0" w:rsidP="000A414C">
      <w:pPr>
        <w:pStyle w:val="NoSpacing"/>
        <w:jc w:val="both"/>
        <w:rPr>
          <w:rFonts w:ascii="Arial" w:hAnsi="Arial" w:cs="Arial"/>
          <w:b/>
          <w:bCs/>
          <w:sz w:val="24"/>
          <w:szCs w:val="24"/>
        </w:rPr>
      </w:pPr>
      <w:r w:rsidRPr="0511F407">
        <w:rPr>
          <w:rFonts w:ascii="Arial" w:hAnsi="Arial" w:cs="Arial"/>
          <w:b/>
          <w:bCs/>
          <w:sz w:val="24"/>
          <w:szCs w:val="24"/>
        </w:rPr>
        <w:t xml:space="preserve">Tina Allen </w:t>
      </w:r>
    </w:p>
    <w:p w14:paraId="614B3E1F" w14:textId="1FF931C0" w:rsidR="00775D06" w:rsidRPr="00775D06" w:rsidRDefault="009675C0" w:rsidP="000A414C">
      <w:pPr>
        <w:pStyle w:val="NoSpacing"/>
        <w:jc w:val="both"/>
        <w:rPr>
          <w:rFonts w:ascii="Arial" w:hAnsi="Arial" w:cs="Arial"/>
          <w:sz w:val="24"/>
          <w:szCs w:val="24"/>
        </w:rPr>
      </w:pPr>
      <w:r w:rsidRPr="0511F407">
        <w:rPr>
          <w:rFonts w:ascii="Arial" w:hAnsi="Arial" w:cs="Arial"/>
          <w:sz w:val="24"/>
          <w:szCs w:val="24"/>
        </w:rPr>
        <w:t>University of Staffordshire</w:t>
      </w:r>
    </w:p>
    <w:p w14:paraId="3258EC7D" w14:textId="77777777" w:rsidR="00775D06" w:rsidRDefault="00775D06" w:rsidP="000A414C">
      <w:pPr>
        <w:pStyle w:val="NoSpacing"/>
        <w:jc w:val="both"/>
        <w:rPr>
          <w:rFonts w:ascii="Arial" w:hAnsi="Arial" w:cs="Arial"/>
          <w:sz w:val="24"/>
          <w:szCs w:val="24"/>
        </w:rPr>
      </w:pPr>
    </w:p>
    <w:p w14:paraId="55A5C18E" w14:textId="743D44FD" w:rsidR="00775D06" w:rsidRDefault="00775D06" w:rsidP="000A414C">
      <w:pPr>
        <w:pStyle w:val="NoSpacing"/>
        <w:jc w:val="both"/>
        <w:rPr>
          <w:rFonts w:ascii="Arial" w:hAnsi="Arial" w:cs="Arial"/>
          <w:b/>
          <w:bCs/>
          <w:sz w:val="24"/>
          <w:szCs w:val="24"/>
        </w:rPr>
      </w:pPr>
      <w:r w:rsidRPr="0511F407">
        <w:rPr>
          <w:rFonts w:ascii="Arial" w:hAnsi="Arial" w:cs="Arial"/>
          <w:b/>
          <w:bCs/>
          <w:sz w:val="24"/>
          <w:szCs w:val="24"/>
        </w:rPr>
        <w:t>Article History</w:t>
      </w:r>
    </w:p>
    <w:p w14:paraId="2A90602E" w14:textId="133648F8" w:rsidR="6976E440" w:rsidRDefault="6976E440" w:rsidP="0511F407">
      <w:pPr>
        <w:pStyle w:val="NoSpacing"/>
        <w:jc w:val="both"/>
        <w:rPr>
          <w:rFonts w:ascii="Arial" w:eastAsia="Arial" w:hAnsi="Arial" w:cs="Arial"/>
          <w:color w:val="000000" w:themeColor="text1"/>
          <w:sz w:val="24"/>
          <w:szCs w:val="24"/>
        </w:rPr>
      </w:pPr>
      <w:r w:rsidRPr="0511F407">
        <w:rPr>
          <w:rFonts w:ascii="Arial" w:eastAsia="Arial" w:hAnsi="Arial" w:cs="Arial"/>
          <w:color w:val="000000" w:themeColor="text1"/>
          <w:sz w:val="24"/>
          <w:szCs w:val="24"/>
        </w:rPr>
        <w:t>Received 30 September 2025</w:t>
      </w:r>
    </w:p>
    <w:p w14:paraId="40DC4506" w14:textId="29871B37" w:rsidR="6976E440" w:rsidRDefault="6976E440" w:rsidP="0511F407">
      <w:pPr>
        <w:pStyle w:val="NoSpacing"/>
        <w:jc w:val="both"/>
        <w:rPr>
          <w:rFonts w:ascii="Arial" w:eastAsia="Arial" w:hAnsi="Arial" w:cs="Arial"/>
          <w:color w:val="000000" w:themeColor="text1"/>
          <w:sz w:val="24"/>
          <w:szCs w:val="24"/>
        </w:rPr>
      </w:pPr>
      <w:r w:rsidRPr="0511F407">
        <w:rPr>
          <w:rFonts w:ascii="Arial" w:eastAsia="Arial" w:hAnsi="Arial" w:cs="Arial"/>
          <w:color w:val="000000" w:themeColor="text1"/>
          <w:sz w:val="24"/>
          <w:szCs w:val="24"/>
        </w:rPr>
        <w:t>Revised 25 November 2025</w:t>
      </w:r>
    </w:p>
    <w:p w14:paraId="041C0F02" w14:textId="4B03A10E" w:rsidR="6976E440" w:rsidRDefault="6976E440" w:rsidP="0511F407">
      <w:pPr>
        <w:pStyle w:val="NoSpacing"/>
        <w:jc w:val="both"/>
        <w:rPr>
          <w:rFonts w:ascii="Arial" w:eastAsia="Arial" w:hAnsi="Arial" w:cs="Arial"/>
          <w:color w:val="000000" w:themeColor="text1"/>
          <w:sz w:val="24"/>
          <w:szCs w:val="24"/>
        </w:rPr>
      </w:pPr>
      <w:r w:rsidRPr="0511F407">
        <w:rPr>
          <w:rFonts w:ascii="Arial" w:eastAsia="Arial" w:hAnsi="Arial" w:cs="Arial"/>
          <w:color w:val="000000" w:themeColor="text1"/>
          <w:sz w:val="24"/>
          <w:szCs w:val="24"/>
        </w:rPr>
        <w:t>Accepted 16 December 2025</w:t>
      </w:r>
    </w:p>
    <w:p w14:paraId="04307A36" w14:textId="77777777" w:rsidR="00775D06" w:rsidRDefault="00775D06" w:rsidP="00775D06">
      <w:pPr>
        <w:pStyle w:val="NoSpacing"/>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75D06" w14:paraId="69461643" w14:textId="77777777" w:rsidTr="0511F407">
        <w:tc>
          <w:tcPr>
            <w:tcW w:w="9016" w:type="dxa"/>
            <w:shd w:val="clear" w:color="auto" w:fill="D9D9D9" w:themeFill="background1" w:themeFillShade="D9"/>
          </w:tcPr>
          <w:p w14:paraId="3287C4B4" w14:textId="77777777" w:rsidR="00775D06" w:rsidRDefault="00775D06" w:rsidP="0511F407">
            <w:pPr>
              <w:pStyle w:val="NoSpacing"/>
              <w:jc w:val="both"/>
              <w:rPr>
                <w:rFonts w:ascii="Arial" w:hAnsi="Arial" w:cs="Arial"/>
                <w:b/>
                <w:bCs/>
                <w:sz w:val="24"/>
                <w:szCs w:val="24"/>
              </w:rPr>
            </w:pPr>
            <w:r w:rsidRPr="0511F407">
              <w:rPr>
                <w:rFonts w:ascii="Arial" w:hAnsi="Arial" w:cs="Arial"/>
                <w:b/>
                <w:bCs/>
                <w:sz w:val="24"/>
                <w:szCs w:val="24"/>
              </w:rPr>
              <w:t>Abstract</w:t>
            </w:r>
          </w:p>
          <w:p w14:paraId="1A82A13B" w14:textId="629DB1E5" w:rsidR="00775D06" w:rsidRDefault="002E462F" w:rsidP="0511F407">
            <w:pPr>
              <w:pStyle w:val="NoSpacing"/>
              <w:jc w:val="both"/>
              <w:rPr>
                <w:rFonts w:ascii="Arial" w:hAnsi="Arial" w:cs="Arial"/>
                <w:sz w:val="24"/>
                <w:szCs w:val="24"/>
              </w:rPr>
            </w:pPr>
            <w:r w:rsidRPr="0511F407">
              <w:rPr>
                <w:rFonts w:ascii="Arial" w:hAnsi="Arial" w:cs="Arial"/>
                <w:sz w:val="24"/>
                <w:szCs w:val="24"/>
              </w:rPr>
              <w:t>Apprenticeship policy in England continues to evolve rapidly,</w:t>
            </w:r>
            <w:r w:rsidR="00CE4ED5" w:rsidRPr="0511F407">
              <w:rPr>
                <w:rFonts w:ascii="Arial" w:hAnsi="Arial" w:cs="Arial"/>
                <w:sz w:val="24"/>
                <w:szCs w:val="24"/>
              </w:rPr>
              <w:t xml:space="preserve"> with training providers facing ambiguity, and being</w:t>
            </w:r>
            <w:r w:rsidRPr="0511F407">
              <w:rPr>
                <w:rFonts w:ascii="Arial" w:hAnsi="Arial" w:cs="Arial"/>
                <w:sz w:val="24"/>
                <w:szCs w:val="24"/>
              </w:rPr>
              <w:t xml:space="preserve"> tasked with maintaining compliance while sustaining quality and motivation among staff. </w:t>
            </w:r>
            <w:r w:rsidR="00CE4ED5" w:rsidRPr="0511F407">
              <w:rPr>
                <w:rFonts w:ascii="Arial" w:hAnsi="Arial" w:cs="Arial"/>
                <w:sz w:val="24"/>
                <w:szCs w:val="24"/>
              </w:rPr>
              <w:t>This paper</w:t>
            </w:r>
            <w:r w:rsidRPr="0511F407">
              <w:rPr>
                <w:rFonts w:ascii="Arial" w:hAnsi="Arial" w:cs="Arial"/>
                <w:sz w:val="24"/>
                <w:szCs w:val="24"/>
              </w:rPr>
              <w:t xml:space="preserve"> presents findings from a qualitative </w:t>
            </w:r>
            <w:r w:rsidR="00CE4ED5" w:rsidRPr="0511F407">
              <w:rPr>
                <w:rFonts w:ascii="Arial" w:hAnsi="Arial" w:cs="Arial"/>
                <w:sz w:val="24"/>
                <w:szCs w:val="24"/>
              </w:rPr>
              <w:t xml:space="preserve">pilot </w:t>
            </w:r>
            <w:r w:rsidRPr="0511F407">
              <w:rPr>
                <w:rFonts w:ascii="Arial" w:hAnsi="Arial" w:cs="Arial"/>
                <w:sz w:val="24"/>
                <w:szCs w:val="24"/>
              </w:rPr>
              <w:t xml:space="preserve">study conducted at </w:t>
            </w:r>
            <w:r w:rsidR="00CE4ED5" w:rsidRPr="0511F407">
              <w:rPr>
                <w:rFonts w:ascii="Arial" w:hAnsi="Arial" w:cs="Arial"/>
                <w:sz w:val="24"/>
                <w:szCs w:val="24"/>
              </w:rPr>
              <w:t xml:space="preserve">one </w:t>
            </w:r>
            <w:r w:rsidRPr="0511F407">
              <w:rPr>
                <w:rFonts w:ascii="Arial" w:hAnsi="Arial" w:cs="Arial"/>
                <w:sz w:val="24"/>
                <w:szCs w:val="24"/>
              </w:rPr>
              <w:t>of the UK’s largest providers of higher and degree apprenticeships. Drawing upon semi-structured interviews with three apprenticeship leaders and supported by extensive secondary research, the study explores how leaders navigate ambiguity, motivate teams, and sustain organisational performance during policy reform. Findings reveal that transformational leadership, psychological safety, and transparent communication are essential in mitigating uncertainty</w:t>
            </w:r>
            <w:r w:rsidR="00CE4ED5" w:rsidRPr="0511F407">
              <w:rPr>
                <w:rFonts w:ascii="Arial" w:hAnsi="Arial" w:cs="Arial"/>
                <w:sz w:val="24"/>
                <w:szCs w:val="24"/>
              </w:rPr>
              <w:t>, while l</w:t>
            </w:r>
            <w:r w:rsidRPr="0511F407">
              <w:rPr>
                <w:rFonts w:ascii="Arial" w:hAnsi="Arial" w:cs="Arial"/>
                <w:sz w:val="24"/>
                <w:szCs w:val="24"/>
              </w:rPr>
              <w:t>eaders who cultivate a growth mindset and distribute decision-making</w:t>
            </w:r>
            <w:r w:rsidR="00A3146B" w:rsidRPr="0511F407">
              <w:rPr>
                <w:rFonts w:ascii="Arial" w:hAnsi="Arial" w:cs="Arial"/>
                <w:sz w:val="24"/>
                <w:szCs w:val="24"/>
              </w:rPr>
              <w:t>,</w:t>
            </w:r>
            <w:r w:rsidRPr="0511F407">
              <w:rPr>
                <w:rFonts w:ascii="Arial" w:hAnsi="Arial" w:cs="Arial"/>
                <w:sz w:val="24"/>
                <w:szCs w:val="24"/>
              </w:rPr>
              <w:t xml:space="preserve"> foster resilience and autonomy within their teams. The study concludes with practical recommendations for higher-education institutions, further-education providers, and independent training organisations seeking to strengthen agility and morale amid policy-driven change</w:t>
            </w:r>
            <w:r w:rsidR="00CE4ED5" w:rsidRPr="0511F407">
              <w:rPr>
                <w:rFonts w:ascii="Arial" w:hAnsi="Arial" w:cs="Arial"/>
                <w:sz w:val="24"/>
                <w:szCs w:val="24"/>
              </w:rPr>
              <w:t>.</w:t>
            </w:r>
          </w:p>
          <w:p w14:paraId="02747D0E" w14:textId="5AFF16F2" w:rsidR="0511F407" w:rsidRDefault="0511F407" w:rsidP="0511F407">
            <w:pPr>
              <w:pStyle w:val="NoSpacing"/>
              <w:jc w:val="both"/>
              <w:rPr>
                <w:rFonts w:ascii="Arial" w:hAnsi="Arial" w:cs="Arial"/>
                <w:sz w:val="24"/>
                <w:szCs w:val="24"/>
              </w:rPr>
            </w:pPr>
          </w:p>
          <w:p w14:paraId="6561DA62" w14:textId="77777777" w:rsidR="00775D06" w:rsidRDefault="00775D06" w:rsidP="0511F407">
            <w:pPr>
              <w:pStyle w:val="NoSpacing"/>
              <w:jc w:val="both"/>
              <w:rPr>
                <w:rFonts w:ascii="Arial" w:hAnsi="Arial" w:cs="Arial"/>
                <w:b/>
                <w:bCs/>
                <w:sz w:val="24"/>
                <w:szCs w:val="24"/>
              </w:rPr>
            </w:pPr>
            <w:r w:rsidRPr="0511F407">
              <w:rPr>
                <w:rFonts w:ascii="Arial" w:hAnsi="Arial" w:cs="Arial"/>
                <w:b/>
                <w:bCs/>
                <w:sz w:val="24"/>
                <w:szCs w:val="24"/>
              </w:rPr>
              <w:t>Keywords</w:t>
            </w:r>
          </w:p>
          <w:p w14:paraId="73C50B0E" w14:textId="05617B50" w:rsidR="00775D06" w:rsidRDefault="00475B1E" w:rsidP="0511F407">
            <w:pPr>
              <w:pStyle w:val="NoSpacing"/>
              <w:jc w:val="both"/>
              <w:rPr>
                <w:rFonts w:ascii="Arial" w:hAnsi="Arial" w:cs="Arial"/>
                <w:sz w:val="24"/>
                <w:szCs w:val="24"/>
              </w:rPr>
            </w:pPr>
            <w:r w:rsidRPr="0511F407">
              <w:rPr>
                <w:rFonts w:ascii="Arial" w:hAnsi="Arial" w:cs="Arial"/>
                <w:sz w:val="24"/>
                <w:szCs w:val="24"/>
              </w:rPr>
              <w:t>Apprenticeships, leadership, change management, motivation, higher education</w:t>
            </w:r>
          </w:p>
        </w:tc>
      </w:tr>
    </w:tbl>
    <w:p w14:paraId="67BB9040" w14:textId="77777777" w:rsidR="00775D06" w:rsidRDefault="00775D06" w:rsidP="0511F407">
      <w:pPr>
        <w:pStyle w:val="NoSpacing"/>
        <w:rPr>
          <w:rFonts w:ascii="Arial" w:hAnsi="Arial" w:cs="Arial"/>
          <w:sz w:val="24"/>
          <w:szCs w:val="24"/>
        </w:rPr>
      </w:pPr>
    </w:p>
    <w:p w14:paraId="6BB0D8C1" w14:textId="5440BBD5" w:rsidR="00775D06" w:rsidRDefault="00775D06" w:rsidP="0511F407">
      <w:pPr>
        <w:pStyle w:val="NoSpacing"/>
        <w:jc w:val="both"/>
        <w:rPr>
          <w:rFonts w:ascii="Arial" w:hAnsi="Arial" w:cs="Arial"/>
          <w:b/>
          <w:bCs/>
          <w:sz w:val="24"/>
          <w:szCs w:val="24"/>
        </w:rPr>
      </w:pPr>
      <w:r w:rsidRPr="0511F407">
        <w:rPr>
          <w:rFonts w:ascii="Arial" w:hAnsi="Arial" w:cs="Arial"/>
          <w:b/>
          <w:bCs/>
          <w:sz w:val="24"/>
          <w:szCs w:val="24"/>
        </w:rPr>
        <w:t>Introduction</w:t>
      </w:r>
    </w:p>
    <w:p w14:paraId="2B817D3C" w14:textId="3286662C" w:rsidR="0511F407" w:rsidRDefault="0511F407" w:rsidP="0511F407">
      <w:pPr>
        <w:pStyle w:val="NoSpacing"/>
        <w:jc w:val="both"/>
        <w:rPr>
          <w:rFonts w:ascii="Arial" w:hAnsi="Arial" w:cs="Arial"/>
          <w:sz w:val="24"/>
          <w:szCs w:val="24"/>
        </w:rPr>
      </w:pPr>
    </w:p>
    <w:p w14:paraId="45230D34" w14:textId="14EE9C9C" w:rsidR="002E462F" w:rsidRPr="00CE4ED5" w:rsidRDefault="002E462F" w:rsidP="0511F407">
      <w:pPr>
        <w:pStyle w:val="NoSpacing"/>
        <w:jc w:val="both"/>
        <w:rPr>
          <w:rFonts w:ascii="Arial" w:hAnsi="Arial" w:cs="Arial"/>
          <w:sz w:val="24"/>
          <w:szCs w:val="24"/>
        </w:rPr>
      </w:pPr>
      <w:r w:rsidRPr="4C3CD194">
        <w:rPr>
          <w:rFonts w:ascii="Arial" w:hAnsi="Arial" w:cs="Arial"/>
          <w:sz w:val="24"/>
          <w:szCs w:val="24"/>
        </w:rPr>
        <w:t xml:space="preserve">The ongoing reform of apprenticeship policy </w:t>
      </w:r>
      <w:r w:rsidR="11D0FDC7" w:rsidRPr="4C3CD194">
        <w:rPr>
          <w:rFonts w:ascii="Arial" w:hAnsi="Arial" w:cs="Arial"/>
          <w:sz w:val="24"/>
          <w:szCs w:val="24"/>
        </w:rPr>
        <w:t xml:space="preserve">linked to </w:t>
      </w:r>
      <w:r w:rsidRPr="4C3CD194">
        <w:rPr>
          <w:rFonts w:ascii="Arial" w:hAnsi="Arial" w:cs="Arial"/>
          <w:sz w:val="24"/>
          <w:szCs w:val="24"/>
        </w:rPr>
        <w:t xml:space="preserve">England’s higher-education (HE) </w:t>
      </w:r>
      <w:r w:rsidR="040DE68F" w:rsidRPr="4C3CD194">
        <w:rPr>
          <w:rFonts w:ascii="Arial" w:hAnsi="Arial" w:cs="Arial"/>
          <w:sz w:val="24"/>
          <w:szCs w:val="24"/>
        </w:rPr>
        <w:t>sector</w:t>
      </w:r>
      <w:r w:rsidRPr="4C3CD194">
        <w:rPr>
          <w:rFonts w:ascii="Arial" w:hAnsi="Arial" w:cs="Arial"/>
          <w:sz w:val="24"/>
          <w:szCs w:val="24"/>
        </w:rPr>
        <w:t xml:space="preserve"> presents persistent challenges for leaders </w:t>
      </w:r>
      <w:r w:rsidR="3792FDF2" w:rsidRPr="4C3CD194">
        <w:rPr>
          <w:rFonts w:ascii="Arial" w:hAnsi="Arial" w:cs="Arial"/>
          <w:sz w:val="24"/>
          <w:szCs w:val="24"/>
        </w:rPr>
        <w:t>who are attempting</w:t>
      </w:r>
      <w:r w:rsidR="00A3146B" w:rsidRPr="4C3CD194">
        <w:rPr>
          <w:rFonts w:ascii="Arial" w:hAnsi="Arial" w:cs="Arial"/>
          <w:sz w:val="24"/>
          <w:szCs w:val="24"/>
        </w:rPr>
        <w:t xml:space="preserve"> to</w:t>
      </w:r>
      <w:r w:rsidRPr="4C3CD194">
        <w:rPr>
          <w:rFonts w:ascii="Arial" w:hAnsi="Arial" w:cs="Arial"/>
          <w:sz w:val="24"/>
          <w:szCs w:val="24"/>
        </w:rPr>
        <w:t xml:space="preserve"> balanc</w:t>
      </w:r>
      <w:r w:rsidR="00A3146B" w:rsidRPr="4C3CD194">
        <w:rPr>
          <w:rFonts w:ascii="Arial" w:hAnsi="Arial" w:cs="Arial"/>
          <w:sz w:val="24"/>
          <w:szCs w:val="24"/>
        </w:rPr>
        <w:t>e</w:t>
      </w:r>
      <w:r w:rsidRPr="4C3CD194">
        <w:rPr>
          <w:rFonts w:ascii="Arial" w:hAnsi="Arial" w:cs="Arial"/>
          <w:sz w:val="24"/>
          <w:szCs w:val="24"/>
        </w:rPr>
        <w:t xml:space="preserve"> regulatory compliance, quality assurance, and workforce morale. </w:t>
      </w:r>
      <w:r w:rsidR="79F4B9AB" w:rsidRPr="4C3CD194">
        <w:rPr>
          <w:rFonts w:ascii="Arial" w:hAnsi="Arial" w:cs="Arial"/>
          <w:sz w:val="24"/>
          <w:szCs w:val="24"/>
        </w:rPr>
        <w:t>Apprenticeships are a complex product d</w:t>
      </w:r>
      <w:r w:rsidR="64DBB802" w:rsidRPr="4C3CD194">
        <w:rPr>
          <w:rFonts w:ascii="Arial" w:hAnsi="Arial" w:cs="Arial"/>
          <w:sz w:val="24"/>
          <w:szCs w:val="24"/>
        </w:rPr>
        <w:t>ue</w:t>
      </w:r>
      <w:r w:rsidRPr="4C3CD194">
        <w:rPr>
          <w:rFonts w:ascii="Arial" w:hAnsi="Arial" w:cs="Arial"/>
          <w:sz w:val="24"/>
          <w:szCs w:val="24"/>
        </w:rPr>
        <w:t xml:space="preserve"> </w:t>
      </w:r>
      <w:r w:rsidR="0D53F168" w:rsidRPr="4C3CD194">
        <w:rPr>
          <w:rFonts w:ascii="Arial" w:hAnsi="Arial" w:cs="Arial"/>
          <w:sz w:val="24"/>
          <w:szCs w:val="24"/>
        </w:rPr>
        <w:t>to</w:t>
      </w:r>
      <w:r w:rsidRPr="4C3CD194">
        <w:rPr>
          <w:rFonts w:ascii="Arial" w:hAnsi="Arial" w:cs="Arial"/>
          <w:sz w:val="24"/>
          <w:szCs w:val="24"/>
        </w:rPr>
        <w:t xml:space="preserve"> </w:t>
      </w:r>
      <w:r w:rsidR="0E482CCC" w:rsidRPr="4C3CD194">
        <w:rPr>
          <w:rFonts w:ascii="Arial" w:hAnsi="Arial" w:cs="Arial"/>
          <w:sz w:val="24"/>
          <w:szCs w:val="24"/>
        </w:rPr>
        <w:t>constantly changing</w:t>
      </w:r>
      <w:r w:rsidRPr="4C3CD194">
        <w:rPr>
          <w:rFonts w:ascii="Arial" w:hAnsi="Arial" w:cs="Arial"/>
          <w:sz w:val="24"/>
          <w:szCs w:val="24"/>
        </w:rPr>
        <w:t xml:space="preserve"> funding rules, external scrutiny, and continuous </w:t>
      </w:r>
      <w:r w:rsidR="6AFE9267" w:rsidRPr="4C3CD194">
        <w:rPr>
          <w:rFonts w:ascii="Arial" w:hAnsi="Arial" w:cs="Arial"/>
          <w:sz w:val="24"/>
          <w:szCs w:val="24"/>
        </w:rPr>
        <w:t>g</w:t>
      </w:r>
      <w:r w:rsidRPr="4C3CD194">
        <w:rPr>
          <w:rFonts w:ascii="Arial" w:hAnsi="Arial" w:cs="Arial"/>
          <w:sz w:val="24"/>
          <w:szCs w:val="24"/>
        </w:rPr>
        <w:t xml:space="preserve">overnment reform, </w:t>
      </w:r>
      <w:r w:rsidR="0C783FF2" w:rsidRPr="4C3CD194">
        <w:rPr>
          <w:rFonts w:ascii="Arial" w:hAnsi="Arial" w:cs="Arial"/>
          <w:sz w:val="24"/>
          <w:szCs w:val="24"/>
        </w:rPr>
        <w:t xml:space="preserve">which </w:t>
      </w:r>
      <w:r w:rsidRPr="4C3CD194">
        <w:rPr>
          <w:rFonts w:ascii="Arial" w:hAnsi="Arial" w:cs="Arial"/>
          <w:sz w:val="24"/>
          <w:szCs w:val="24"/>
        </w:rPr>
        <w:t>creates ambiguity in leadership decision-making</w:t>
      </w:r>
      <w:r w:rsidR="374248E6" w:rsidRPr="4C3CD194">
        <w:rPr>
          <w:rFonts w:ascii="Arial" w:hAnsi="Arial" w:cs="Arial"/>
          <w:sz w:val="24"/>
          <w:szCs w:val="24"/>
        </w:rPr>
        <w:t xml:space="preserve"> for those </w:t>
      </w:r>
      <w:r w:rsidR="5F362CE1" w:rsidRPr="4C3CD194">
        <w:rPr>
          <w:rFonts w:ascii="Arial" w:hAnsi="Arial" w:cs="Arial"/>
          <w:sz w:val="24"/>
          <w:szCs w:val="24"/>
        </w:rPr>
        <w:t>attempting</w:t>
      </w:r>
      <w:r w:rsidR="374248E6" w:rsidRPr="4C3CD194">
        <w:rPr>
          <w:rFonts w:ascii="Arial" w:hAnsi="Arial" w:cs="Arial"/>
          <w:sz w:val="24"/>
          <w:szCs w:val="24"/>
        </w:rPr>
        <w:t xml:space="preserve"> to navigate them</w:t>
      </w:r>
      <w:r w:rsidR="4A03B493" w:rsidRPr="4C3CD194">
        <w:rPr>
          <w:rFonts w:ascii="Arial" w:hAnsi="Arial" w:cs="Arial"/>
          <w:sz w:val="24"/>
          <w:szCs w:val="24"/>
        </w:rPr>
        <w:t xml:space="preserve">. </w:t>
      </w:r>
      <w:r w:rsidR="007363B2" w:rsidRPr="4C3CD194">
        <w:rPr>
          <w:rFonts w:ascii="Arial" w:hAnsi="Arial" w:cs="Arial"/>
          <w:sz w:val="24"/>
          <w:szCs w:val="24"/>
        </w:rPr>
        <w:t xml:space="preserve">The limited research </w:t>
      </w:r>
      <w:r w:rsidR="0019496F" w:rsidRPr="4C3CD194">
        <w:rPr>
          <w:rFonts w:ascii="Arial" w:hAnsi="Arial" w:cs="Arial"/>
          <w:sz w:val="24"/>
          <w:szCs w:val="24"/>
        </w:rPr>
        <w:t xml:space="preserve">available on apprenticeships policy, such as works </w:t>
      </w:r>
      <w:r w:rsidR="007363B2" w:rsidRPr="4C3CD194">
        <w:rPr>
          <w:rFonts w:ascii="Arial" w:hAnsi="Arial" w:cs="Arial"/>
          <w:sz w:val="24"/>
          <w:szCs w:val="24"/>
        </w:rPr>
        <w:t xml:space="preserve">conducted by Lester (2020), </w:t>
      </w:r>
      <w:bookmarkStart w:id="0" w:name="_Int_KQrzXNbP"/>
      <w:r w:rsidR="007363B2" w:rsidRPr="4C3CD194">
        <w:rPr>
          <w:rFonts w:ascii="Arial" w:hAnsi="Arial" w:cs="Arial"/>
          <w:sz w:val="24"/>
          <w:szCs w:val="24"/>
        </w:rPr>
        <w:t>Lillis</w:t>
      </w:r>
      <w:bookmarkEnd w:id="0"/>
      <w:r w:rsidR="007363B2" w:rsidRPr="4C3CD194">
        <w:rPr>
          <w:rFonts w:ascii="Arial" w:hAnsi="Arial" w:cs="Arial"/>
          <w:sz w:val="24"/>
          <w:szCs w:val="24"/>
        </w:rPr>
        <w:t xml:space="preserve"> and </w:t>
      </w:r>
      <w:proofErr w:type="spellStart"/>
      <w:r w:rsidR="007363B2" w:rsidRPr="4C3CD194">
        <w:rPr>
          <w:rFonts w:ascii="Arial" w:hAnsi="Arial" w:cs="Arial"/>
          <w:sz w:val="24"/>
          <w:szCs w:val="24"/>
        </w:rPr>
        <w:t>Varetto</w:t>
      </w:r>
      <w:proofErr w:type="spellEnd"/>
      <w:r w:rsidR="007363B2" w:rsidRPr="4C3CD194">
        <w:rPr>
          <w:rFonts w:ascii="Arial" w:hAnsi="Arial" w:cs="Arial"/>
          <w:sz w:val="24"/>
          <w:szCs w:val="24"/>
        </w:rPr>
        <w:t xml:space="preserve"> </w:t>
      </w:r>
      <w:r w:rsidR="007363B2" w:rsidRPr="4C3CD194">
        <w:rPr>
          <w:rFonts w:ascii="Arial" w:hAnsi="Arial" w:cs="Arial"/>
          <w:sz w:val="24"/>
          <w:szCs w:val="24"/>
        </w:rPr>
        <w:lastRenderedPageBreak/>
        <w:t xml:space="preserve">(2020), and </w:t>
      </w:r>
      <w:proofErr w:type="spellStart"/>
      <w:r w:rsidR="007363B2" w:rsidRPr="4C3CD194">
        <w:rPr>
          <w:rFonts w:ascii="Arial" w:hAnsi="Arial" w:cs="Arial"/>
          <w:sz w:val="24"/>
          <w:szCs w:val="24"/>
        </w:rPr>
        <w:t>Bravenboer</w:t>
      </w:r>
      <w:proofErr w:type="spellEnd"/>
      <w:r w:rsidR="007363B2" w:rsidRPr="4C3CD194">
        <w:rPr>
          <w:rFonts w:ascii="Arial" w:hAnsi="Arial" w:cs="Arial"/>
          <w:sz w:val="24"/>
          <w:szCs w:val="24"/>
        </w:rPr>
        <w:t xml:space="preserve"> (2024)</w:t>
      </w:r>
      <w:r w:rsidR="3BFE4110" w:rsidRPr="4C3CD194">
        <w:rPr>
          <w:rFonts w:ascii="Arial" w:hAnsi="Arial" w:cs="Arial"/>
          <w:sz w:val="24"/>
          <w:szCs w:val="24"/>
        </w:rPr>
        <w:t>,</w:t>
      </w:r>
      <w:r w:rsidR="007363B2" w:rsidRPr="4C3CD194">
        <w:rPr>
          <w:rFonts w:ascii="Arial" w:hAnsi="Arial" w:cs="Arial"/>
          <w:sz w:val="24"/>
          <w:szCs w:val="24"/>
        </w:rPr>
        <w:t xml:space="preserve"> highlight th</w:t>
      </w:r>
      <w:r w:rsidR="3ECD92E0" w:rsidRPr="4C3CD194">
        <w:rPr>
          <w:rFonts w:ascii="Arial" w:hAnsi="Arial" w:cs="Arial"/>
          <w:sz w:val="24"/>
          <w:szCs w:val="24"/>
        </w:rPr>
        <w:t>is</w:t>
      </w:r>
      <w:r w:rsidR="007363B2" w:rsidRPr="4C3CD194">
        <w:rPr>
          <w:rFonts w:ascii="Arial" w:hAnsi="Arial" w:cs="Arial"/>
          <w:sz w:val="24"/>
          <w:szCs w:val="24"/>
        </w:rPr>
        <w:t xml:space="preserve"> dynamic </w:t>
      </w:r>
      <w:r w:rsidR="3FA6E183" w:rsidRPr="4C3CD194">
        <w:rPr>
          <w:rFonts w:ascii="Arial" w:hAnsi="Arial" w:cs="Arial"/>
          <w:sz w:val="24"/>
          <w:szCs w:val="24"/>
        </w:rPr>
        <w:t>nature</w:t>
      </w:r>
      <w:r w:rsidR="007363B2" w:rsidRPr="4C3CD194">
        <w:rPr>
          <w:rFonts w:ascii="Arial" w:hAnsi="Arial" w:cs="Arial"/>
          <w:sz w:val="24"/>
          <w:szCs w:val="24"/>
        </w:rPr>
        <w:t xml:space="preserve"> </w:t>
      </w:r>
      <w:r w:rsidR="1305CA09" w:rsidRPr="4C3CD194">
        <w:rPr>
          <w:rFonts w:ascii="Arial" w:hAnsi="Arial" w:cs="Arial"/>
          <w:sz w:val="24"/>
          <w:szCs w:val="24"/>
        </w:rPr>
        <w:t xml:space="preserve">of </w:t>
      </w:r>
      <w:r w:rsidR="007363B2" w:rsidRPr="4C3CD194">
        <w:rPr>
          <w:rFonts w:ascii="Arial" w:hAnsi="Arial" w:cs="Arial"/>
          <w:sz w:val="24"/>
          <w:szCs w:val="24"/>
        </w:rPr>
        <w:t>apprenticeship</w:t>
      </w:r>
      <w:r w:rsidR="1B9C6DE9" w:rsidRPr="4C3CD194">
        <w:rPr>
          <w:rFonts w:ascii="Arial" w:hAnsi="Arial" w:cs="Arial"/>
          <w:sz w:val="24"/>
          <w:szCs w:val="24"/>
        </w:rPr>
        <w:t xml:space="preserve"> policy, and collectively</w:t>
      </w:r>
      <w:r w:rsidR="007363B2" w:rsidRPr="4C3CD194">
        <w:rPr>
          <w:rFonts w:ascii="Arial" w:hAnsi="Arial" w:cs="Arial"/>
          <w:sz w:val="24"/>
          <w:szCs w:val="24"/>
        </w:rPr>
        <w:t xml:space="preserve"> not</w:t>
      </w:r>
      <w:r w:rsidR="446A69C0" w:rsidRPr="4C3CD194">
        <w:rPr>
          <w:rFonts w:ascii="Arial" w:hAnsi="Arial" w:cs="Arial"/>
          <w:sz w:val="24"/>
          <w:szCs w:val="24"/>
        </w:rPr>
        <w:t>e</w:t>
      </w:r>
      <w:r w:rsidR="007363B2" w:rsidRPr="4C3CD194">
        <w:rPr>
          <w:rFonts w:ascii="Arial" w:hAnsi="Arial" w:cs="Arial"/>
          <w:sz w:val="24"/>
          <w:szCs w:val="24"/>
        </w:rPr>
        <w:t xml:space="preserve"> a need for sustainable funding and regulatory </w:t>
      </w:r>
      <w:proofErr w:type="gramStart"/>
      <w:r w:rsidR="007363B2" w:rsidRPr="4C3CD194">
        <w:rPr>
          <w:rFonts w:ascii="Arial" w:hAnsi="Arial" w:cs="Arial"/>
          <w:sz w:val="24"/>
          <w:szCs w:val="24"/>
        </w:rPr>
        <w:t>conditions;</w:t>
      </w:r>
      <w:proofErr w:type="gramEnd"/>
      <w:r w:rsidR="007363B2" w:rsidRPr="4C3CD194">
        <w:rPr>
          <w:rFonts w:ascii="Arial" w:hAnsi="Arial" w:cs="Arial"/>
          <w:sz w:val="24"/>
          <w:szCs w:val="24"/>
        </w:rPr>
        <w:t xml:space="preserve"> </w:t>
      </w:r>
      <w:r w:rsidR="213DB672" w:rsidRPr="4C3CD194">
        <w:rPr>
          <w:rFonts w:ascii="Arial" w:hAnsi="Arial" w:cs="Arial"/>
          <w:sz w:val="24"/>
          <w:szCs w:val="24"/>
        </w:rPr>
        <w:t xml:space="preserve">due to </w:t>
      </w:r>
      <w:r w:rsidR="007363B2" w:rsidRPr="4C3CD194">
        <w:rPr>
          <w:rFonts w:ascii="Arial" w:hAnsi="Arial" w:cs="Arial"/>
          <w:sz w:val="24"/>
          <w:szCs w:val="24"/>
        </w:rPr>
        <w:t>implications for programme design and delivery. However, r</w:t>
      </w:r>
      <w:r w:rsidRPr="4C3CD194">
        <w:rPr>
          <w:rFonts w:ascii="Arial" w:hAnsi="Arial" w:cs="Arial"/>
          <w:sz w:val="24"/>
          <w:szCs w:val="24"/>
        </w:rPr>
        <w:t>esearch on leadership</w:t>
      </w:r>
      <w:r w:rsidR="007363B2" w:rsidRPr="4C3CD194">
        <w:rPr>
          <w:rFonts w:ascii="Arial" w:hAnsi="Arial" w:cs="Arial"/>
          <w:sz w:val="24"/>
          <w:szCs w:val="24"/>
        </w:rPr>
        <w:t xml:space="preserve"> specifically</w:t>
      </w:r>
      <w:r w:rsidRPr="4C3CD194">
        <w:rPr>
          <w:rFonts w:ascii="Arial" w:hAnsi="Arial" w:cs="Arial"/>
          <w:sz w:val="24"/>
          <w:szCs w:val="24"/>
        </w:rPr>
        <w:t xml:space="preserve"> within apprenticeship provision </w:t>
      </w:r>
      <w:r w:rsidR="00A3146B" w:rsidRPr="4C3CD194">
        <w:rPr>
          <w:rFonts w:ascii="Arial" w:hAnsi="Arial" w:cs="Arial"/>
          <w:sz w:val="24"/>
          <w:szCs w:val="24"/>
        </w:rPr>
        <w:t>with</w:t>
      </w:r>
      <w:r w:rsidRPr="4C3CD194">
        <w:rPr>
          <w:rFonts w:ascii="Arial" w:hAnsi="Arial" w:cs="Arial"/>
          <w:sz w:val="24"/>
          <w:szCs w:val="24"/>
        </w:rPr>
        <w:t>in HE</w:t>
      </w:r>
      <w:r w:rsidR="007363B2" w:rsidRPr="4C3CD194">
        <w:rPr>
          <w:rFonts w:ascii="Arial" w:hAnsi="Arial" w:cs="Arial"/>
          <w:sz w:val="24"/>
          <w:szCs w:val="24"/>
        </w:rPr>
        <w:t>, and how these leaders respond to policy shifts,</w:t>
      </w:r>
      <w:r w:rsidRPr="4C3CD194">
        <w:rPr>
          <w:rFonts w:ascii="Arial" w:hAnsi="Arial" w:cs="Arial"/>
          <w:sz w:val="24"/>
          <w:szCs w:val="24"/>
        </w:rPr>
        <w:t xml:space="preserve"> remains limited, with most literature addressing corporate or public-sector change rather than the apprenticeship context (Mintzberg, 1994; Schein, 2010; Armstrong, 2014). This study addresses that gap, asking:</w:t>
      </w:r>
      <w:r w:rsidR="00CE4ED5" w:rsidRPr="4C3CD194">
        <w:rPr>
          <w:rFonts w:ascii="Arial" w:hAnsi="Arial" w:cs="Arial"/>
          <w:sz w:val="24"/>
          <w:szCs w:val="24"/>
        </w:rPr>
        <w:t xml:space="preserve"> </w:t>
      </w:r>
      <w:r w:rsidRPr="4C3CD194">
        <w:rPr>
          <w:rFonts w:ascii="Arial" w:hAnsi="Arial" w:cs="Arial"/>
          <w:i/>
          <w:iCs/>
          <w:sz w:val="24"/>
          <w:szCs w:val="24"/>
        </w:rPr>
        <w:t>Due to the ever-changing apprenticeship policy, how do leaders and managers lead through ambiguity and change? How do they motivate teams and respond?</w:t>
      </w:r>
    </w:p>
    <w:p w14:paraId="15A6EA78" w14:textId="77777777" w:rsidR="00CE4ED5" w:rsidRDefault="00CE4ED5" w:rsidP="0511F407">
      <w:pPr>
        <w:pStyle w:val="NoSpacing"/>
        <w:jc w:val="both"/>
        <w:rPr>
          <w:rFonts w:ascii="Arial" w:hAnsi="Arial" w:cs="Arial"/>
          <w:i/>
          <w:iCs/>
          <w:sz w:val="24"/>
          <w:szCs w:val="24"/>
        </w:rPr>
      </w:pPr>
    </w:p>
    <w:p w14:paraId="560439EE" w14:textId="34B6CC65" w:rsidR="00CE4ED5" w:rsidRPr="00CE4ED5" w:rsidRDefault="00CE4ED5" w:rsidP="0511F407">
      <w:pPr>
        <w:pStyle w:val="NoSpacing"/>
        <w:jc w:val="both"/>
        <w:rPr>
          <w:rFonts w:ascii="Arial" w:hAnsi="Arial" w:cs="Arial"/>
          <w:b/>
          <w:bCs/>
          <w:sz w:val="24"/>
          <w:szCs w:val="24"/>
        </w:rPr>
      </w:pPr>
      <w:r w:rsidRPr="0511F407">
        <w:rPr>
          <w:rFonts w:ascii="Arial" w:hAnsi="Arial" w:cs="Arial"/>
          <w:b/>
          <w:bCs/>
          <w:sz w:val="24"/>
          <w:szCs w:val="24"/>
        </w:rPr>
        <w:t>Literature Review</w:t>
      </w:r>
    </w:p>
    <w:p w14:paraId="3B00EAA0" w14:textId="77777777" w:rsidR="00775D06" w:rsidRDefault="00775D06" w:rsidP="0511F407">
      <w:pPr>
        <w:pStyle w:val="NoSpacing"/>
        <w:jc w:val="both"/>
        <w:rPr>
          <w:rFonts w:ascii="Arial" w:hAnsi="Arial" w:cs="Arial"/>
          <w:sz w:val="24"/>
          <w:szCs w:val="24"/>
        </w:rPr>
      </w:pPr>
    </w:p>
    <w:p w14:paraId="03B43BDB" w14:textId="7DB81F46" w:rsidR="00ED5C3B" w:rsidRPr="00CE4ED5" w:rsidRDefault="00ED5C3B" w:rsidP="0511F407">
      <w:pPr>
        <w:pStyle w:val="NoSpacing"/>
        <w:jc w:val="both"/>
        <w:rPr>
          <w:rFonts w:ascii="Arial" w:hAnsi="Arial" w:cs="Arial"/>
          <w:b/>
          <w:bCs/>
          <w:i/>
          <w:iCs/>
          <w:sz w:val="24"/>
          <w:szCs w:val="24"/>
        </w:rPr>
      </w:pPr>
      <w:r w:rsidRPr="0511F407">
        <w:rPr>
          <w:rFonts w:ascii="Arial" w:hAnsi="Arial" w:cs="Arial"/>
          <w:b/>
          <w:bCs/>
          <w:i/>
          <w:iCs/>
          <w:sz w:val="24"/>
          <w:szCs w:val="24"/>
        </w:rPr>
        <w:t>Policy Level; Ambiguity and Strategic Adaptation</w:t>
      </w:r>
    </w:p>
    <w:p w14:paraId="02905900" w14:textId="77777777" w:rsidR="00ED5C3B" w:rsidRPr="00ED5C3B" w:rsidRDefault="00ED5C3B" w:rsidP="0511F407">
      <w:pPr>
        <w:pStyle w:val="NoSpacing"/>
        <w:jc w:val="both"/>
        <w:rPr>
          <w:rFonts w:ascii="Arial" w:hAnsi="Arial" w:cs="Arial"/>
          <w:b/>
          <w:bCs/>
          <w:sz w:val="24"/>
          <w:szCs w:val="24"/>
        </w:rPr>
      </w:pPr>
    </w:p>
    <w:p w14:paraId="3468F89B" w14:textId="3E97A37E" w:rsidR="00ED5C3B" w:rsidRDefault="00ED5C3B" w:rsidP="0511F407">
      <w:pPr>
        <w:pStyle w:val="NoSpacing"/>
        <w:jc w:val="both"/>
        <w:rPr>
          <w:rFonts w:ascii="Arial" w:hAnsi="Arial" w:cs="Arial"/>
          <w:sz w:val="24"/>
          <w:szCs w:val="24"/>
        </w:rPr>
      </w:pPr>
      <w:r w:rsidRPr="0511F407">
        <w:rPr>
          <w:rFonts w:ascii="Arial" w:hAnsi="Arial" w:cs="Arial"/>
          <w:sz w:val="24"/>
          <w:szCs w:val="24"/>
        </w:rPr>
        <w:t xml:space="preserve">Organisational leadership in apprenticeship provision is </w:t>
      </w:r>
      <w:r w:rsidR="007363B2" w:rsidRPr="0511F407">
        <w:rPr>
          <w:rFonts w:ascii="Arial" w:hAnsi="Arial" w:cs="Arial"/>
          <w:sz w:val="24"/>
          <w:szCs w:val="24"/>
        </w:rPr>
        <w:t xml:space="preserve">naturally </w:t>
      </w:r>
      <w:r w:rsidRPr="0511F407">
        <w:rPr>
          <w:rFonts w:ascii="Arial" w:hAnsi="Arial" w:cs="Arial"/>
          <w:sz w:val="24"/>
          <w:szCs w:val="24"/>
        </w:rPr>
        <w:t>shaped by external regulation</w:t>
      </w:r>
      <w:r w:rsidR="007363B2" w:rsidRPr="0511F407">
        <w:rPr>
          <w:rFonts w:ascii="Arial" w:hAnsi="Arial" w:cs="Arial"/>
          <w:sz w:val="24"/>
          <w:szCs w:val="24"/>
        </w:rPr>
        <w:t xml:space="preserve"> – notably </w:t>
      </w:r>
      <w:r w:rsidRPr="0511F407">
        <w:rPr>
          <w:rFonts w:ascii="Arial" w:hAnsi="Arial" w:cs="Arial"/>
          <w:sz w:val="24"/>
          <w:szCs w:val="24"/>
        </w:rPr>
        <w:t xml:space="preserve">Ofsted’s Education Inspection Framework (2023) </w:t>
      </w:r>
      <w:r w:rsidR="007363B2" w:rsidRPr="0511F407">
        <w:rPr>
          <w:rFonts w:ascii="Arial" w:hAnsi="Arial" w:cs="Arial"/>
          <w:sz w:val="24"/>
          <w:szCs w:val="24"/>
        </w:rPr>
        <w:t xml:space="preserve">which </w:t>
      </w:r>
      <w:r w:rsidRPr="0511F407">
        <w:rPr>
          <w:rFonts w:ascii="Arial" w:hAnsi="Arial" w:cs="Arial"/>
          <w:sz w:val="24"/>
          <w:szCs w:val="24"/>
        </w:rPr>
        <w:t>defines quality, behaviour, personal development, and leadershi</w:t>
      </w:r>
      <w:r w:rsidR="007363B2" w:rsidRPr="0511F407">
        <w:rPr>
          <w:rFonts w:ascii="Arial" w:hAnsi="Arial" w:cs="Arial"/>
          <w:sz w:val="24"/>
          <w:szCs w:val="24"/>
        </w:rPr>
        <w:t xml:space="preserve">p. These elements are </w:t>
      </w:r>
      <w:r w:rsidRPr="0511F407">
        <w:rPr>
          <w:rFonts w:ascii="Arial" w:hAnsi="Arial" w:cs="Arial"/>
          <w:sz w:val="24"/>
          <w:szCs w:val="24"/>
        </w:rPr>
        <w:t xml:space="preserve">central to </w:t>
      </w:r>
      <w:r w:rsidR="007363B2" w:rsidRPr="0511F407">
        <w:rPr>
          <w:rFonts w:ascii="Arial" w:hAnsi="Arial" w:cs="Arial"/>
          <w:sz w:val="24"/>
          <w:szCs w:val="24"/>
        </w:rPr>
        <w:t>the</w:t>
      </w:r>
      <w:r w:rsidRPr="0511F407">
        <w:rPr>
          <w:rFonts w:ascii="Arial" w:hAnsi="Arial" w:cs="Arial"/>
          <w:sz w:val="24"/>
          <w:szCs w:val="24"/>
        </w:rPr>
        <w:t xml:space="preserve"> intent, implementation, and impact</w:t>
      </w:r>
      <w:r w:rsidR="007363B2" w:rsidRPr="0511F407">
        <w:rPr>
          <w:rFonts w:ascii="Arial" w:hAnsi="Arial" w:cs="Arial"/>
          <w:sz w:val="24"/>
          <w:szCs w:val="24"/>
        </w:rPr>
        <w:t xml:space="preserve"> of provision</w:t>
      </w:r>
      <w:r w:rsidRPr="0511F407">
        <w:rPr>
          <w:rFonts w:ascii="Arial" w:hAnsi="Arial" w:cs="Arial"/>
          <w:sz w:val="24"/>
          <w:szCs w:val="24"/>
        </w:rPr>
        <w:t xml:space="preserve">. Frequent updates to funding guidance, coupled with Department for Education (DfE) reforms, require universities to operate within tight compliance frameworks. Pfeffer (2003) conceptualises </w:t>
      </w:r>
      <w:r w:rsidR="007363B2" w:rsidRPr="0511F407">
        <w:rPr>
          <w:rFonts w:ascii="Arial" w:hAnsi="Arial" w:cs="Arial"/>
          <w:sz w:val="24"/>
          <w:szCs w:val="24"/>
        </w:rPr>
        <w:t xml:space="preserve">such </w:t>
      </w:r>
      <w:r w:rsidRPr="0511F407">
        <w:rPr>
          <w:rFonts w:ascii="Arial" w:hAnsi="Arial" w:cs="Arial"/>
          <w:sz w:val="24"/>
          <w:szCs w:val="24"/>
        </w:rPr>
        <w:t>ambiguity as decision-making under incomplete or conflicting information a daily reality for apprenticeship leaders.</w:t>
      </w:r>
      <w:r w:rsidR="00CA279B" w:rsidRPr="0511F407">
        <w:rPr>
          <w:rFonts w:ascii="Arial" w:hAnsi="Arial" w:cs="Arial"/>
          <w:sz w:val="24"/>
          <w:szCs w:val="24"/>
        </w:rPr>
        <w:t xml:space="preserve"> Recent studies further highlight that regulatory churn and intensified accountability cultures are reshaping leadership practice in work-based learning, requiring more adaptive, relational, and evidence-informed approaches (Smith &amp; Phillips, 2023; Jones, 2024). In addition, sector research shows that university apprenticeship teams are increasingly expected to balance compliance, pedagogy, and employer partnership demands in a volatile policy environment (Khan &amp; Armstrong, 2024).</w:t>
      </w:r>
    </w:p>
    <w:p w14:paraId="6368B766" w14:textId="42A746CB" w:rsidR="0511F407" w:rsidRDefault="0511F407" w:rsidP="0511F407">
      <w:pPr>
        <w:pStyle w:val="NoSpacing"/>
        <w:jc w:val="both"/>
        <w:rPr>
          <w:rFonts w:ascii="Arial" w:hAnsi="Arial" w:cs="Arial"/>
          <w:sz w:val="24"/>
          <w:szCs w:val="24"/>
        </w:rPr>
      </w:pPr>
    </w:p>
    <w:p w14:paraId="7A3D2FEC" w14:textId="13927769" w:rsidR="00ED5C3B" w:rsidRDefault="00ED5C3B" w:rsidP="0511F407">
      <w:pPr>
        <w:pStyle w:val="NoSpacing"/>
        <w:jc w:val="both"/>
        <w:rPr>
          <w:rFonts w:ascii="Arial" w:hAnsi="Arial" w:cs="Arial"/>
          <w:sz w:val="24"/>
          <w:szCs w:val="24"/>
        </w:rPr>
      </w:pPr>
      <w:r w:rsidRPr="0511F407">
        <w:rPr>
          <w:rFonts w:ascii="Arial" w:hAnsi="Arial" w:cs="Arial"/>
          <w:sz w:val="24"/>
          <w:szCs w:val="24"/>
        </w:rPr>
        <w:t xml:space="preserve">Strategic responses to such volatility are theorised through both classical and emergent models. Chandler’s (1962) top-down model prioritises executive direction, whereas Mintzberg (1994) argues for emergent strategy responsive to context. Pettigrew (1985) and </w:t>
      </w:r>
      <w:proofErr w:type="spellStart"/>
      <w:r w:rsidRPr="0511F407">
        <w:rPr>
          <w:rFonts w:ascii="Arial" w:hAnsi="Arial" w:cs="Arial"/>
          <w:sz w:val="24"/>
          <w:szCs w:val="24"/>
        </w:rPr>
        <w:t>Kabeyi</w:t>
      </w:r>
      <w:proofErr w:type="spellEnd"/>
      <w:r w:rsidRPr="0511F407">
        <w:rPr>
          <w:rFonts w:ascii="Arial" w:hAnsi="Arial" w:cs="Arial"/>
          <w:sz w:val="24"/>
          <w:szCs w:val="24"/>
        </w:rPr>
        <w:t xml:space="preserve"> (2019) highlight how political interference and bureaucracy constrain agility. </w:t>
      </w:r>
      <w:r w:rsidR="00CA279B" w:rsidRPr="0511F407">
        <w:rPr>
          <w:rFonts w:ascii="Arial" w:hAnsi="Arial" w:cs="Arial"/>
          <w:sz w:val="24"/>
          <w:szCs w:val="24"/>
        </w:rPr>
        <w:t>Mintzberg’s adaptive approach aligns closely with HE institutions that must recalibrate strategy with each reform cycle, a position reinforced by contemporary analyses showing that strategic flexibility is now a core capability for apprenticeship-driven universities (Jones, 2024; Khan &amp; Armstrong, 2024).</w:t>
      </w:r>
    </w:p>
    <w:p w14:paraId="15CD3E04" w14:textId="77777777" w:rsidR="00ED5C3B" w:rsidRDefault="00ED5C3B" w:rsidP="0511F407">
      <w:pPr>
        <w:pStyle w:val="NoSpacing"/>
        <w:jc w:val="both"/>
        <w:rPr>
          <w:rFonts w:ascii="Arial" w:hAnsi="Arial" w:cs="Arial"/>
          <w:sz w:val="24"/>
          <w:szCs w:val="24"/>
        </w:rPr>
      </w:pPr>
    </w:p>
    <w:p w14:paraId="7E5D080C" w14:textId="15AD1FD3" w:rsidR="00ED5C3B" w:rsidRDefault="00ED5C3B" w:rsidP="0511F407">
      <w:pPr>
        <w:pStyle w:val="NoSpacing"/>
        <w:jc w:val="both"/>
        <w:rPr>
          <w:rFonts w:ascii="Arial" w:hAnsi="Arial" w:cs="Arial"/>
          <w:b/>
          <w:bCs/>
          <w:i/>
          <w:iCs/>
          <w:sz w:val="24"/>
          <w:szCs w:val="24"/>
        </w:rPr>
      </w:pPr>
      <w:r w:rsidRPr="0511F407">
        <w:rPr>
          <w:rFonts w:ascii="Arial" w:hAnsi="Arial" w:cs="Arial"/>
          <w:b/>
          <w:bCs/>
          <w:i/>
          <w:iCs/>
          <w:sz w:val="24"/>
          <w:szCs w:val="24"/>
        </w:rPr>
        <w:t>Institutional Level; Change Management and Organisational Culture</w:t>
      </w:r>
    </w:p>
    <w:p w14:paraId="5386C8E7" w14:textId="77777777" w:rsidR="00CE4ED5" w:rsidRPr="00CE4ED5" w:rsidRDefault="00CE4ED5" w:rsidP="0511F407">
      <w:pPr>
        <w:pStyle w:val="NoSpacing"/>
        <w:jc w:val="both"/>
        <w:rPr>
          <w:rFonts w:ascii="Arial" w:hAnsi="Arial" w:cs="Arial"/>
          <w:b/>
          <w:bCs/>
          <w:i/>
          <w:iCs/>
          <w:sz w:val="24"/>
          <w:szCs w:val="24"/>
        </w:rPr>
      </w:pPr>
    </w:p>
    <w:p w14:paraId="4C47DB8C" w14:textId="395BBFF7" w:rsidR="00ED5C3B" w:rsidRDefault="007363B2" w:rsidP="0511F407">
      <w:pPr>
        <w:pStyle w:val="NoSpacing"/>
        <w:jc w:val="both"/>
        <w:rPr>
          <w:rFonts w:ascii="Arial" w:hAnsi="Arial" w:cs="Arial"/>
          <w:sz w:val="24"/>
          <w:szCs w:val="24"/>
        </w:rPr>
      </w:pPr>
      <w:r w:rsidRPr="4C3CD194">
        <w:rPr>
          <w:rFonts w:ascii="Arial" w:hAnsi="Arial" w:cs="Arial"/>
          <w:sz w:val="24"/>
          <w:szCs w:val="24"/>
        </w:rPr>
        <w:t xml:space="preserve">Change management within HE has a cyclical nature, </w:t>
      </w:r>
      <w:bookmarkStart w:id="1" w:name="_Int_SFgbI8LN"/>
      <w:proofErr w:type="gramStart"/>
      <w:r w:rsidR="00ED5C3B" w:rsidRPr="4C3CD194">
        <w:rPr>
          <w:rFonts w:ascii="Arial" w:hAnsi="Arial" w:cs="Arial"/>
          <w:sz w:val="24"/>
          <w:szCs w:val="24"/>
        </w:rPr>
        <w:t>By</w:t>
      </w:r>
      <w:bookmarkEnd w:id="1"/>
      <w:proofErr w:type="gramEnd"/>
      <w:r w:rsidR="00ED5C3B" w:rsidRPr="4C3CD194">
        <w:rPr>
          <w:rFonts w:ascii="Arial" w:hAnsi="Arial" w:cs="Arial"/>
          <w:sz w:val="24"/>
          <w:szCs w:val="24"/>
        </w:rPr>
        <w:t xml:space="preserve"> (2005) and Burnes (2015) </w:t>
      </w:r>
      <w:r w:rsidRPr="4C3CD194">
        <w:rPr>
          <w:rFonts w:ascii="Arial" w:hAnsi="Arial" w:cs="Arial"/>
          <w:sz w:val="24"/>
          <w:szCs w:val="24"/>
        </w:rPr>
        <w:t>suggest</w:t>
      </w:r>
      <w:r w:rsidR="00ED5C3B" w:rsidRPr="4C3CD194">
        <w:rPr>
          <w:rFonts w:ascii="Arial" w:hAnsi="Arial" w:cs="Arial"/>
          <w:sz w:val="24"/>
          <w:szCs w:val="24"/>
        </w:rPr>
        <w:t xml:space="preserve"> that 70 per cent of change initiatives fail due to cultural resistance rather than process design. While Lewin’s (1951) and Kotter’s (1996) models remain foundational, and their linear stages unfreeze, change, and refreeze, struggle to address today’s continuous policy churn. Emergent and agile models (Dumas and Beinecke, 2018) are better suited to iterative adaptation</w:t>
      </w:r>
      <w:r w:rsidR="387E769A" w:rsidRPr="4C3CD194">
        <w:rPr>
          <w:rFonts w:ascii="Arial" w:hAnsi="Arial" w:cs="Arial"/>
          <w:sz w:val="24"/>
          <w:szCs w:val="24"/>
        </w:rPr>
        <w:t xml:space="preserve">. </w:t>
      </w:r>
      <w:r w:rsidR="00ED5C3B" w:rsidRPr="4C3CD194">
        <w:rPr>
          <w:rFonts w:ascii="Arial" w:hAnsi="Arial" w:cs="Arial"/>
          <w:sz w:val="24"/>
          <w:szCs w:val="24"/>
        </w:rPr>
        <w:t xml:space="preserve">Schein (2010) defines organisational culture as shared values and norms shaped by external demands. When policy changes are perceived as externally imposed, staff morale and trust in leadership can often decline. </w:t>
      </w:r>
      <w:r w:rsidR="00ED5C3B" w:rsidRPr="4C3CD194">
        <w:rPr>
          <w:rFonts w:ascii="Arial" w:hAnsi="Arial" w:cs="Arial"/>
          <w:sz w:val="24"/>
          <w:szCs w:val="24"/>
        </w:rPr>
        <w:lastRenderedPageBreak/>
        <w:t>Conversely, learning-organisation cultures (Senge, 2006) enable reflection, dialogue, and resilience. Armstrong (2014) links workforce morale to role clarity, recognition, and inclusion, while Tuckman’s (1965) model underpins the disruption of team cohesion under unclear goals. Transformational leadership (Bass, 1985; Burns, 1978) is therefore critical in restoring direction and purpose.</w:t>
      </w:r>
    </w:p>
    <w:p w14:paraId="3D5F91BD" w14:textId="77777777" w:rsidR="00ED5C3B" w:rsidRDefault="00ED5C3B" w:rsidP="0511F407">
      <w:pPr>
        <w:pStyle w:val="NoSpacing"/>
        <w:jc w:val="both"/>
        <w:rPr>
          <w:rFonts w:ascii="Arial" w:hAnsi="Arial" w:cs="Arial"/>
          <w:sz w:val="24"/>
          <w:szCs w:val="24"/>
        </w:rPr>
      </w:pPr>
    </w:p>
    <w:p w14:paraId="017CE9CB" w14:textId="0961FB78" w:rsidR="00ED5C3B" w:rsidRPr="00CE4ED5" w:rsidRDefault="00ED5C3B" w:rsidP="0511F407">
      <w:pPr>
        <w:pStyle w:val="NoSpacing"/>
        <w:jc w:val="both"/>
        <w:rPr>
          <w:rFonts w:ascii="Arial" w:hAnsi="Arial" w:cs="Arial"/>
          <w:b/>
          <w:bCs/>
          <w:i/>
          <w:iCs/>
          <w:sz w:val="24"/>
          <w:szCs w:val="24"/>
        </w:rPr>
      </w:pPr>
      <w:r w:rsidRPr="0511F407">
        <w:rPr>
          <w:rFonts w:ascii="Arial" w:hAnsi="Arial" w:cs="Arial"/>
          <w:b/>
          <w:bCs/>
          <w:i/>
          <w:iCs/>
          <w:sz w:val="24"/>
          <w:szCs w:val="24"/>
        </w:rPr>
        <w:t>Team Level; Communication, Motivation, and Resilience</w:t>
      </w:r>
    </w:p>
    <w:p w14:paraId="5467F457" w14:textId="77777777" w:rsidR="00CE4ED5" w:rsidRPr="00ED5C3B" w:rsidRDefault="00CE4ED5" w:rsidP="0511F407">
      <w:pPr>
        <w:pStyle w:val="NoSpacing"/>
        <w:jc w:val="both"/>
        <w:rPr>
          <w:rFonts w:ascii="Arial" w:hAnsi="Arial" w:cs="Arial"/>
          <w:b/>
          <w:bCs/>
          <w:sz w:val="24"/>
          <w:szCs w:val="24"/>
        </w:rPr>
      </w:pPr>
    </w:p>
    <w:p w14:paraId="7F8839A3" w14:textId="10C27F6F" w:rsidR="00ED5C3B" w:rsidRDefault="00ED5C3B" w:rsidP="0511F407">
      <w:pPr>
        <w:pStyle w:val="NoSpacing"/>
        <w:jc w:val="both"/>
        <w:rPr>
          <w:rFonts w:ascii="Arial" w:hAnsi="Arial" w:cs="Arial"/>
          <w:sz w:val="24"/>
          <w:szCs w:val="24"/>
        </w:rPr>
      </w:pPr>
      <w:r w:rsidRPr="0511F407">
        <w:rPr>
          <w:rFonts w:ascii="Arial" w:hAnsi="Arial" w:cs="Arial"/>
          <w:sz w:val="24"/>
          <w:szCs w:val="24"/>
        </w:rPr>
        <w:t>Clampitt et al. (2000) and Daft &amp; Lengel (1986) stress that clear, two-way communication mitigates uncertainty. Where leaders employ open forums, consistent updates, and accessible messaging, teams report higher engagement and trust. Conversely, fragmented channels create noise that impedes alignment (Shannon &amp; Weaver, 1949). Deci &amp; Ryan’s (1985) self-determination theory emphasises autonomy, competence, and relatedness as the core drivers of intrinsic motivation.</w:t>
      </w:r>
      <w:r w:rsidR="701F74DA" w:rsidRPr="0511F407">
        <w:rPr>
          <w:rFonts w:ascii="Arial" w:hAnsi="Arial" w:cs="Arial"/>
          <w:sz w:val="24"/>
          <w:szCs w:val="24"/>
        </w:rPr>
        <w:t xml:space="preserve"> </w:t>
      </w:r>
      <w:r w:rsidRPr="0511F407">
        <w:rPr>
          <w:rFonts w:ascii="Arial" w:hAnsi="Arial" w:cs="Arial"/>
          <w:sz w:val="24"/>
          <w:szCs w:val="24"/>
        </w:rPr>
        <w:t xml:space="preserve">Resilience, defined by Masten (2001) as </w:t>
      </w:r>
      <w:r w:rsidR="00B62CA8" w:rsidRPr="0511F407">
        <w:rPr>
          <w:rFonts w:ascii="Arial" w:hAnsi="Arial" w:cs="Arial"/>
          <w:sz w:val="24"/>
          <w:szCs w:val="24"/>
        </w:rPr>
        <w:t>‘</w:t>
      </w:r>
      <w:r w:rsidRPr="0511F407">
        <w:rPr>
          <w:rFonts w:ascii="Arial" w:hAnsi="Arial" w:cs="Arial"/>
          <w:sz w:val="24"/>
          <w:szCs w:val="24"/>
        </w:rPr>
        <w:t>ordinary magic,</w:t>
      </w:r>
      <w:r w:rsidR="00B62CA8" w:rsidRPr="0511F407">
        <w:rPr>
          <w:rFonts w:ascii="Arial" w:hAnsi="Arial" w:cs="Arial"/>
          <w:sz w:val="24"/>
          <w:szCs w:val="24"/>
        </w:rPr>
        <w:t>’</w:t>
      </w:r>
      <w:r w:rsidRPr="0511F407">
        <w:rPr>
          <w:rFonts w:ascii="Arial" w:hAnsi="Arial" w:cs="Arial"/>
          <w:sz w:val="24"/>
          <w:szCs w:val="24"/>
        </w:rPr>
        <w:t xml:space="preserve"> is not an individual trait but a product of supportive environments. Leadership that balances challenge and support (Schwartz &amp; Porath, 2014) fosters sustainable performance without burnout. The literature therefore positions communication, empowerment, and psychological safety as the mechanisms through which leaders translate policy turbulence into collective learning.</w:t>
      </w:r>
    </w:p>
    <w:p w14:paraId="46578973" w14:textId="77777777" w:rsidR="00ED5C3B" w:rsidRPr="00ED5C3B" w:rsidRDefault="00ED5C3B" w:rsidP="0511F407">
      <w:pPr>
        <w:pStyle w:val="NoSpacing"/>
        <w:jc w:val="both"/>
        <w:rPr>
          <w:rFonts w:ascii="Arial" w:hAnsi="Arial" w:cs="Arial"/>
          <w:sz w:val="24"/>
          <w:szCs w:val="24"/>
        </w:rPr>
      </w:pPr>
    </w:p>
    <w:p w14:paraId="55ADF749" w14:textId="77777777" w:rsidR="00B62CA8" w:rsidRDefault="00B62CA8" w:rsidP="0511F407">
      <w:pPr>
        <w:pStyle w:val="NoSpacing"/>
        <w:jc w:val="both"/>
        <w:rPr>
          <w:rFonts w:ascii="Arial" w:hAnsi="Arial" w:cs="Arial"/>
          <w:b/>
          <w:bCs/>
          <w:i/>
          <w:iCs/>
          <w:sz w:val="24"/>
          <w:szCs w:val="24"/>
        </w:rPr>
      </w:pPr>
      <w:r w:rsidRPr="0511F407">
        <w:rPr>
          <w:rFonts w:ascii="Arial" w:hAnsi="Arial" w:cs="Arial"/>
          <w:b/>
          <w:bCs/>
          <w:i/>
          <w:iCs/>
          <w:sz w:val="24"/>
          <w:szCs w:val="24"/>
        </w:rPr>
        <w:t>Synthesis</w:t>
      </w:r>
    </w:p>
    <w:p w14:paraId="11164239" w14:textId="77777777" w:rsidR="00B62CA8" w:rsidRPr="00B62CA8" w:rsidRDefault="00B62CA8" w:rsidP="0511F407">
      <w:pPr>
        <w:pStyle w:val="NoSpacing"/>
        <w:jc w:val="both"/>
        <w:rPr>
          <w:rFonts w:ascii="Arial" w:hAnsi="Arial" w:cs="Arial"/>
          <w:b/>
          <w:bCs/>
          <w:sz w:val="24"/>
          <w:szCs w:val="24"/>
        </w:rPr>
      </w:pPr>
    </w:p>
    <w:p w14:paraId="6F9F1155" w14:textId="4EADCE4B" w:rsidR="00B62CA8" w:rsidRDefault="00B62CA8" w:rsidP="0511F407">
      <w:pPr>
        <w:pStyle w:val="NoSpacing"/>
        <w:jc w:val="both"/>
        <w:rPr>
          <w:rFonts w:ascii="Arial" w:hAnsi="Arial" w:cs="Arial"/>
          <w:sz w:val="24"/>
          <w:szCs w:val="24"/>
        </w:rPr>
      </w:pPr>
      <w:r w:rsidRPr="0511F407">
        <w:rPr>
          <w:rFonts w:ascii="Arial" w:hAnsi="Arial" w:cs="Arial"/>
          <w:sz w:val="24"/>
          <w:szCs w:val="24"/>
        </w:rPr>
        <w:t xml:space="preserve">Across these levels, three integrative themes emerged: </w:t>
      </w:r>
    </w:p>
    <w:p w14:paraId="671094B0" w14:textId="208D8ACB" w:rsidR="00B62CA8" w:rsidRDefault="00B62CA8" w:rsidP="0511F407">
      <w:pPr>
        <w:pStyle w:val="NoSpacing"/>
        <w:numPr>
          <w:ilvl w:val="0"/>
          <w:numId w:val="1"/>
        </w:numPr>
        <w:jc w:val="both"/>
        <w:rPr>
          <w:rFonts w:ascii="Arial" w:hAnsi="Arial" w:cs="Arial"/>
          <w:sz w:val="24"/>
          <w:szCs w:val="24"/>
        </w:rPr>
      </w:pPr>
      <w:r w:rsidRPr="0511F407">
        <w:rPr>
          <w:rFonts w:ascii="Arial" w:hAnsi="Arial" w:cs="Arial"/>
          <w:sz w:val="24"/>
          <w:szCs w:val="24"/>
        </w:rPr>
        <w:t xml:space="preserve">the tension between agility and bureaucracy, </w:t>
      </w:r>
    </w:p>
    <w:p w14:paraId="054A8752" w14:textId="4483FD8C" w:rsidR="00B62CA8" w:rsidRDefault="00B62CA8" w:rsidP="0511F407">
      <w:pPr>
        <w:pStyle w:val="NoSpacing"/>
        <w:numPr>
          <w:ilvl w:val="0"/>
          <w:numId w:val="1"/>
        </w:numPr>
        <w:jc w:val="both"/>
        <w:rPr>
          <w:rFonts w:ascii="Arial" w:hAnsi="Arial" w:cs="Arial"/>
          <w:sz w:val="24"/>
          <w:szCs w:val="24"/>
        </w:rPr>
      </w:pPr>
      <w:r w:rsidRPr="0511F407">
        <w:rPr>
          <w:rFonts w:ascii="Arial" w:hAnsi="Arial" w:cs="Arial"/>
          <w:sz w:val="24"/>
          <w:szCs w:val="24"/>
        </w:rPr>
        <w:t xml:space="preserve">the centrality of transparent communication, and </w:t>
      </w:r>
    </w:p>
    <w:p w14:paraId="6E76E861" w14:textId="0DCBE376" w:rsidR="00B62CA8" w:rsidRDefault="00B62CA8" w:rsidP="0511F407">
      <w:pPr>
        <w:pStyle w:val="NoSpacing"/>
        <w:numPr>
          <w:ilvl w:val="0"/>
          <w:numId w:val="1"/>
        </w:numPr>
        <w:jc w:val="both"/>
        <w:rPr>
          <w:rFonts w:ascii="Arial" w:hAnsi="Arial" w:cs="Arial"/>
          <w:sz w:val="24"/>
          <w:szCs w:val="24"/>
        </w:rPr>
      </w:pPr>
      <w:r w:rsidRPr="0511F407">
        <w:rPr>
          <w:rFonts w:ascii="Arial" w:hAnsi="Arial" w:cs="Arial"/>
          <w:sz w:val="24"/>
          <w:szCs w:val="24"/>
        </w:rPr>
        <w:t xml:space="preserve">the interplay between compliance and motivation. </w:t>
      </w:r>
    </w:p>
    <w:p w14:paraId="22D17F26" w14:textId="77777777" w:rsidR="00B62CA8" w:rsidRDefault="00B62CA8" w:rsidP="0511F407">
      <w:pPr>
        <w:pStyle w:val="NoSpacing"/>
        <w:jc w:val="both"/>
        <w:rPr>
          <w:rFonts w:ascii="Arial" w:hAnsi="Arial" w:cs="Arial"/>
          <w:sz w:val="24"/>
          <w:szCs w:val="24"/>
        </w:rPr>
      </w:pPr>
    </w:p>
    <w:p w14:paraId="0DF497F2" w14:textId="62BDB4E4" w:rsidR="00B62CA8" w:rsidRPr="00B62CA8" w:rsidRDefault="00B62CA8" w:rsidP="0511F407">
      <w:pPr>
        <w:pStyle w:val="NoSpacing"/>
        <w:jc w:val="both"/>
        <w:rPr>
          <w:rFonts w:ascii="Arial" w:hAnsi="Arial" w:cs="Arial"/>
          <w:sz w:val="24"/>
          <w:szCs w:val="24"/>
        </w:rPr>
      </w:pPr>
      <w:r w:rsidRPr="0511F407">
        <w:rPr>
          <w:rFonts w:ascii="Arial" w:hAnsi="Arial" w:cs="Arial"/>
          <w:sz w:val="24"/>
          <w:szCs w:val="24"/>
        </w:rPr>
        <w:t>The literature underpins that leadership effectiveness depends less on the stability of policy itself and more on leaders’ ability to frame ambiguity as opportunity for growth (Kotter, 2012; Senge, 2006).</w:t>
      </w:r>
    </w:p>
    <w:p w14:paraId="05C3F202" w14:textId="76DE1BA3" w:rsidR="00B62CA8" w:rsidRDefault="00B62CA8" w:rsidP="0511F407">
      <w:pPr>
        <w:pStyle w:val="NoSpacing"/>
        <w:jc w:val="both"/>
        <w:rPr>
          <w:rFonts w:ascii="Arial" w:hAnsi="Arial" w:cs="Arial"/>
          <w:b/>
          <w:bCs/>
          <w:sz w:val="24"/>
          <w:szCs w:val="24"/>
        </w:rPr>
      </w:pPr>
    </w:p>
    <w:p w14:paraId="2CA0E140" w14:textId="77777777" w:rsidR="00B62CA8" w:rsidRDefault="00B62CA8" w:rsidP="0511F407">
      <w:pPr>
        <w:pStyle w:val="NoSpacing"/>
        <w:jc w:val="both"/>
        <w:rPr>
          <w:rFonts w:ascii="Arial" w:hAnsi="Arial" w:cs="Arial"/>
          <w:b/>
          <w:bCs/>
          <w:sz w:val="24"/>
          <w:szCs w:val="24"/>
        </w:rPr>
      </w:pPr>
      <w:r w:rsidRPr="0511F407">
        <w:rPr>
          <w:rFonts w:ascii="Arial" w:hAnsi="Arial" w:cs="Arial"/>
          <w:b/>
          <w:bCs/>
          <w:sz w:val="24"/>
          <w:szCs w:val="24"/>
        </w:rPr>
        <w:t>Methodology</w:t>
      </w:r>
    </w:p>
    <w:p w14:paraId="7E146284" w14:textId="77777777" w:rsidR="00B62CA8" w:rsidRPr="00B62CA8" w:rsidRDefault="00B62CA8" w:rsidP="0511F407">
      <w:pPr>
        <w:pStyle w:val="NoSpacing"/>
        <w:jc w:val="both"/>
        <w:rPr>
          <w:rFonts w:ascii="Arial" w:hAnsi="Arial" w:cs="Arial"/>
          <w:b/>
          <w:bCs/>
          <w:sz w:val="24"/>
          <w:szCs w:val="24"/>
        </w:rPr>
      </w:pPr>
    </w:p>
    <w:p w14:paraId="32EE2699" w14:textId="0D5EBF64" w:rsidR="00B62CA8" w:rsidRDefault="00B62CA8" w:rsidP="0511F407">
      <w:pPr>
        <w:pStyle w:val="NoSpacing"/>
        <w:jc w:val="both"/>
        <w:rPr>
          <w:rFonts w:ascii="Arial" w:hAnsi="Arial" w:cs="Arial"/>
          <w:sz w:val="24"/>
          <w:szCs w:val="24"/>
        </w:rPr>
      </w:pPr>
      <w:r w:rsidRPr="4C3CD194">
        <w:rPr>
          <w:rFonts w:ascii="Arial" w:hAnsi="Arial" w:cs="Arial"/>
          <w:sz w:val="24"/>
          <w:szCs w:val="24"/>
        </w:rPr>
        <w:t>This mini study adopt</w:t>
      </w:r>
      <w:r w:rsidR="00CA279B" w:rsidRPr="4C3CD194">
        <w:rPr>
          <w:rFonts w:ascii="Arial" w:hAnsi="Arial" w:cs="Arial"/>
          <w:sz w:val="24"/>
          <w:szCs w:val="24"/>
        </w:rPr>
        <w:t>ed</w:t>
      </w:r>
      <w:r w:rsidRPr="4C3CD194">
        <w:rPr>
          <w:rFonts w:ascii="Arial" w:hAnsi="Arial" w:cs="Arial"/>
          <w:sz w:val="24"/>
          <w:szCs w:val="24"/>
        </w:rPr>
        <w:t xml:space="preserve"> a pragmatist qualitative design, focusing on actionable insights rather than statistical generalisation (Saunders et al., 2016). Semi-structured interviews were conducted with three apprenticeship leaders at </w:t>
      </w:r>
      <w:proofErr w:type="spellStart"/>
      <w:r w:rsidRPr="4C3CD194">
        <w:rPr>
          <w:rFonts w:ascii="Arial" w:hAnsi="Arial" w:cs="Arial"/>
          <w:sz w:val="24"/>
          <w:szCs w:val="24"/>
        </w:rPr>
        <w:t>UoS</w:t>
      </w:r>
      <w:proofErr w:type="spellEnd"/>
      <w:r w:rsidRPr="4C3CD194">
        <w:rPr>
          <w:rFonts w:ascii="Arial" w:hAnsi="Arial" w:cs="Arial"/>
          <w:sz w:val="24"/>
          <w:szCs w:val="24"/>
        </w:rPr>
        <w:t xml:space="preserve"> who hold responsibility for policy interpretation, compliance, and team leadership. </w:t>
      </w:r>
      <w:r w:rsidR="00CA279B" w:rsidRPr="4C3CD194">
        <w:rPr>
          <w:rFonts w:ascii="Arial" w:hAnsi="Arial" w:cs="Arial"/>
          <w:sz w:val="24"/>
          <w:szCs w:val="24"/>
        </w:rPr>
        <w:t>However, there were limitations of this; notably that only three respo</w:t>
      </w:r>
      <w:r w:rsidR="00E25236" w:rsidRPr="4C3CD194">
        <w:rPr>
          <w:rFonts w:ascii="Arial" w:hAnsi="Arial" w:cs="Arial"/>
          <w:sz w:val="24"/>
          <w:szCs w:val="24"/>
        </w:rPr>
        <w:t>ndents provided some data and wider corroboration and investigation would make it more rigorous</w:t>
      </w:r>
      <w:r w:rsidR="45910EC9" w:rsidRPr="4C3CD194">
        <w:rPr>
          <w:rFonts w:ascii="Arial" w:hAnsi="Arial" w:cs="Arial"/>
          <w:sz w:val="24"/>
          <w:szCs w:val="24"/>
        </w:rPr>
        <w:t xml:space="preserve">. </w:t>
      </w:r>
      <w:r w:rsidRPr="4C3CD194">
        <w:rPr>
          <w:rFonts w:ascii="Arial" w:hAnsi="Arial" w:cs="Arial"/>
          <w:sz w:val="24"/>
          <w:szCs w:val="24"/>
        </w:rPr>
        <w:t>Participants were purposively selected for their direct experience in navigating policy-driven change</w:t>
      </w:r>
      <w:r w:rsidR="64C87A5F" w:rsidRPr="4C3CD194">
        <w:rPr>
          <w:rFonts w:ascii="Arial" w:hAnsi="Arial" w:cs="Arial"/>
          <w:sz w:val="24"/>
          <w:szCs w:val="24"/>
        </w:rPr>
        <w:t xml:space="preserve">. </w:t>
      </w:r>
    </w:p>
    <w:p w14:paraId="29D4035C" w14:textId="77777777" w:rsidR="00B62CA8" w:rsidRPr="00B62CA8" w:rsidRDefault="00B62CA8" w:rsidP="0511F407">
      <w:pPr>
        <w:pStyle w:val="NoSpacing"/>
        <w:jc w:val="both"/>
        <w:rPr>
          <w:rFonts w:ascii="Arial" w:hAnsi="Arial" w:cs="Arial"/>
          <w:sz w:val="24"/>
          <w:szCs w:val="24"/>
        </w:rPr>
      </w:pPr>
    </w:p>
    <w:p w14:paraId="2FFBC5D9" w14:textId="065342FB" w:rsidR="00B62CA8" w:rsidRPr="00B62CA8" w:rsidRDefault="00F022AE" w:rsidP="0511F407">
      <w:pPr>
        <w:pStyle w:val="NoSpacing"/>
        <w:jc w:val="both"/>
        <w:rPr>
          <w:rFonts w:ascii="Arial" w:hAnsi="Arial" w:cs="Arial"/>
          <w:sz w:val="24"/>
          <w:szCs w:val="24"/>
        </w:rPr>
      </w:pPr>
      <w:r w:rsidRPr="0511F407">
        <w:rPr>
          <w:rFonts w:ascii="Arial" w:hAnsi="Arial" w:cs="Arial"/>
          <w:sz w:val="24"/>
          <w:szCs w:val="24"/>
        </w:rPr>
        <w:t>The i</w:t>
      </w:r>
      <w:r w:rsidR="00B62CA8" w:rsidRPr="0511F407">
        <w:rPr>
          <w:rFonts w:ascii="Arial" w:hAnsi="Arial" w:cs="Arial"/>
          <w:sz w:val="24"/>
          <w:szCs w:val="24"/>
        </w:rPr>
        <w:t>nterviews explored leadership approaches, motivational strategies, communication practices, and perceptions of organisational culture. Data w</w:t>
      </w:r>
      <w:r w:rsidRPr="0511F407">
        <w:rPr>
          <w:rFonts w:ascii="Arial" w:hAnsi="Arial" w:cs="Arial"/>
          <w:sz w:val="24"/>
          <w:szCs w:val="24"/>
        </w:rPr>
        <w:t>as</w:t>
      </w:r>
      <w:r w:rsidR="00B62CA8" w:rsidRPr="0511F407">
        <w:rPr>
          <w:rFonts w:ascii="Arial" w:hAnsi="Arial" w:cs="Arial"/>
          <w:sz w:val="24"/>
          <w:szCs w:val="24"/>
        </w:rPr>
        <w:t xml:space="preserve"> collected via Microsoft Teams, transcribed verbatim, and analysed thematically following Braun &amp; Clarke’s (2006) six-phase model.</w:t>
      </w:r>
      <w:r w:rsidR="10A6DDFC" w:rsidRPr="0511F407">
        <w:rPr>
          <w:rFonts w:ascii="Arial" w:hAnsi="Arial" w:cs="Arial"/>
          <w:sz w:val="24"/>
          <w:szCs w:val="24"/>
        </w:rPr>
        <w:t xml:space="preserve"> </w:t>
      </w:r>
      <w:r w:rsidR="00B62CA8" w:rsidRPr="0511F407">
        <w:rPr>
          <w:rFonts w:ascii="Arial" w:hAnsi="Arial" w:cs="Arial"/>
          <w:sz w:val="24"/>
          <w:szCs w:val="24"/>
        </w:rPr>
        <w:t>Ethical approval was granted through the University’s committe</w:t>
      </w:r>
      <w:r w:rsidRPr="0511F407">
        <w:rPr>
          <w:rFonts w:ascii="Arial" w:hAnsi="Arial" w:cs="Arial"/>
          <w:sz w:val="24"/>
          <w:szCs w:val="24"/>
        </w:rPr>
        <w:t>e and p</w:t>
      </w:r>
      <w:r w:rsidR="00B62CA8" w:rsidRPr="0511F407">
        <w:rPr>
          <w:rFonts w:ascii="Arial" w:hAnsi="Arial" w:cs="Arial"/>
          <w:sz w:val="24"/>
          <w:szCs w:val="24"/>
        </w:rPr>
        <w:t xml:space="preserve">articipants received information sheets and </w:t>
      </w:r>
      <w:r w:rsidR="00B62CA8" w:rsidRPr="0511F407">
        <w:rPr>
          <w:rFonts w:ascii="Arial" w:hAnsi="Arial" w:cs="Arial"/>
          <w:sz w:val="24"/>
          <w:szCs w:val="24"/>
        </w:rPr>
        <w:lastRenderedPageBreak/>
        <w:t>gave informed consent. Anonymity was ensured, and all identifiers removed.</w:t>
      </w:r>
      <w:r w:rsidR="37A217F2" w:rsidRPr="0511F407">
        <w:rPr>
          <w:rFonts w:ascii="Arial" w:hAnsi="Arial" w:cs="Arial"/>
          <w:sz w:val="24"/>
          <w:szCs w:val="24"/>
        </w:rPr>
        <w:t xml:space="preserve"> Limitations included t</w:t>
      </w:r>
      <w:r w:rsidR="00B62CA8" w:rsidRPr="0511F407">
        <w:rPr>
          <w:rFonts w:ascii="Arial" w:hAnsi="Arial" w:cs="Arial"/>
          <w:sz w:val="24"/>
          <w:szCs w:val="24"/>
        </w:rPr>
        <w:t xml:space="preserve">he small, single-institution sample </w:t>
      </w:r>
      <w:r w:rsidR="4EB3F8D8" w:rsidRPr="0511F407">
        <w:rPr>
          <w:rFonts w:ascii="Arial" w:hAnsi="Arial" w:cs="Arial"/>
          <w:sz w:val="24"/>
          <w:szCs w:val="24"/>
        </w:rPr>
        <w:t xml:space="preserve">which </w:t>
      </w:r>
      <w:r w:rsidR="00B62CA8" w:rsidRPr="0511F407">
        <w:rPr>
          <w:rFonts w:ascii="Arial" w:hAnsi="Arial" w:cs="Arial"/>
          <w:sz w:val="24"/>
          <w:szCs w:val="24"/>
        </w:rPr>
        <w:t>restrict</w:t>
      </w:r>
      <w:r w:rsidRPr="0511F407">
        <w:rPr>
          <w:rFonts w:ascii="Arial" w:hAnsi="Arial" w:cs="Arial"/>
          <w:sz w:val="24"/>
          <w:szCs w:val="24"/>
        </w:rPr>
        <w:t>ed</w:t>
      </w:r>
      <w:r w:rsidR="00B62CA8" w:rsidRPr="0511F407">
        <w:rPr>
          <w:rFonts w:ascii="Arial" w:hAnsi="Arial" w:cs="Arial"/>
          <w:sz w:val="24"/>
          <w:szCs w:val="24"/>
        </w:rPr>
        <w:t xml:space="preserve"> breadth but allow</w:t>
      </w:r>
      <w:r w:rsidRPr="0511F407">
        <w:rPr>
          <w:rFonts w:ascii="Arial" w:hAnsi="Arial" w:cs="Arial"/>
          <w:sz w:val="24"/>
          <w:szCs w:val="24"/>
        </w:rPr>
        <w:t>ed for</w:t>
      </w:r>
      <w:r w:rsidR="00B62CA8" w:rsidRPr="0511F407">
        <w:rPr>
          <w:rFonts w:ascii="Arial" w:hAnsi="Arial" w:cs="Arial"/>
          <w:sz w:val="24"/>
          <w:szCs w:val="24"/>
        </w:rPr>
        <w:t xml:space="preserve"> depth and contextua</w:t>
      </w:r>
      <w:r w:rsidRPr="0511F407">
        <w:rPr>
          <w:rFonts w:ascii="Arial" w:hAnsi="Arial" w:cs="Arial"/>
          <w:sz w:val="24"/>
          <w:szCs w:val="24"/>
        </w:rPr>
        <w:t>lisation</w:t>
      </w:r>
      <w:r w:rsidR="00B62CA8" w:rsidRPr="0511F407">
        <w:rPr>
          <w:rFonts w:ascii="Arial" w:hAnsi="Arial" w:cs="Arial"/>
          <w:sz w:val="24"/>
          <w:szCs w:val="24"/>
        </w:rPr>
        <w:t>. Findings should be viewed as indicative of trends within HE apprenticeship leadership rather than as generalisable outcomes.</w:t>
      </w:r>
    </w:p>
    <w:p w14:paraId="18795F49" w14:textId="77777777" w:rsidR="00B62CA8" w:rsidRPr="00475B1E" w:rsidRDefault="00B62CA8" w:rsidP="0511F407">
      <w:pPr>
        <w:pStyle w:val="NoSpacing"/>
        <w:jc w:val="both"/>
        <w:rPr>
          <w:rFonts w:ascii="Arial" w:hAnsi="Arial" w:cs="Arial"/>
          <w:sz w:val="24"/>
          <w:szCs w:val="24"/>
        </w:rPr>
      </w:pPr>
    </w:p>
    <w:p w14:paraId="06D9A672" w14:textId="77777777" w:rsidR="00F022AE" w:rsidRDefault="00F022AE" w:rsidP="0511F407">
      <w:pPr>
        <w:pStyle w:val="NoSpacing"/>
        <w:jc w:val="both"/>
        <w:rPr>
          <w:rFonts w:ascii="Arial" w:hAnsi="Arial" w:cs="Arial"/>
          <w:b/>
          <w:bCs/>
          <w:sz w:val="24"/>
          <w:szCs w:val="24"/>
        </w:rPr>
      </w:pPr>
      <w:r w:rsidRPr="0511F407">
        <w:rPr>
          <w:rFonts w:ascii="Arial" w:hAnsi="Arial" w:cs="Arial"/>
          <w:b/>
          <w:bCs/>
          <w:sz w:val="24"/>
          <w:szCs w:val="24"/>
        </w:rPr>
        <w:t>Findings</w:t>
      </w:r>
    </w:p>
    <w:p w14:paraId="2255C966" w14:textId="77777777" w:rsidR="00F022AE" w:rsidRPr="00F022AE" w:rsidRDefault="00F022AE" w:rsidP="0511F407">
      <w:pPr>
        <w:pStyle w:val="NoSpacing"/>
        <w:jc w:val="both"/>
        <w:rPr>
          <w:rFonts w:ascii="Arial" w:hAnsi="Arial" w:cs="Arial"/>
          <w:b/>
          <w:bCs/>
          <w:sz w:val="24"/>
          <w:szCs w:val="24"/>
        </w:rPr>
      </w:pPr>
    </w:p>
    <w:p w14:paraId="66D31829" w14:textId="6B6D3E16" w:rsidR="00F022AE" w:rsidRPr="00E25236" w:rsidRDefault="00F022AE" w:rsidP="0511F407">
      <w:pPr>
        <w:pStyle w:val="NoSpacing"/>
        <w:jc w:val="both"/>
        <w:rPr>
          <w:rFonts w:ascii="Arial" w:hAnsi="Arial" w:cs="Arial"/>
          <w:b/>
          <w:bCs/>
          <w:i/>
          <w:iCs/>
          <w:sz w:val="24"/>
          <w:szCs w:val="24"/>
        </w:rPr>
      </w:pPr>
      <w:r w:rsidRPr="0511F407">
        <w:rPr>
          <w:rFonts w:ascii="Arial" w:hAnsi="Arial" w:cs="Arial"/>
          <w:b/>
          <w:bCs/>
          <w:i/>
          <w:iCs/>
          <w:sz w:val="24"/>
          <w:szCs w:val="24"/>
        </w:rPr>
        <w:t>Strategic Agility vs Bureaucracy</w:t>
      </w:r>
    </w:p>
    <w:p w14:paraId="696412FA" w14:textId="1882DAE3" w:rsidR="0511F407" w:rsidRDefault="0511F407" w:rsidP="0511F407">
      <w:pPr>
        <w:pStyle w:val="NoSpacing"/>
        <w:jc w:val="both"/>
        <w:rPr>
          <w:rFonts w:ascii="Arial" w:hAnsi="Arial" w:cs="Arial"/>
          <w:b/>
          <w:bCs/>
          <w:sz w:val="24"/>
          <w:szCs w:val="24"/>
        </w:rPr>
      </w:pPr>
    </w:p>
    <w:p w14:paraId="4440E208" w14:textId="0CF67962" w:rsidR="00F022AE" w:rsidRPr="00E25236" w:rsidRDefault="00F022AE" w:rsidP="0511F407">
      <w:pPr>
        <w:pStyle w:val="NoSpacing"/>
        <w:jc w:val="both"/>
        <w:rPr>
          <w:rFonts w:ascii="Arial" w:hAnsi="Arial" w:cs="Arial"/>
          <w:sz w:val="24"/>
          <w:szCs w:val="24"/>
        </w:rPr>
      </w:pPr>
      <w:r w:rsidRPr="4C3CD194">
        <w:rPr>
          <w:rFonts w:ascii="Arial" w:hAnsi="Arial" w:cs="Arial"/>
          <w:sz w:val="24"/>
          <w:szCs w:val="24"/>
        </w:rPr>
        <w:t xml:space="preserve">All participants identified tension between rapid external deadlines and </w:t>
      </w:r>
      <w:r w:rsidR="00E25236" w:rsidRPr="4C3CD194">
        <w:rPr>
          <w:rFonts w:ascii="Arial" w:hAnsi="Arial" w:cs="Arial"/>
          <w:sz w:val="24"/>
          <w:szCs w:val="24"/>
        </w:rPr>
        <w:t xml:space="preserve">a much </w:t>
      </w:r>
      <w:r w:rsidRPr="4C3CD194">
        <w:rPr>
          <w:rFonts w:ascii="Arial" w:hAnsi="Arial" w:cs="Arial"/>
          <w:sz w:val="24"/>
          <w:szCs w:val="24"/>
        </w:rPr>
        <w:t xml:space="preserve">slower institutional governance. While compliance-driven </w:t>
      </w:r>
      <w:r w:rsidR="00F52639" w:rsidRPr="4C3CD194">
        <w:rPr>
          <w:rFonts w:ascii="Arial" w:hAnsi="Arial" w:cs="Arial"/>
          <w:sz w:val="24"/>
          <w:szCs w:val="24"/>
        </w:rPr>
        <w:t>actions prompted</w:t>
      </w:r>
      <w:r w:rsidRPr="4C3CD194">
        <w:rPr>
          <w:rFonts w:ascii="Arial" w:hAnsi="Arial" w:cs="Arial"/>
          <w:sz w:val="24"/>
          <w:szCs w:val="24"/>
        </w:rPr>
        <w:t xml:space="preserve"> immediate responses, strategic adjustments such as revising curricula or quality systems</w:t>
      </w:r>
      <w:r w:rsidR="00F52639" w:rsidRPr="4C3CD194">
        <w:rPr>
          <w:rFonts w:ascii="Arial" w:hAnsi="Arial" w:cs="Arial"/>
          <w:b/>
          <w:bCs/>
          <w:sz w:val="24"/>
          <w:szCs w:val="24"/>
        </w:rPr>
        <w:t xml:space="preserve"> </w:t>
      </w:r>
      <w:r w:rsidRPr="4C3CD194">
        <w:rPr>
          <w:rFonts w:ascii="Arial" w:hAnsi="Arial" w:cs="Arial"/>
          <w:sz w:val="24"/>
          <w:szCs w:val="24"/>
        </w:rPr>
        <w:t>were delayed by committee structures. Leaders described this as “structured but slow,” echoing Mintzberg’s (1994) critique of hierarchical inefficiency.</w:t>
      </w:r>
      <w:r w:rsidR="71A7755E" w:rsidRPr="4C3CD194">
        <w:rPr>
          <w:rFonts w:ascii="Arial" w:hAnsi="Arial" w:cs="Arial"/>
          <w:sz w:val="24"/>
          <w:szCs w:val="24"/>
        </w:rPr>
        <w:t xml:space="preserve"> </w:t>
      </w:r>
      <w:r w:rsidRPr="4C3CD194">
        <w:rPr>
          <w:rFonts w:ascii="Arial" w:hAnsi="Arial" w:cs="Arial"/>
          <w:sz w:val="24"/>
          <w:szCs w:val="24"/>
        </w:rPr>
        <w:t>Interviewees who adopted proactive scannin</w:t>
      </w:r>
      <w:r w:rsidR="00F52639" w:rsidRPr="4C3CD194">
        <w:rPr>
          <w:rFonts w:ascii="Arial" w:hAnsi="Arial" w:cs="Arial"/>
          <w:sz w:val="24"/>
          <w:szCs w:val="24"/>
        </w:rPr>
        <w:t xml:space="preserve">g such as </w:t>
      </w:r>
      <w:r w:rsidRPr="4C3CD194">
        <w:rPr>
          <w:rFonts w:ascii="Arial" w:hAnsi="Arial" w:cs="Arial"/>
          <w:sz w:val="24"/>
          <w:szCs w:val="24"/>
        </w:rPr>
        <w:t xml:space="preserve">monitoring FE Week, UVAC bulletins, and ESFA circulars demonstrated greater preparedness and confidence. However, this individualised vigilance revealed systemic communication gaps; institutional channels often </w:t>
      </w:r>
      <w:r w:rsidR="5B55251A" w:rsidRPr="4C3CD194">
        <w:rPr>
          <w:rFonts w:ascii="Arial" w:hAnsi="Arial" w:cs="Arial"/>
          <w:sz w:val="24"/>
          <w:szCs w:val="24"/>
        </w:rPr>
        <w:t>lagged</w:t>
      </w:r>
      <w:r w:rsidRPr="4C3CD194">
        <w:rPr>
          <w:rFonts w:ascii="Arial" w:hAnsi="Arial" w:cs="Arial"/>
          <w:sz w:val="24"/>
          <w:szCs w:val="24"/>
        </w:rPr>
        <w:t xml:space="preserve"> sector updates, resulting in uneven implementation across departments</w:t>
      </w:r>
      <w:r w:rsidR="00F52639" w:rsidRPr="4C3CD194">
        <w:rPr>
          <w:rFonts w:ascii="Arial" w:hAnsi="Arial" w:cs="Arial"/>
          <w:sz w:val="24"/>
          <w:szCs w:val="24"/>
        </w:rPr>
        <w:t xml:space="preserve"> and inconsistencies</w:t>
      </w:r>
      <w:r w:rsidRPr="4C3CD194">
        <w:rPr>
          <w:rFonts w:ascii="Arial" w:hAnsi="Arial" w:cs="Arial"/>
          <w:sz w:val="24"/>
          <w:szCs w:val="24"/>
        </w:rPr>
        <w:t>.</w:t>
      </w:r>
    </w:p>
    <w:p w14:paraId="4531A9CC" w14:textId="77777777" w:rsidR="00F52639" w:rsidRPr="00E25236" w:rsidRDefault="00F52639" w:rsidP="0511F407">
      <w:pPr>
        <w:pStyle w:val="NoSpacing"/>
        <w:jc w:val="both"/>
        <w:rPr>
          <w:rFonts w:ascii="Arial" w:hAnsi="Arial" w:cs="Arial"/>
          <w:b/>
          <w:bCs/>
          <w:sz w:val="24"/>
          <w:szCs w:val="24"/>
        </w:rPr>
      </w:pPr>
    </w:p>
    <w:p w14:paraId="082C2181" w14:textId="374E6925" w:rsidR="00F022AE" w:rsidRPr="00E25236" w:rsidRDefault="00F022AE" w:rsidP="0511F407">
      <w:pPr>
        <w:pStyle w:val="NoSpacing"/>
        <w:jc w:val="both"/>
        <w:rPr>
          <w:rFonts w:ascii="Arial" w:hAnsi="Arial" w:cs="Arial"/>
          <w:b/>
          <w:bCs/>
          <w:i/>
          <w:iCs/>
          <w:sz w:val="24"/>
          <w:szCs w:val="24"/>
        </w:rPr>
      </w:pPr>
      <w:r w:rsidRPr="0511F407">
        <w:rPr>
          <w:rFonts w:ascii="Arial" w:hAnsi="Arial" w:cs="Arial"/>
          <w:b/>
          <w:bCs/>
          <w:i/>
          <w:iCs/>
          <w:sz w:val="24"/>
          <w:szCs w:val="24"/>
        </w:rPr>
        <w:t>Communication and Cultural Alignment</w:t>
      </w:r>
    </w:p>
    <w:p w14:paraId="6083CCE8" w14:textId="3042425D" w:rsidR="0511F407" w:rsidRDefault="0511F407" w:rsidP="0511F407">
      <w:pPr>
        <w:pStyle w:val="NoSpacing"/>
        <w:jc w:val="both"/>
        <w:rPr>
          <w:rFonts w:ascii="Arial" w:hAnsi="Arial" w:cs="Arial"/>
          <w:b/>
          <w:bCs/>
          <w:sz w:val="24"/>
          <w:szCs w:val="24"/>
        </w:rPr>
      </w:pPr>
    </w:p>
    <w:p w14:paraId="555A077E" w14:textId="33C7398E" w:rsidR="00F022AE" w:rsidRDefault="00F022AE" w:rsidP="0511F407">
      <w:pPr>
        <w:pStyle w:val="NoSpacing"/>
        <w:jc w:val="both"/>
        <w:rPr>
          <w:rFonts w:ascii="Arial" w:hAnsi="Arial" w:cs="Arial"/>
          <w:b/>
          <w:bCs/>
          <w:sz w:val="24"/>
          <w:szCs w:val="24"/>
        </w:rPr>
      </w:pPr>
      <w:r w:rsidRPr="0511F407">
        <w:rPr>
          <w:rFonts w:ascii="Arial" w:hAnsi="Arial" w:cs="Arial"/>
          <w:sz w:val="24"/>
          <w:szCs w:val="24"/>
        </w:rPr>
        <w:t>Communication emerged as both the greatest strength and</w:t>
      </w:r>
      <w:r w:rsidR="00F52639" w:rsidRPr="0511F407">
        <w:rPr>
          <w:rFonts w:ascii="Arial" w:hAnsi="Arial" w:cs="Arial"/>
          <w:sz w:val="24"/>
          <w:szCs w:val="24"/>
        </w:rPr>
        <w:t xml:space="preserve"> as a</w:t>
      </w:r>
      <w:r w:rsidRPr="0511F407">
        <w:rPr>
          <w:rFonts w:ascii="Arial" w:hAnsi="Arial" w:cs="Arial"/>
          <w:sz w:val="24"/>
          <w:szCs w:val="24"/>
        </w:rPr>
        <w:t xml:space="preserve"> weakness. Departments with regular briefings, cross-team meetings, and accessible senior leaders reported higher morale. Where communication was sporadic, staff felt excluded and anxious. This supports Kotter’s (1996) emphasis on clear coalition building and Argyris’s (1991) advocacy of open dialogue.</w:t>
      </w:r>
      <w:r w:rsidR="0C82B03A" w:rsidRPr="0511F407">
        <w:rPr>
          <w:rFonts w:ascii="Arial" w:hAnsi="Arial" w:cs="Arial"/>
          <w:sz w:val="24"/>
          <w:szCs w:val="24"/>
        </w:rPr>
        <w:t xml:space="preserve"> </w:t>
      </w:r>
      <w:r w:rsidRPr="0511F407">
        <w:rPr>
          <w:rFonts w:ascii="Arial" w:hAnsi="Arial" w:cs="Arial"/>
          <w:sz w:val="24"/>
          <w:szCs w:val="24"/>
        </w:rPr>
        <w:t>Participants highlighted the risk of policy fatigue from constant change announcements without visible follow-through. They emphasised the need for concise, solution-focused messaging that links policy shifts directly to practice</w:t>
      </w:r>
      <w:r w:rsidRPr="0511F407">
        <w:rPr>
          <w:rFonts w:ascii="Arial" w:hAnsi="Arial" w:cs="Arial"/>
          <w:b/>
          <w:bCs/>
          <w:sz w:val="24"/>
          <w:szCs w:val="24"/>
        </w:rPr>
        <w:t>.</w:t>
      </w:r>
    </w:p>
    <w:p w14:paraId="777BD42C" w14:textId="77777777" w:rsidR="00F52639" w:rsidRPr="00F022AE" w:rsidRDefault="00F52639" w:rsidP="0511F407">
      <w:pPr>
        <w:pStyle w:val="NoSpacing"/>
        <w:jc w:val="both"/>
        <w:rPr>
          <w:rFonts w:ascii="Arial" w:hAnsi="Arial" w:cs="Arial"/>
          <w:b/>
          <w:bCs/>
          <w:sz w:val="24"/>
          <w:szCs w:val="24"/>
        </w:rPr>
      </w:pPr>
    </w:p>
    <w:p w14:paraId="79DE4722" w14:textId="63E6FAB9" w:rsidR="00F022AE" w:rsidRDefault="00F022AE" w:rsidP="0511F407">
      <w:pPr>
        <w:pStyle w:val="NoSpacing"/>
        <w:jc w:val="both"/>
        <w:rPr>
          <w:rFonts w:ascii="Arial" w:hAnsi="Arial" w:cs="Arial"/>
          <w:b/>
          <w:bCs/>
          <w:i/>
          <w:iCs/>
          <w:sz w:val="24"/>
          <w:szCs w:val="24"/>
        </w:rPr>
      </w:pPr>
      <w:r w:rsidRPr="0511F407">
        <w:rPr>
          <w:rFonts w:ascii="Arial" w:hAnsi="Arial" w:cs="Arial"/>
          <w:b/>
          <w:bCs/>
          <w:i/>
          <w:iCs/>
          <w:sz w:val="24"/>
          <w:szCs w:val="24"/>
        </w:rPr>
        <w:t>Motivation, Morale, and Psychological Safety</w:t>
      </w:r>
    </w:p>
    <w:p w14:paraId="4303BDCD" w14:textId="77777777" w:rsidR="00F52639" w:rsidRPr="00F022AE" w:rsidRDefault="00F52639" w:rsidP="0511F407">
      <w:pPr>
        <w:pStyle w:val="NoSpacing"/>
        <w:jc w:val="both"/>
        <w:rPr>
          <w:rFonts w:ascii="Arial" w:hAnsi="Arial" w:cs="Arial"/>
          <w:b/>
          <w:bCs/>
          <w:sz w:val="24"/>
          <w:szCs w:val="24"/>
        </w:rPr>
      </w:pPr>
    </w:p>
    <w:p w14:paraId="638BCC73" w14:textId="1030FB27" w:rsidR="00F022AE" w:rsidRDefault="00F022AE" w:rsidP="0511F407">
      <w:pPr>
        <w:pStyle w:val="NoSpacing"/>
        <w:jc w:val="both"/>
        <w:rPr>
          <w:rFonts w:ascii="Arial" w:hAnsi="Arial" w:cs="Arial"/>
          <w:sz w:val="24"/>
          <w:szCs w:val="24"/>
        </w:rPr>
      </w:pPr>
      <w:r w:rsidRPr="0511F407">
        <w:rPr>
          <w:rFonts w:ascii="Arial" w:hAnsi="Arial" w:cs="Arial"/>
          <w:sz w:val="24"/>
          <w:szCs w:val="24"/>
        </w:rPr>
        <w:t>Intrinsic motivation was sustained when leaders provided autonomy, recognition, and a clear sense of purpose. Interviewees described using small wins</w:t>
      </w:r>
      <w:r w:rsidR="00F52639" w:rsidRPr="0511F407">
        <w:rPr>
          <w:rFonts w:ascii="Arial" w:hAnsi="Arial" w:cs="Arial"/>
          <w:sz w:val="24"/>
          <w:szCs w:val="24"/>
        </w:rPr>
        <w:t xml:space="preserve"> such as</w:t>
      </w:r>
      <w:r w:rsidRPr="0511F407">
        <w:rPr>
          <w:rFonts w:ascii="Arial" w:hAnsi="Arial" w:cs="Arial"/>
          <w:sz w:val="24"/>
          <w:szCs w:val="24"/>
        </w:rPr>
        <w:t xml:space="preserve"> celebrating Ofsted commendations or apprentice success stories</w:t>
      </w:r>
      <w:r w:rsidR="00F52639" w:rsidRPr="0511F407">
        <w:rPr>
          <w:rFonts w:ascii="Arial" w:hAnsi="Arial" w:cs="Arial"/>
          <w:sz w:val="24"/>
          <w:szCs w:val="24"/>
        </w:rPr>
        <w:t xml:space="preserve"> </w:t>
      </w:r>
      <w:r w:rsidRPr="0511F407">
        <w:rPr>
          <w:rFonts w:ascii="Arial" w:hAnsi="Arial" w:cs="Arial"/>
          <w:sz w:val="24"/>
          <w:szCs w:val="24"/>
        </w:rPr>
        <w:t>to reinforce team pride. Conversely, heavy workloads and inconsistent resource allocation undermined morale, echoing Armstrong’s (2014) warnings about burnout.</w:t>
      </w:r>
      <w:r w:rsidR="3B3415BE" w:rsidRPr="0511F407">
        <w:rPr>
          <w:rFonts w:ascii="Arial" w:hAnsi="Arial" w:cs="Arial"/>
          <w:sz w:val="24"/>
          <w:szCs w:val="24"/>
        </w:rPr>
        <w:t xml:space="preserve"> </w:t>
      </w:r>
      <w:r w:rsidRPr="0511F407">
        <w:rPr>
          <w:rFonts w:ascii="Arial" w:hAnsi="Arial" w:cs="Arial"/>
          <w:sz w:val="24"/>
          <w:szCs w:val="24"/>
        </w:rPr>
        <w:t>Transformational behaviours</w:t>
      </w:r>
      <w:r w:rsidR="00F52639" w:rsidRPr="0511F407">
        <w:rPr>
          <w:rFonts w:ascii="Arial" w:hAnsi="Arial" w:cs="Arial"/>
          <w:sz w:val="24"/>
          <w:szCs w:val="24"/>
        </w:rPr>
        <w:t xml:space="preserve"> such as </w:t>
      </w:r>
      <w:r w:rsidRPr="0511F407">
        <w:rPr>
          <w:rFonts w:ascii="Arial" w:hAnsi="Arial" w:cs="Arial"/>
          <w:sz w:val="24"/>
          <w:szCs w:val="24"/>
        </w:rPr>
        <w:t>vision sharing, empathy, and trust</w:t>
      </w:r>
      <w:r w:rsidR="00F52639" w:rsidRPr="0511F407">
        <w:rPr>
          <w:rFonts w:ascii="Arial" w:hAnsi="Arial" w:cs="Arial"/>
          <w:sz w:val="24"/>
          <w:szCs w:val="24"/>
        </w:rPr>
        <w:t xml:space="preserve"> </w:t>
      </w:r>
      <w:r w:rsidRPr="0511F407">
        <w:rPr>
          <w:rFonts w:ascii="Arial" w:hAnsi="Arial" w:cs="Arial"/>
          <w:sz w:val="24"/>
          <w:szCs w:val="24"/>
        </w:rPr>
        <w:t>were repeatedly cited as morale boosters. Leaders who modelled vulnerability (acknowledging uncertainty) were perceived as more authentic, enhancing psychological safety (Schein, 2010).</w:t>
      </w:r>
    </w:p>
    <w:p w14:paraId="6E1D7DB3" w14:textId="77777777" w:rsidR="00F52639" w:rsidRPr="00F022AE" w:rsidRDefault="00F52639" w:rsidP="0511F407">
      <w:pPr>
        <w:pStyle w:val="NoSpacing"/>
        <w:jc w:val="both"/>
        <w:rPr>
          <w:rFonts w:ascii="Arial" w:hAnsi="Arial" w:cs="Arial"/>
          <w:sz w:val="24"/>
          <w:szCs w:val="24"/>
        </w:rPr>
      </w:pPr>
    </w:p>
    <w:p w14:paraId="052F55F6" w14:textId="37332190" w:rsidR="00F022AE" w:rsidRDefault="00F022AE" w:rsidP="0511F407">
      <w:pPr>
        <w:pStyle w:val="NoSpacing"/>
        <w:jc w:val="both"/>
        <w:rPr>
          <w:rFonts w:ascii="Arial" w:hAnsi="Arial" w:cs="Arial"/>
          <w:b/>
          <w:bCs/>
          <w:i/>
          <w:iCs/>
          <w:sz w:val="24"/>
          <w:szCs w:val="24"/>
        </w:rPr>
      </w:pPr>
      <w:r w:rsidRPr="0511F407">
        <w:rPr>
          <w:rFonts w:ascii="Arial" w:hAnsi="Arial" w:cs="Arial"/>
          <w:b/>
          <w:bCs/>
          <w:i/>
          <w:iCs/>
          <w:sz w:val="24"/>
          <w:szCs w:val="24"/>
        </w:rPr>
        <w:t>Personal Responsibility and Wellbeing</w:t>
      </w:r>
    </w:p>
    <w:p w14:paraId="5F32B679" w14:textId="77777777" w:rsidR="00F52639" w:rsidRPr="00F022AE" w:rsidRDefault="00F52639" w:rsidP="0511F407">
      <w:pPr>
        <w:pStyle w:val="NoSpacing"/>
        <w:jc w:val="both"/>
        <w:rPr>
          <w:rFonts w:ascii="Arial" w:hAnsi="Arial" w:cs="Arial"/>
          <w:b/>
          <w:bCs/>
          <w:sz w:val="24"/>
          <w:szCs w:val="24"/>
        </w:rPr>
      </w:pPr>
    </w:p>
    <w:p w14:paraId="04016D5A" w14:textId="5CB17813" w:rsidR="00F022AE" w:rsidRPr="00F022AE" w:rsidRDefault="00F022AE" w:rsidP="0511F407">
      <w:pPr>
        <w:pStyle w:val="NoSpacing"/>
        <w:jc w:val="both"/>
        <w:rPr>
          <w:rFonts w:ascii="Arial" w:hAnsi="Arial" w:cs="Arial"/>
          <w:sz w:val="24"/>
          <w:szCs w:val="24"/>
        </w:rPr>
      </w:pPr>
      <w:r w:rsidRPr="0511F407">
        <w:rPr>
          <w:rFonts w:ascii="Arial" w:hAnsi="Arial" w:cs="Arial"/>
          <w:sz w:val="24"/>
          <w:szCs w:val="24"/>
        </w:rPr>
        <w:t xml:space="preserve">All participants acknowledged the emotional labour of leading through constant reform. Echoing Goleman (1995) and McDowall &amp; Kinman (2016), they recognised the need for self-care and boundary management. Modelling wellbeing behaviours </w:t>
      </w:r>
      <w:r w:rsidR="00F52639" w:rsidRPr="0511F407">
        <w:rPr>
          <w:rFonts w:ascii="Arial" w:hAnsi="Arial" w:cs="Arial"/>
          <w:sz w:val="24"/>
          <w:szCs w:val="24"/>
        </w:rPr>
        <w:t>such as</w:t>
      </w:r>
      <w:r w:rsidRPr="0511F407">
        <w:rPr>
          <w:rFonts w:ascii="Arial" w:hAnsi="Arial" w:cs="Arial"/>
          <w:sz w:val="24"/>
          <w:szCs w:val="24"/>
        </w:rPr>
        <w:t xml:space="preserve"> </w:t>
      </w:r>
      <w:r w:rsidRPr="0511F407">
        <w:rPr>
          <w:rFonts w:ascii="Arial" w:hAnsi="Arial" w:cs="Arial"/>
          <w:sz w:val="24"/>
          <w:szCs w:val="24"/>
        </w:rPr>
        <w:lastRenderedPageBreak/>
        <w:t xml:space="preserve">protected focus time, </w:t>
      </w:r>
      <w:r w:rsidR="00F52639" w:rsidRPr="0511F407">
        <w:rPr>
          <w:rFonts w:ascii="Arial" w:hAnsi="Arial" w:cs="Arial"/>
          <w:sz w:val="24"/>
          <w:szCs w:val="24"/>
        </w:rPr>
        <w:t xml:space="preserve">and </w:t>
      </w:r>
      <w:r w:rsidRPr="0511F407">
        <w:rPr>
          <w:rFonts w:ascii="Arial" w:hAnsi="Arial" w:cs="Arial"/>
          <w:sz w:val="24"/>
          <w:szCs w:val="24"/>
        </w:rPr>
        <w:t>open mental-health dialogue</w:t>
      </w:r>
      <w:r w:rsidR="00F52639" w:rsidRPr="0511F407">
        <w:rPr>
          <w:rFonts w:ascii="Arial" w:hAnsi="Arial" w:cs="Arial"/>
          <w:sz w:val="24"/>
          <w:szCs w:val="24"/>
        </w:rPr>
        <w:t xml:space="preserve"> </w:t>
      </w:r>
      <w:r w:rsidRPr="0511F407">
        <w:rPr>
          <w:rFonts w:ascii="Arial" w:hAnsi="Arial" w:cs="Arial"/>
          <w:sz w:val="24"/>
          <w:szCs w:val="24"/>
        </w:rPr>
        <w:t>was viewed as critical to sustaining team resilience.</w:t>
      </w:r>
    </w:p>
    <w:p w14:paraId="6487A3CB" w14:textId="2464B7F0" w:rsidR="00775D06" w:rsidRDefault="00775D06" w:rsidP="0511F407">
      <w:pPr>
        <w:pStyle w:val="NoSpacing"/>
        <w:jc w:val="both"/>
        <w:rPr>
          <w:rFonts w:ascii="Arial" w:hAnsi="Arial" w:cs="Arial"/>
          <w:b/>
          <w:bCs/>
          <w:sz w:val="24"/>
          <w:szCs w:val="24"/>
        </w:rPr>
      </w:pPr>
    </w:p>
    <w:p w14:paraId="5D50D2B7" w14:textId="462F9F32" w:rsidR="580B19E2" w:rsidRDefault="580B19E2" w:rsidP="0511F407">
      <w:pPr>
        <w:pStyle w:val="NoSpacing"/>
        <w:jc w:val="both"/>
      </w:pPr>
      <w:r w:rsidRPr="0511F407">
        <w:rPr>
          <w:rFonts w:ascii="Arial" w:hAnsi="Arial" w:cs="Arial"/>
          <w:b/>
          <w:bCs/>
          <w:sz w:val="24"/>
          <w:szCs w:val="24"/>
        </w:rPr>
        <w:t>Discussion</w:t>
      </w:r>
    </w:p>
    <w:p w14:paraId="62C83504" w14:textId="77777777" w:rsidR="00775D06" w:rsidRDefault="00775D06" w:rsidP="0511F407">
      <w:pPr>
        <w:pStyle w:val="NoSpacing"/>
        <w:jc w:val="both"/>
        <w:rPr>
          <w:rFonts w:ascii="Arial" w:hAnsi="Arial" w:cs="Arial"/>
          <w:b/>
          <w:bCs/>
          <w:sz w:val="24"/>
          <w:szCs w:val="24"/>
        </w:rPr>
      </w:pPr>
    </w:p>
    <w:p w14:paraId="78306810" w14:textId="556672B4" w:rsidR="00F52639" w:rsidRPr="00E25236" w:rsidRDefault="00F52639" w:rsidP="0511F407">
      <w:pPr>
        <w:pStyle w:val="NoSpacing"/>
        <w:jc w:val="both"/>
        <w:rPr>
          <w:rFonts w:ascii="Arial" w:hAnsi="Arial" w:cs="Arial"/>
          <w:sz w:val="24"/>
          <w:szCs w:val="24"/>
        </w:rPr>
      </w:pPr>
      <w:r w:rsidRPr="0511F407">
        <w:rPr>
          <w:rFonts w:ascii="Arial" w:hAnsi="Arial" w:cs="Arial"/>
          <w:sz w:val="24"/>
          <w:szCs w:val="24"/>
        </w:rPr>
        <w:t>The findings affirm that ambiguity in apprenticeship policy is not a temporary disruption but a structural feature of the HE environment. Leadership success therefore depends on cultivating institutional agility and finding the capacity to respond rapidly without eroding quality or morale.</w:t>
      </w:r>
      <w:r w:rsidR="698A9AC8" w:rsidRPr="0511F407">
        <w:rPr>
          <w:rFonts w:ascii="Arial" w:hAnsi="Arial" w:cs="Arial"/>
          <w:sz w:val="24"/>
          <w:szCs w:val="24"/>
        </w:rPr>
        <w:t xml:space="preserve"> </w:t>
      </w:r>
      <w:r w:rsidRPr="0511F407">
        <w:rPr>
          <w:rFonts w:ascii="Arial" w:hAnsi="Arial" w:cs="Arial"/>
          <w:sz w:val="24"/>
          <w:szCs w:val="24"/>
        </w:rPr>
        <w:t>At policy level, leaders require mechanisms for rapid sense-making: horizon scanning, scenario planning, and cross-provider networks (</w:t>
      </w:r>
      <w:proofErr w:type="spellStart"/>
      <w:r w:rsidRPr="0511F407">
        <w:rPr>
          <w:rFonts w:ascii="Arial" w:hAnsi="Arial" w:cs="Arial"/>
          <w:sz w:val="24"/>
          <w:szCs w:val="24"/>
        </w:rPr>
        <w:t>Wildavsky</w:t>
      </w:r>
      <w:proofErr w:type="spellEnd"/>
      <w:r w:rsidRPr="0511F407">
        <w:rPr>
          <w:rFonts w:ascii="Arial" w:hAnsi="Arial" w:cs="Arial"/>
          <w:sz w:val="24"/>
          <w:szCs w:val="24"/>
        </w:rPr>
        <w:t>, 1979). Universities should institutionalise “policy pulse” updates that synthesise changes and their implications within 48-72 hours.</w:t>
      </w:r>
      <w:r w:rsidR="0700D305" w:rsidRPr="0511F407">
        <w:rPr>
          <w:rFonts w:ascii="Arial" w:hAnsi="Arial" w:cs="Arial"/>
          <w:sz w:val="24"/>
          <w:szCs w:val="24"/>
        </w:rPr>
        <w:t xml:space="preserve"> </w:t>
      </w:r>
      <w:r w:rsidRPr="0511F407">
        <w:rPr>
          <w:rFonts w:ascii="Arial" w:hAnsi="Arial" w:cs="Arial"/>
          <w:sz w:val="24"/>
          <w:szCs w:val="24"/>
        </w:rPr>
        <w:t>At institutional level, communication infrastructure is decisive. Clear escalation pathways, delegated decision rights, and time-boxed change forums can prevent bottlenecks. A flatter, networked structure supports faster feedback loops and reduces the frustration associated with slow governance cycles (</w:t>
      </w:r>
      <w:proofErr w:type="spellStart"/>
      <w:r w:rsidRPr="0511F407">
        <w:rPr>
          <w:rFonts w:ascii="Arial" w:hAnsi="Arial" w:cs="Arial"/>
          <w:sz w:val="24"/>
          <w:szCs w:val="24"/>
        </w:rPr>
        <w:t>Kabeyi</w:t>
      </w:r>
      <w:proofErr w:type="spellEnd"/>
      <w:r w:rsidRPr="0511F407">
        <w:rPr>
          <w:rFonts w:ascii="Arial" w:hAnsi="Arial" w:cs="Arial"/>
          <w:sz w:val="24"/>
          <w:szCs w:val="24"/>
        </w:rPr>
        <w:t>, 2019).</w:t>
      </w:r>
      <w:r w:rsidR="6D847D17" w:rsidRPr="0511F407">
        <w:rPr>
          <w:rFonts w:ascii="Arial" w:hAnsi="Arial" w:cs="Arial"/>
          <w:sz w:val="24"/>
          <w:szCs w:val="24"/>
        </w:rPr>
        <w:t xml:space="preserve"> </w:t>
      </w:r>
      <w:r w:rsidRPr="0511F407">
        <w:rPr>
          <w:rFonts w:ascii="Arial" w:hAnsi="Arial" w:cs="Arial"/>
          <w:sz w:val="24"/>
          <w:szCs w:val="24"/>
        </w:rPr>
        <w:t>At team level, sustaining motivation requires deliberate psychological safety and recognition practices. Leaders should pair challenge with support when balancing performance targets with wellbeing protection (Schwartz &amp; Porath, 2014). Embedding micro-rituals of recognition, for example weekly appreciation notes, and open debriefs will reinforce purpose and belonging.</w:t>
      </w:r>
    </w:p>
    <w:p w14:paraId="275480C7" w14:textId="77777777" w:rsidR="00E25236" w:rsidRPr="00E25236" w:rsidRDefault="00E25236" w:rsidP="0511F407">
      <w:pPr>
        <w:pStyle w:val="NoSpacing"/>
        <w:jc w:val="both"/>
        <w:rPr>
          <w:rFonts w:ascii="Arial" w:hAnsi="Arial" w:cs="Arial"/>
          <w:sz w:val="24"/>
          <w:szCs w:val="24"/>
        </w:rPr>
      </w:pPr>
    </w:p>
    <w:p w14:paraId="083968A1" w14:textId="5FD5475C" w:rsidR="000768D1" w:rsidRPr="00475B1E" w:rsidRDefault="00F52639" w:rsidP="0511F407">
      <w:pPr>
        <w:pStyle w:val="NoSpacing"/>
        <w:jc w:val="both"/>
        <w:rPr>
          <w:rFonts w:ascii="Arial" w:hAnsi="Arial" w:cs="Arial"/>
          <w:sz w:val="24"/>
          <w:szCs w:val="24"/>
        </w:rPr>
      </w:pPr>
      <w:r w:rsidRPr="4C3CD194">
        <w:rPr>
          <w:rFonts w:ascii="Arial" w:hAnsi="Arial" w:cs="Arial"/>
          <w:sz w:val="24"/>
          <w:szCs w:val="24"/>
        </w:rPr>
        <w:t>The study highlights a leadership paradox: compliance frameworks designed to assure quality can inadvertently suppress innovation. Leaders must reinterpret compliance as an enabler of quality rather than its opposite, integrating regulatory requirements into reflective learning processes (Senge, 2016).</w:t>
      </w:r>
      <w:r w:rsidR="18986C0A" w:rsidRPr="4C3CD194">
        <w:rPr>
          <w:rFonts w:ascii="Arial" w:hAnsi="Arial" w:cs="Arial"/>
          <w:sz w:val="24"/>
          <w:szCs w:val="24"/>
        </w:rPr>
        <w:t xml:space="preserve"> </w:t>
      </w:r>
      <w:r w:rsidR="000768D1" w:rsidRPr="4C3CD194">
        <w:rPr>
          <w:rFonts w:ascii="Arial" w:hAnsi="Arial" w:cs="Arial"/>
          <w:sz w:val="24"/>
          <w:szCs w:val="24"/>
        </w:rPr>
        <w:t xml:space="preserve">As a </w:t>
      </w:r>
      <w:r w:rsidR="085E6C26" w:rsidRPr="4C3CD194">
        <w:rPr>
          <w:rFonts w:ascii="Arial" w:hAnsi="Arial" w:cs="Arial"/>
          <w:sz w:val="24"/>
          <w:szCs w:val="24"/>
        </w:rPr>
        <w:t>mini study</w:t>
      </w:r>
      <w:r w:rsidR="000768D1" w:rsidRPr="4C3CD194">
        <w:rPr>
          <w:rFonts w:ascii="Arial" w:hAnsi="Arial" w:cs="Arial"/>
          <w:sz w:val="24"/>
          <w:szCs w:val="24"/>
        </w:rPr>
        <w:t xml:space="preserve"> based on three interviews within one institution, the findings offer indicative insights rather than generalisable conclusions. Self-reporting may introduce optimism or defensiveness bias, and the absence of observational data limits triangulation. Future work should expand to comparative, multi-provider samples and incorporate quantitative wellbeing and engagement measures. Longitudinal research would capture how leadership responses evolve across successive policy cycles.</w:t>
      </w:r>
      <w:r w:rsidR="76980AEE" w:rsidRPr="4C3CD194">
        <w:rPr>
          <w:rFonts w:ascii="Arial" w:hAnsi="Arial" w:cs="Arial"/>
          <w:sz w:val="24"/>
          <w:szCs w:val="24"/>
        </w:rPr>
        <w:t xml:space="preserve"> </w:t>
      </w:r>
      <w:r w:rsidR="000768D1" w:rsidRPr="4C3CD194">
        <w:rPr>
          <w:rFonts w:ascii="Arial" w:hAnsi="Arial" w:cs="Arial"/>
          <w:sz w:val="24"/>
          <w:szCs w:val="24"/>
        </w:rPr>
        <w:t>Leading apprenticeship provision through continual policy reform requires more than procedural compliance; it demands adaptive leadership that couples strategic agility with empathy and open communication. This study demonstrates that when leaders model authenticity, provide autonomy, and frame change as shared learning, teams sustain motivation despite uncertainty.</w:t>
      </w:r>
      <w:r w:rsidR="3B3A9968" w:rsidRPr="4C3CD194">
        <w:rPr>
          <w:rFonts w:ascii="Arial" w:hAnsi="Arial" w:cs="Arial"/>
          <w:sz w:val="24"/>
          <w:szCs w:val="24"/>
        </w:rPr>
        <w:t xml:space="preserve"> </w:t>
      </w:r>
      <w:r w:rsidR="000768D1" w:rsidRPr="4C3CD194">
        <w:rPr>
          <w:rFonts w:ascii="Arial" w:hAnsi="Arial" w:cs="Arial"/>
          <w:sz w:val="24"/>
          <w:szCs w:val="24"/>
        </w:rPr>
        <w:t>For universities, FE colleges, and independent training providers, the imperative is clear: embed agility as a cultural norm, not an emergency response. By institutionalising rapid-sense-making routines, transparent communication, and wellbeing-centred leadership, organisations can transform ambiguity from a destabilising force into a catalyst for collective growth.</w:t>
      </w:r>
    </w:p>
    <w:p w14:paraId="0E2D0D39" w14:textId="77777777" w:rsidR="00775D06" w:rsidRDefault="00775D06" w:rsidP="0511F407">
      <w:pPr>
        <w:pStyle w:val="NoSpacing"/>
        <w:jc w:val="both"/>
        <w:rPr>
          <w:rFonts w:ascii="Arial" w:hAnsi="Arial" w:cs="Arial"/>
          <w:sz w:val="24"/>
          <w:szCs w:val="24"/>
        </w:rPr>
      </w:pPr>
    </w:p>
    <w:p w14:paraId="453A3B27" w14:textId="60CF7797" w:rsidR="6B90C90A" w:rsidRDefault="6B90C90A" w:rsidP="0511F407">
      <w:pPr>
        <w:pStyle w:val="NoSpacing"/>
        <w:jc w:val="both"/>
      </w:pPr>
      <w:r w:rsidRPr="0511F407">
        <w:rPr>
          <w:rFonts w:ascii="Arial" w:hAnsi="Arial" w:cs="Arial"/>
          <w:b/>
          <w:bCs/>
          <w:sz w:val="24"/>
          <w:szCs w:val="24"/>
        </w:rPr>
        <w:t>Conclusion and recommendations</w:t>
      </w:r>
    </w:p>
    <w:p w14:paraId="15A8CA48" w14:textId="7983D92B" w:rsidR="0511F407" w:rsidRDefault="0511F407" w:rsidP="0511F407">
      <w:pPr>
        <w:pStyle w:val="NoSpacing"/>
        <w:jc w:val="both"/>
        <w:rPr>
          <w:rFonts w:ascii="Arial" w:hAnsi="Arial" w:cs="Arial"/>
          <w:b/>
          <w:bCs/>
          <w:sz w:val="24"/>
          <w:szCs w:val="24"/>
        </w:rPr>
      </w:pPr>
    </w:p>
    <w:p w14:paraId="1CC26B0B" w14:textId="5DBE4219" w:rsidR="000A414C" w:rsidRDefault="226AAB66" w:rsidP="000A414C">
      <w:pPr>
        <w:pStyle w:val="NoSpacing"/>
        <w:jc w:val="both"/>
      </w:pPr>
      <w:r w:rsidRPr="0511F407">
        <w:rPr>
          <w:rFonts w:ascii="Arial" w:hAnsi="Arial" w:cs="Arial"/>
          <w:sz w:val="24"/>
          <w:szCs w:val="24"/>
        </w:rPr>
        <w:t xml:space="preserve">To respond more effectively to fast-paced policy reform, institutions should embed rapid procedures that enable timely action without sacrificing clarity or accountability. Developing fast-lane protocols for policy-mandated updates can help by clearly defining approval steps, ownership, accountability, and communication flows, ensuring </w:t>
      </w:r>
      <w:r w:rsidRPr="0511F407">
        <w:rPr>
          <w:rFonts w:ascii="Arial" w:hAnsi="Arial" w:cs="Arial"/>
          <w:sz w:val="24"/>
          <w:szCs w:val="24"/>
        </w:rPr>
        <w:lastRenderedPageBreak/>
        <w:t>that required changes move quickly and transparently through the organisation.</w:t>
      </w:r>
      <w:r w:rsidR="5663D8C6" w:rsidRPr="0511F407">
        <w:rPr>
          <w:rFonts w:ascii="Arial" w:hAnsi="Arial" w:cs="Arial"/>
          <w:sz w:val="24"/>
          <w:szCs w:val="24"/>
        </w:rPr>
        <w:t xml:space="preserve"> </w:t>
      </w:r>
      <w:r w:rsidRPr="0511F407">
        <w:rPr>
          <w:rFonts w:ascii="Arial" w:hAnsi="Arial" w:cs="Arial"/>
          <w:sz w:val="24"/>
          <w:szCs w:val="24"/>
        </w:rPr>
        <w:t>Alongside this, transparent communication processes are essential. Fortnightly two-minute policy summaries can translate national reforms into concise, actionable local guidance, reducing uncertainty and supporting consistent interpretation across teams. This clarity creates the conditions for distributed leadership to flourish. By delegating decision rights for minor curriculum or delivery adjustments to programme leads, institutions can promote responsiveness and agility, while actively celebrating early escalation of issues rather than risk avoidance.</w:t>
      </w:r>
    </w:p>
    <w:p w14:paraId="121126B0" w14:textId="20587EAB" w:rsidR="000A414C" w:rsidRDefault="000A414C" w:rsidP="0511F407">
      <w:pPr>
        <w:pStyle w:val="NoSpacing"/>
        <w:jc w:val="both"/>
        <w:rPr>
          <w:rFonts w:ascii="Arial" w:hAnsi="Arial" w:cs="Arial"/>
          <w:sz w:val="24"/>
          <w:szCs w:val="24"/>
        </w:rPr>
      </w:pPr>
    </w:p>
    <w:p w14:paraId="5B4190D1" w14:textId="4189EB7F" w:rsidR="000A414C" w:rsidRDefault="226AAB66" w:rsidP="000A414C">
      <w:pPr>
        <w:pStyle w:val="NoSpacing"/>
        <w:jc w:val="both"/>
      </w:pPr>
      <w:r w:rsidRPr="0511F407">
        <w:rPr>
          <w:rFonts w:ascii="Arial" w:hAnsi="Arial" w:cs="Arial"/>
          <w:sz w:val="24"/>
          <w:szCs w:val="24"/>
        </w:rPr>
        <w:t>A sustainable balance between compliance and innovation is also critical. Embedding compliance checks within reflective team reviews reframes regulation as a tool for improvement rather than error policing. This approach supports wellbeing and long-term sustainability when combined with coaching-style supervision, rotation of high-pressure policy responsibilities, and visible wellbeing practices designed to reduce burnout.</w:t>
      </w:r>
      <w:r w:rsidR="519695F8" w:rsidRPr="0511F407">
        <w:rPr>
          <w:rFonts w:ascii="Arial" w:hAnsi="Arial" w:cs="Arial"/>
          <w:sz w:val="24"/>
          <w:szCs w:val="24"/>
        </w:rPr>
        <w:t xml:space="preserve"> </w:t>
      </w:r>
      <w:r w:rsidRPr="0511F407">
        <w:rPr>
          <w:rFonts w:ascii="Arial" w:hAnsi="Arial" w:cs="Arial"/>
          <w:sz w:val="24"/>
          <w:szCs w:val="24"/>
        </w:rPr>
        <w:t>Finally, impact can be amplified through cross-sector collaboration and evidence-informed practice. Establishing communities of practice across HE, FE, and private providers enables shared policy interpretation and more streamlined employer engagement. Extending this work through multi-site, mixed-methods research would allow institutions to identify which leadership behaviours most strongly predict staff motivation and delivery performance, strengthening future reform implementation.</w:t>
      </w:r>
    </w:p>
    <w:p w14:paraId="5E20EBB3" w14:textId="0DD5F214" w:rsidR="000A414C" w:rsidRDefault="000A414C" w:rsidP="0511F407">
      <w:pPr>
        <w:pStyle w:val="NoSpacing"/>
        <w:rPr>
          <w:rFonts w:ascii="Arial" w:hAnsi="Arial" w:cs="Arial"/>
          <w:sz w:val="24"/>
          <w:szCs w:val="24"/>
        </w:rPr>
      </w:pPr>
    </w:p>
    <w:p w14:paraId="491067C8" w14:textId="17321EF3" w:rsidR="000A414C" w:rsidRDefault="000A414C" w:rsidP="0511F407">
      <w:pPr>
        <w:pStyle w:val="NoSpacing"/>
        <w:jc w:val="both"/>
        <w:rPr>
          <w:rFonts w:ascii="Arial" w:hAnsi="Arial" w:cs="Arial"/>
          <w:b/>
          <w:bCs/>
          <w:sz w:val="24"/>
          <w:szCs w:val="24"/>
        </w:rPr>
      </w:pPr>
      <w:r w:rsidRPr="0511F407">
        <w:rPr>
          <w:rFonts w:ascii="Arial" w:hAnsi="Arial" w:cs="Arial"/>
          <w:b/>
          <w:bCs/>
          <w:sz w:val="24"/>
          <w:szCs w:val="24"/>
        </w:rPr>
        <w:t>Reference List</w:t>
      </w:r>
    </w:p>
    <w:p w14:paraId="50AADF6D" w14:textId="39596F7D" w:rsidR="000A414C" w:rsidRPr="000A414C" w:rsidRDefault="670CCC91" w:rsidP="0511F407">
      <w:pPr>
        <w:spacing w:before="240" w:after="240"/>
        <w:jc w:val="both"/>
      </w:pPr>
      <w:r w:rsidRPr="0511F407">
        <w:rPr>
          <w:rFonts w:ascii="Arial" w:eastAsia="Arial" w:hAnsi="Arial" w:cs="Arial"/>
          <w:sz w:val="24"/>
          <w:szCs w:val="24"/>
        </w:rPr>
        <w:t xml:space="preserve">Abrahamson, E. (2000) ‘Change without pain’, </w:t>
      </w:r>
      <w:r w:rsidRPr="0511F407">
        <w:rPr>
          <w:rFonts w:ascii="Arial" w:eastAsia="Arial" w:hAnsi="Arial" w:cs="Arial"/>
          <w:i/>
          <w:iCs/>
          <w:sz w:val="24"/>
          <w:szCs w:val="24"/>
        </w:rPr>
        <w:t>Harvard Business Review</w:t>
      </w:r>
      <w:r w:rsidRPr="0511F407">
        <w:rPr>
          <w:rFonts w:ascii="Arial" w:eastAsia="Arial" w:hAnsi="Arial" w:cs="Arial"/>
          <w:sz w:val="24"/>
          <w:szCs w:val="24"/>
        </w:rPr>
        <w:t>, 78(4), pp. 75–79.</w:t>
      </w:r>
    </w:p>
    <w:p w14:paraId="0482AE49" w14:textId="328EB418" w:rsidR="000A414C" w:rsidRPr="000A414C" w:rsidRDefault="670CCC91" w:rsidP="0511F407">
      <w:pPr>
        <w:spacing w:before="240" w:after="240"/>
        <w:jc w:val="both"/>
      </w:pPr>
      <w:r w:rsidRPr="0511F407">
        <w:rPr>
          <w:rFonts w:ascii="Arial" w:eastAsia="Arial" w:hAnsi="Arial" w:cs="Arial"/>
          <w:sz w:val="24"/>
          <w:szCs w:val="24"/>
        </w:rPr>
        <w:t xml:space="preserve">Argyris, C. (1991) ‘Teaching smart people how to learn’, </w:t>
      </w:r>
      <w:r w:rsidRPr="0511F407">
        <w:rPr>
          <w:rFonts w:ascii="Arial" w:eastAsia="Arial" w:hAnsi="Arial" w:cs="Arial"/>
          <w:i/>
          <w:iCs/>
          <w:sz w:val="24"/>
          <w:szCs w:val="24"/>
        </w:rPr>
        <w:t>Harvard Business Review</w:t>
      </w:r>
      <w:r w:rsidRPr="0511F407">
        <w:rPr>
          <w:rFonts w:ascii="Arial" w:eastAsia="Arial" w:hAnsi="Arial" w:cs="Arial"/>
          <w:sz w:val="24"/>
          <w:szCs w:val="24"/>
        </w:rPr>
        <w:t>, 69(3), pp. 99–109.</w:t>
      </w:r>
    </w:p>
    <w:p w14:paraId="06CA78B9" w14:textId="59DDBF0D" w:rsidR="000A414C" w:rsidRPr="000A414C" w:rsidRDefault="670CCC91" w:rsidP="0511F407">
      <w:pPr>
        <w:spacing w:before="240" w:after="240"/>
        <w:jc w:val="both"/>
      </w:pPr>
      <w:r w:rsidRPr="0511F407">
        <w:rPr>
          <w:rFonts w:ascii="Arial" w:eastAsia="Arial" w:hAnsi="Arial" w:cs="Arial"/>
          <w:sz w:val="24"/>
          <w:szCs w:val="24"/>
        </w:rPr>
        <w:t xml:space="preserve">Armstrong, M. (2014) </w:t>
      </w:r>
      <w:r w:rsidRPr="0511F407">
        <w:rPr>
          <w:rFonts w:ascii="Arial" w:eastAsia="Arial" w:hAnsi="Arial" w:cs="Arial"/>
          <w:i/>
          <w:iCs/>
          <w:sz w:val="24"/>
          <w:szCs w:val="24"/>
        </w:rPr>
        <w:t>Armstrong’s Handbook of Human Resource Management Practice</w:t>
      </w:r>
      <w:r w:rsidRPr="0511F407">
        <w:rPr>
          <w:rFonts w:ascii="Arial" w:eastAsia="Arial" w:hAnsi="Arial" w:cs="Arial"/>
          <w:sz w:val="24"/>
          <w:szCs w:val="24"/>
        </w:rPr>
        <w:t xml:space="preserve">. 13th </w:t>
      </w:r>
      <w:proofErr w:type="spellStart"/>
      <w:r w:rsidRPr="0511F407">
        <w:rPr>
          <w:rFonts w:ascii="Arial" w:eastAsia="Arial" w:hAnsi="Arial" w:cs="Arial"/>
          <w:sz w:val="24"/>
          <w:szCs w:val="24"/>
        </w:rPr>
        <w:t>edn</w:t>
      </w:r>
      <w:proofErr w:type="spellEnd"/>
      <w:r w:rsidRPr="0511F407">
        <w:rPr>
          <w:rFonts w:ascii="Arial" w:eastAsia="Arial" w:hAnsi="Arial" w:cs="Arial"/>
          <w:sz w:val="24"/>
          <w:szCs w:val="24"/>
        </w:rPr>
        <w:t>. London: Kogan Page.</w:t>
      </w:r>
    </w:p>
    <w:p w14:paraId="5E732953" w14:textId="54F0559E" w:rsidR="000A414C" w:rsidRPr="000A414C" w:rsidRDefault="670CCC91" w:rsidP="0511F407">
      <w:pPr>
        <w:spacing w:before="240" w:after="240"/>
        <w:jc w:val="both"/>
      </w:pPr>
      <w:r w:rsidRPr="0511F407">
        <w:rPr>
          <w:rFonts w:ascii="Arial" w:eastAsia="Arial" w:hAnsi="Arial" w:cs="Arial"/>
          <w:sz w:val="24"/>
          <w:szCs w:val="24"/>
        </w:rPr>
        <w:t xml:space="preserve">Ball, S. J. (1994) </w:t>
      </w:r>
      <w:r w:rsidRPr="0511F407">
        <w:rPr>
          <w:rFonts w:ascii="Arial" w:eastAsia="Arial" w:hAnsi="Arial" w:cs="Arial"/>
          <w:i/>
          <w:iCs/>
          <w:sz w:val="24"/>
          <w:szCs w:val="24"/>
        </w:rPr>
        <w:t>Education Reform: A Critical and Post-structural Approach</w:t>
      </w:r>
      <w:r w:rsidRPr="0511F407">
        <w:rPr>
          <w:rFonts w:ascii="Arial" w:eastAsia="Arial" w:hAnsi="Arial" w:cs="Arial"/>
          <w:sz w:val="24"/>
          <w:szCs w:val="24"/>
        </w:rPr>
        <w:t>. Buckingham: Open University Press.</w:t>
      </w:r>
    </w:p>
    <w:p w14:paraId="49402B3F" w14:textId="08CAE525" w:rsidR="000A414C" w:rsidRPr="000A414C" w:rsidRDefault="670CCC91" w:rsidP="0511F407">
      <w:pPr>
        <w:spacing w:before="240" w:after="240"/>
        <w:jc w:val="both"/>
      </w:pPr>
      <w:r w:rsidRPr="0511F407">
        <w:rPr>
          <w:rFonts w:ascii="Arial" w:eastAsia="Arial" w:hAnsi="Arial" w:cs="Arial"/>
          <w:sz w:val="24"/>
          <w:szCs w:val="24"/>
        </w:rPr>
        <w:t xml:space="preserve">Bass, B. M. (1985) </w:t>
      </w:r>
      <w:r w:rsidRPr="0511F407">
        <w:rPr>
          <w:rFonts w:ascii="Arial" w:eastAsia="Arial" w:hAnsi="Arial" w:cs="Arial"/>
          <w:i/>
          <w:iCs/>
          <w:sz w:val="24"/>
          <w:szCs w:val="24"/>
        </w:rPr>
        <w:t>Leadership and Performance Beyond Expectations</w:t>
      </w:r>
      <w:r w:rsidRPr="0511F407">
        <w:rPr>
          <w:rFonts w:ascii="Arial" w:eastAsia="Arial" w:hAnsi="Arial" w:cs="Arial"/>
          <w:sz w:val="24"/>
          <w:szCs w:val="24"/>
        </w:rPr>
        <w:t>. New York: Free Press.</w:t>
      </w:r>
    </w:p>
    <w:p w14:paraId="1FB20ACB" w14:textId="04FC5683" w:rsidR="000A414C" w:rsidRPr="000A414C" w:rsidRDefault="670CCC91" w:rsidP="0511F407">
      <w:pPr>
        <w:spacing w:before="240" w:after="240"/>
        <w:jc w:val="both"/>
      </w:pPr>
      <w:r w:rsidRPr="0511F407">
        <w:rPr>
          <w:rFonts w:ascii="Arial" w:eastAsia="Arial" w:hAnsi="Arial" w:cs="Arial"/>
          <w:sz w:val="24"/>
          <w:szCs w:val="24"/>
        </w:rPr>
        <w:t xml:space="preserve">Bourne, L. (2016) </w:t>
      </w:r>
      <w:r w:rsidRPr="0511F407">
        <w:rPr>
          <w:rFonts w:ascii="Arial" w:eastAsia="Arial" w:hAnsi="Arial" w:cs="Arial"/>
          <w:i/>
          <w:iCs/>
          <w:sz w:val="24"/>
          <w:szCs w:val="24"/>
        </w:rPr>
        <w:t>Stakeholder Relationship Management: A Maturity Model for Organisational Implementation</w:t>
      </w:r>
      <w:r w:rsidRPr="0511F407">
        <w:rPr>
          <w:rFonts w:ascii="Arial" w:eastAsia="Arial" w:hAnsi="Arial" w:cs="Arial"/>
          <w:sz w:val="24"/>
          <w:szCs w:val="24"/>
        </w:rPr>
        <w:t xml:space="preserve">. 2nd </w:t>
      </w:r>
      <w:proofErr w:type="spellStart"/>
      <w:r w:rsidRPr="0511F407">
        <w:rPr>
          <w:rFonts w:ascii="Arial" w:eastAsia="Arial" w:hAnsi="Arial" w:cs="Arial"/>
          <w:sz w:val="24"/>
          <w:szCs w:val="24"/>
        </w:rPr>
        <w:t>edn</w:t>
      </w:r>
      <w:proofErr w:type="spellEnd"/>
      <w:r w:rsidRPr="0511F407">
        <w:rPr>
          <w:rFonts w:ascii="Arial" w:eastAsia="Arial" w:hAnsi="Arial" w:cs="Arial"/>
          <w:sz w:val="24"/>
          <w:szCs w:val="24"/>
        </w:rPr>
        <w:t>. Abingdon: Routledge.</w:t>
      </w:r>
    </w:p>
    <w:p w14:paraId="3FA7065B" w14:textId="67281F12" w:rsidR="000A414C" w:rsidRPr="000A414C" w:rsidRDefault="670CCC91" w:rsidP="0511F407">
      <w:pPr>
        <w:spacing w:before="240" w:after="240"/>
        <w:jc w:val="both"/>
      </w:pPr>
      <w:r w:rsidRPr="0511F407">
        <w:rPr>
          <w:rFonts w:ascii="Arial" w:eastAsia="Arial" w:hAnsi="Arial" w:cs="Arial"/>
          <w:sz w:val="24"/>
          <w:szCs w:val="24"/>
        </w:rPr>
        <w:t xml:space="preserve">Bowe, R., Ball, S. J. and Gold, A. (1992) </w:t>
      </w:r>
      <w:r w:rsidRPr="0511F407">
        <w:rPr>
          <w:rFonts w:ascii="Arial" w:eastAsia="Arial" w:hAnsi="Arial" w:cs="Arial"/>
          <w:i/>
          <w:iCs/>
          <w:sz w:val="24"/>
          <w:szCs w:val="24"/>
        </w:rPr>
        <w:t>Reforming Education and Changing Schools: Case Studies in Policy Sociology</w:t>
      </w:r>
      <w:r w:rsidRPr="0511F407">
        <w:rPr>
          <w:rFonts w:ascii="Arial" w:eastAsia="Arial" w:hAnsi="Arial" w:cs="Arial"/>
          <w:sz w:val="24"/>
          <w:szCs w:val="24"/>
        </w:rPr>
        <w:t>. London: Routledge.</w:t>
      </w:r>
    </w:p>
    <w:p w14:paraId="23E0C583" w14:textId="0CD51DC3" w:rsidR="000A414C" w:rsidRPr="000A414C" w:rsidRDefault="670CCC91" w:rsidP="0511F407">
      <w:pPr>
        <w:spacing w:before="240" w:after="240"/>
        <w:jc w:val="both"/>
      </w:pPr>
      <w:r w:rsidRPr="4C3CD194">
        <w:rPr>
          <w:rFonts w:ascii="Arial" w:eastAsia="Arial" w:hAnsi="Arial" w:cs="Arial"/>
          <w:sz w:val="24"/>
          <w:szCs w:val="24"/>
        </w:rPr>
        <w:t xml:space="preserve">Braun, </w:t>
      </w:r>
      <w:bookmarkStart w:id="2" w:name="_Int_3X2mFN2c"/>
      <w:r w:rsidRPr="4C3CD194">
        <w:rPr>
          <w:rFonts w:ascii="Arial" w:eastAsia="Arial" w:hAnsi="Arial" w:cs="Arial"/>
          <w:sz w:val="24"/>
          <w:szCs w:val="24"/>
        </w:rPr>
        <w:t>V.</w:t>
      </w:r>
      <w:bookmarkEnd w:id="2"/>
      <w:r w:rsidRPr="4C3CD194">
        <w:rPr>
          <w:rFonts w:ascii="Arial" w:eastAsia="Arial" w:hAnsi="Arial" w:cs="Arial"/>
          <w:sz w:val="24"/>
          <w:szCs w:val="24"/>
        </w:rPr>
        <w:t xml:space="preserve"> and Clarke, V. (2006) ‘Using thematic analysis in psychology’, </w:t>
      </w:r>
      <w:r w:rsidRPr="4C3CD194">
        <w:rPr>
          <w:rFonts w:ascii="Arial" w:eastAsia="Arial" w:hAnsi="Arial" w:cs="Arial"/>
          <w:i/>
          <w:iCs/>
          <w:sz w:val="24"/>
          <w:szCs w:val="24"/>
        </w:rPr>
        <w:t>Qualitative Research in Psychology</w:t>
      </w:r>
      <w:r w:rsidRPr="4C3CD194">
        <w:rPr>
          <w:rFonts w:ascii="Arial" w:eastAsia="Arial" w:hAnsi="Arial" w:cs="Arial"/>
          <w:sz w:val="24"/>
          <w:szCs w:val="24"/>
        </w:rPr>
        <w:t>, 3(2), pp. 77–101.</w:t>
      </w:r>
    </w:p>
    <w:p w14:paraId="15CB8B94" w14:textId="5D019424" w:rsidR="000A414C" w:rsidRPr="000A414C" w:rsidRDefault="670CCC91" w:rsidP="0511F407">
      <w:pPr>
        <w:spacing w:before="240" w:after="240"/>
        <w:jc w:val="both"/>
      </w:pPr>
      <w:proofErr w:type="spellStart"/>
      <w:r w:rsidRPr="4C3CD194">
        <w:rPr>
          <w:rFonts w:ascii="Arial" w:eastAsia="Arial" w:hAnsi="Arial" w:cs="Arial"/>
          <w:sz w:val="24"/>
          <w:szCs w:val="24"/>
        </w:rPr>
        <w:lastRenderedPageBreak/>
        <w:t>Bravenboer</w:t>
      </w:r>
      <w:proofErr w:type="spellEnd"/>
      <w:r w:rsidRPr="4C3CD194">
        <w:rPr>
          <w:rFonts w:ascii="Arial" w:eastAsia="Arial" w:hAnsi="Arial" w:cs="Arial"/>
          <w:sz w:val="24"/>
          <w:szCs w:val="24"/>
        </w:rPr>
        <w:t xml:space="preserve">, D. W., Crawford-Lee, </w:t>
      </w:r>
      <w:r w:rsidR="4A663761" w:rsidRPr="4C3CD194">
        <w:rPr>
          <w:rFonts w:ascii="Arial" w:eastAsia="Arial" w:hAnsi="Arial" w:cs="Arial"/>
          <w:sz w:val="24"/>
          <w:szCs w:val="24"/>
        </w:rPr>
        <w:t>M.,</w:t>
      </w:r>
      <w:r w:rsidRPr="4C3CD194">
        <w:rPr>
          <w:rFonts w:ascii="Arial" w:eastAsia="Arial" w:hAnsi="Arial" w:cs="Arial"/>
          <w:sz w:val="24"/>
          <w:szCs w:val="24"/>
        </w:rPr>
        <w:t xml:space="preserve"> and Dunn, C. (2024) ‘Can you credit it? Towards a process for ascribing credit to apprenticeships in England</w:t>
      </w:r>
      <w:r w:rsidR="4208DBB6" w:rsidRPr="4C3CD194">
        <w:rPr>
          <w:rFonts w:ascii="Arial" w:eastAsia="Arial" w:hAnsi="Arial" w:cs="Arial"/>
          <w:sz w:val="24"/>
          <w:szCs w:val="24"/>
        </w:rPr>
        <w:t>,’</w:t>
      </w:r>
      <w:r w:rsidRPr="4C3CD194">
        <w:rPr>
          <w:rFonts w:ascii="Arial" w:eastAsia="Arial" w:hAnsi="Arial" w:cs="Arial"/>
          <w:sz w:val="24"/>
          <w:szCs w:val="24"/>
        </w:rPr>
        <w:t xml:space="preserve"> </w:t>
      </w:r>
      <w:r w:rsidRPr="4C3CD194">
        <w:rPr>
          <w:rFonts w:ascii="Arial" w:eastAsia="Arial" w:hAnsi="Arial" w:cs="Arial"/>
          <w:i/>
          <w:iCs/>
          <w:sz w:val="24"/>
          <w:szCs w:val="24"/>
        </w:rPr>
        <w:t xml:space="preserve">Higher Education, </w:t>
      </w:r>
      <w:bookmarkStart w:id="3" w:name="_Int_V3pcHygc"/>
      <w:r w:rsidRPr="4C3CD194">
        <w:rPr>
          <w:rFonts w:ascii="Arial" w:eastAsia="Arial" w:hAnsi="Arial" w:cs="Arial"/>
          <w:i/>
          <w:iCs/>
          <w:sz w:val="24"/>
          <w:szCs w:val="24"/>
        </w:rPr>
        <w:t>Skills</w:t>
      </w:r>
      <w:bookmarkEnd w:id="3"/>
      <w:r w:rsidRPr="4C3CD194">
        <w:rPr>
          <w:rFonts w:ascii="Arial" w:eastAsia="Arial" w:hAnsi="Arial" w:cs="Arial"/>
          <w:i/>
          <w:iCs/>
          <w:sz w:val="24"/>
          <w:szCs w:val="24"/>
        </w:rPr>
        <w:t xml:space="preserve"> and Work-Based Learning</w:t>
      </w:r>
      <w:r w:rsidRPr="4C3CD194">
        <w:rPr>
          <w:rFonts w:ascii="Arial" w:eastAsia="Arial" w:hAnsi="Arial" w:cs="Arial"/>
          <w:sz w:val="24"/>
          <w:szCs w:val="24"/>
        </w:rPr>
        <w:t xml:space="preserve">, 14(6), pp. 1368–1385. </w:t>
      </w:r>
      <w:hyperlink r:id="rId10">
        <w:r w:rsidRPr="4C3CD194">
          <w:rPr>
            <w:rStyle w:val="Hyperlink"/>
            <w:rFonts w:ascii="Arial" w:eastAsia="Arial" w:hAnsi="Arial" w:cs="Arial"/>
            <w:sz w:val="24"/>
            <w:szCs w:val="24"/>
          </w:rPr>
          <w:t>https://doi.org/10.1108/HESWBL-09-2023-0255</w:t>
        </w:r>
      </w:hyperlink>
    </w:p>
    <w:p w14:paraId="574C3DC5" w14:textId="1BFF8756" w:rsidR="000A414C" w:rsidRPr="000A414C" w:rsidRDefault="670CCC91" w:rsidP="0511F407">
      <w:pPr>
        <w:spacing w:before="240" w:after="240"/>
        <w:jc w:val="both"/>
      </w:pPr>
      <w:r w:rsidRPr="0511F407">
        <w:rPr>
          <w:rFonts w:ascii="Arial" w:eastAsia="Arial" w:hAnsi="Arial" w:cs="Arial"/>
          <w:sz w:val="24"/>
          <w:szCs w:val="24"/>
        </w:rPr>
        <w:t xml:space="preserve">Burnes, B. (1996) ‘No such thing as a “one best way” to manage organisational change’, </w:t>
      </w:r>
      <w:r w:rsidRPr="0511F407">
        <w:rPr>
          <w:rFonts w:ascii="Arial" w:eastAsia="Arial" w:hAnsi="Arial" w:cs="Arial"/>
          <w:i/>
          <w:iCs/>
          <w:sz w:val="24"/>
          <w:szCs w:val="24"/>
        </w:rPr>
        <w:t>Management Decision</w:t>
      </w:r>
      <w:r w:rsidRPr="0511F407">
        <w:rPr>
          <w:rFonts w:ascii="Arial" w:eastAsia="Arial" w:hAnsi="Arial" w:cs="Arial"/>
          <w:sz w:val="24"/>
          <w:szCs w:val="24"/>
        </w:rPr>
        <w:t>, 34(10), pp. 11–18.</w:t>
      </w:r>
    </w:p>
    <w:p w14:paraId="444B8107" w14:textId="5E9EBA14" w:rsidR="000A414C" w:rsidRPr="000A414C" w:rsidRDefault="670CCC91" w:rsidP="0511F407">
      <w:pPr>
        <w:spacing w:before="240" w:after="240"/>
        <w:jc w:val="both"/>
      </w:pPr>
      <w:r w:rsidRPr="0511F407">
        <w:rPr>
          <w:rFonts w:ascii="Arial" w:eastAsia="Arial" w:hAnsi="Arial" w:cs="Arial"/>
          <w:sz w:val="24"/>
          <w:szCs w:val="24"/>
        </w:rPr>
        <w:t xml:space="preserve">Burnes, B. (2015) ‘Understanding resistance to change – building on Coch and French’, </w:t>
      </w:r>
      <w:r w:rsidRPr="0511F407">
        <w:rPr>
          <w:rFonts w:ascii="Arial" w:eastAsia="Arial" w:hAnsi="Arial" w:cs="Arial"/>
          <w:i/>
          <w:iCs/>
          <w:sz w:val="24"/>
          <w:szCs w:val="24"/>
        </w:rPr>
        <w:t>Journal of Change Management</w:t>
      </w:r>
      <w:r w:rsidRPr="0511F407">
        <w:rPr>
          <w:rFonts w:ascii="Arial" w:eastAsia="Arial" w:hAnsi="Arial" w:cs="Arial"/>
          <w:sz w:val="24"/>
          <w:szCs w:val="24"/>
        </w:rPr>
        <w:t>, 15(2), pp. 92–116.</w:t>
      </w:r>
    </w:p>
    <w:p w14:paraId="12F175B9" w14:textId="42B619EF" w:rsidR="000A414C" w:rsidRPr="000A414C" w:rsidRDefault="670CCC91" w:rsidP="0511F407">
      <w:pPr>
        <w:spacing w:before="240" w:after="240"/>
        <w:jc w:val="both"/>
      </w:pPr>
      <w:r w:rsidRPr="0511F407">
        <w:rPr>
          <w:rFonts w:ascii="Arial" w:eastAsia="Arial" w:hAnsi="Arial" w:cs="Arial"/>
          <w:sz w:val="24"/>
          <w:szCs w:val="24"/>
        </w:rPr>
        <w:t xml:space="preserve">Burns, J. M. (1978) </w:t>
      </w:r>
      <w:r w:rsidRPr="0511F407">
        <w:rPr>
          <w:rFonts w:ascii="Arial" w:eastAsia="Arial" w:hAnsi="Arial" w:cs="Arial"/>
          <w:i/>
          <w:iCs/>
          <w:sz w:val="24"/>
          <w:szCs w:val="24"/>
        </w:rPr>
        <w:t>Leadership</w:t>
      </w:r>
      <w:r w:rsidRPr="0511F407">
        <w:rPr>
          <w:rFonts w:ascii="Arial" w:eastAsia="Arial" w:hAnsi="Arial" w:cs="Arial"/>
          <w:sz w:val="24"/>
          <w:szCs w:val="24"/>
        </w:rPr>
        <w:t>. New York: Harper &amp; Row.</w:t>
      </w:r>
    </w:p>
    <w:p w14:paraId="0CC84793" w14:textId="7CB40571" w:rsidR="000A414C" w:rsidRPr="000A414C" w:rsidRDefault="670CCC91" w:rsidP="0511F407">
      <w:pPr>
        <w:spacing w:before="240" w:after="240"/>
        <w:jc w:val="both"/>
      </w:pPr>
      <w:r w:rsidRPr="0511F407">
        <w:rPr>
          <w:rFonts w:ascii="Arial" w:eastAsia="Arial" w:hAnsi="Arial" w:cs="Arial"/>
          <w:sz w:val="24"/>
          <w:szCs w:val="24"/>
        </w:rPr>
        <w:t xml:space="preserve">By, R. T. (2005) ‘Organisational change management: A critical review’, </w:t>
      </w:r>
      <w:r w:rsidRPr="0511F407">
        <w:rPr>
          <w:rFonts w:ascii="Arial" w:eastAsia="Arial" w:hAnsi="Arial" w:cs="Arial"/>
          <w:i/>
          <w:iCs/>
          <w:sz w:val="24"/>
          <w:szCs w:val="24"/>
        </w:rPr>
        <w:t>Journal of Change Management</w:t>
      </w:r>
      <w:r w:rsidRPr="0511F407">
        <w:rPr>
          <w:rFonts w:ascii="Arial" w:eastAsia="Arial" w:hAnsi="Arial" w:cs="Arial"/>
          <w:sz w:val="24"/>
          <w:szCs w:val="24"/>
        </w:rPr>
        <w:t>, 5(4), pp. 369–380.</w:t>
      </w:r>
    </w:p>
    <w:p w14:paraId="5286D2C4" w14:textId="521523AF" w:rsidR="000A414C" w:rsidRPr="000A414C" w:rsidRDefault="670CCC91" w:rsidP="0511F407">
      <w:pPr>
        <w:spacing w:before="240" w:after="240"/>
        <w:jc w:val="both"/>
      </w:pPr>
      <w:r w:rsidRPr="0511F407">
        <w:rPr>
          <w:rFonts w:ascii="Arial" w:eastAsia="Arial" w:hAnsi="Arial" w:cs="Arial"/>
          <w:sz w:val="24"/>
          <w:szCs w:val="24"/>
        </w:rPr>
        <w:t xml:space="preserve">Cameron, K. S. and Quinn, R. E. (2001) </w:t>
      </w:r>
      <w:r w:rsidRPr="0511F407">
        <w:rPr>
          <w:rFonts w:ascii="Arial" w:eastAsia="Arial" w:hAnsi="Arial" w:cs="Arial"/>
          <w:i/>
          <w:iCs/>
          <w:sz w:val="24"/>
          <w:szCs w:val="24"/>
        </w:rPr>
        <w:t>Diagnosing and Changing Organisational Culture: Based on the Competing Values Framework</w:t>
      </w:r>
      <w:r w:rsidRPr="0511F407">
        <w:rPr>
          <w:rFonts w:ascii="Arial" w:eastAsia="Arial" w:hAnsi="Arial" w:cs="Arial"/>
          <w:sz w:val="24"/>
          <w:szCs w:val="24"/>
        </w:rPr>
        <w:t>. Reading, MA: Addison-Wesley.</w:t>
      </w:r>
    </w:p>
    <w:p w14:paraId="26F2BAC2" w14:textId="0A99D710" w:rsidR="000A414C" w:rsidRPr="000A414C" w:rsidRDefault="670CCC91" w:rsidP="0511F407">
      <w:pPr>
        <w:spacing w:before="240" w:after="240"/>
        <w:jc w:val="both"/>
      </w:pPr>
      <w:r w:rsidRPr="0511F407">
        <w:rPr>
          <w:rFonts w:ascii="Arial" w:eastAsia="Arial" w:hAnsi="Arial" w:cs="Arial"/>
          <w:sz w:val="24"/>
          <w:szCs w:val="24"/>
        </w:rPr>
        <w:t xml:space="preserve">Chandler, A. D. (1962) </w:t>
      </w:r>
      <w:r w:rsidRPr="0511F407">
        <w:rPr>
          <w:rFonts w:ascii="Arial" w:eastAsia="Arial" w:hAnsi="Arial" w:cs="Arial"/>
          <w:i/>
          <w:iCs/>
          <w:sz w:val="24"/>
          <w:szCs w:val="24"/>
        </w:rPr>
        <w:t>Strategy and Structure: Chapters in the History of the Industrial Enterprise</w:t>
      </w:r>
      <w:r w:rsidRPr="0511F407">
        <w:rPr>
          <w:rFonts w:ascii="Arial" w:eastAsia="Arial" w:hAnsi="Arial" w:cs="Arial"/>
          <w:sz w:val="24"/>
          <w:szCs w:val="24"/>
        </w:rPr>
        <w:t>. Cambridge, MA: MIT Press.</w:t>
      </w:r>
    </w:p>
    <w:p w14:paraId="765DF643" w14:textId="77E9D097" w:rsidR="000A414C" w:rsidRPr="000A414C" w:rsidRDefault="670CCC91" w:rsidP="0511F407">
      <w:pPr>
        <w:spacing w:before="240" w:after="240"/>
        <w:jc w:val="both"/>
      </w:pPr>
      <w:r w:rsidRPr="0511F407">
        <w:rPr>
          <w:rFonts w:ascii="Arial" w:eastAsia="Arial" w:hAnsi="Arial" w:cs="Arial"/>
          <w:sz w:val="24"/>
          <w:szCs w:val="24"/>
        </w:rPr>
        <w:t xml:space="preserve">Clampitt, P. G., </w:t>
      </w:r>
      <w:proofErr w:type="spellStart"/>
      <w:r w:rsidRPr="0511F407">
        <w:rPr>
          <w:rFonts w:ascii="Arial" w:eastAsia="Arial" w:hAnsi="Arial" w:cs="Arial"/>
          <w:sz w:val="24"/>
          <w:szCs w:val="24"/>
        </w:rPr>
        <w:t>DeKoch</w:t>
      </w:r>
      <w:proofErr w:type="spellEnd"/>
      <w:r w:rsidRPr="0511F407">
        <w:rPr>
          <w:rFonts w:ascii="Arial" w:eastAsia="Arial" w:hAnsi="Arial" w:cs="Arial"/>
          <w:sz w:val="24"/>
          <w:szCs w:val="24"/>
        </w:rPr>
        <w:t xml:space="preserve">, R. J. and Cashman, T. (2000) </w:t>
      </w:r>
      <w:r w:rsidRPr="0511F407">
        <w:rPr>
          <w:rFonts w:ascii="Arial" w:eastAsia="Arial" w:hAnsi="Arial" w:cs="Arial"/>
          <w:i/>
          <w:iCs/>
          <w:sz w:val="24"/>
          <w:szCs w:val="24"/>
        </w:rPr>
        <w:t>Embracing Uncertainty: The Essence of Leadership</w:t>
      </w:r>
      <w:r w:rsidRPr="0511F407">
        <w:rPr>
          <w:rFonts w:ascii="Arial" w:eastAsia="Arial" w:hAnsi="Arial" w:cs="Arial"/>
          <w:sz w:val="24"/>
          <w:szCs w:val="24"/>
        </w:rPr>
        <w:t>. New York: M.E. Sharpe.</w:t>
      </w:r>
    </w:p>
    <w:p w14:paraId="2654BD11" w14:textId="4A126041" w:rsidR="000A414C" w:rsidRPr="000A414C" w:rsidRDefault="670CCC91" w:rsidP="0511F407">
      <w:pPr>
        <w:spacing w:before="240" w:after="240"/>
        <w:jc w:val="both"/>
      </w:pPr>
      <w:r w:rsidRPr="0511F407">
        <w:rPr>
          <w:rFonts w:ascii="Arial" w:eastAsia="Arial" w:hAnsi="Arial" w:cs="Arial"/>
          <w:sz w:val="24"/>
          <w:szCs w:val="24"/>
        </w:rPr>
        <w:t xml:space="preserve">Daft, R. L. and Lengel, R. H. (1986) ‘Organisational information requirements, media richness and structural design’, </w:t>
      </w:r>
      <w:r w:rsidRPr="0511F407">
        <w:rPr>
          <w:rFonts w:ascii="Arial" w:eastAsia="Arial" w:hAnsi="Arial" w:cs="Arial"/>
          <w:i/>
          <w:iCs/>
          <w:sz w:val="24"/>
          <w:szCs w:val="24"/>
        </w:rPr>
        <w:t>Management Science</w:t>
      </w:r>
      <w:r w:rsidRPr="0511F407">
        <w:rPr>
          <w:rFonts w:ascii="Arial" w:eastAsia="Arial" w:hAnsi="Arial" w:cs="Arial"/>
          <w:sz w:val="24"/>
          <w:szCs w:val="24"/>
        </w:rPr>
        <w:t>, 32(5), pp. 554–571.</w:t>
      </w:r>
    </w:p>
    <w:p w14:paraId="38384D1E" w14:textId="206E5360" w:rsidR="000A414C" w:rsidRPr="000A414C" w:rsidRDefault="670CCC91" w:rsidP="0511F407">
      <w:pPr>
        <w:spacing w:before="240" w:after="240"/>
        <w:jc w:val="both"/>
      </w:pPr>
      <w:r w:rsidRPr="0511F407">
        <w:rPr>
          <w:rFonts w:ascii="Arial" w:eastAsia="Arial" w:hAnsi="Arial" w:cs="Arial"/>
          <w:sz w:val="24"/>
          <w:szCs w:val="24"/>
        </w:rPr>
        <w:t xml:space="preserve">Deci, E. L. and Ryan, R. M. (1985) </w:t>
      </w:r>
      <w:r w:rsidRPr="0511F407">
        <w:rPr>
          <w:rFonts w:ascii="Arial" w:eastAsia="Arial" w:hAnsi="Arial" w:cs="Arial"/>
          <w:i/>
          <w:iCs/>
          <w:sz w:val="24"/>
          <w:szCs w:val="24"/>
        </w:rPr>
        <w:t xml:space="preserve">Intrinsic Motivation and Self-Determination in Human </w:t>
      </w:r>
      <w:proofErr w:type="spellStart"/>
      <w:r w:rsidRPr="0511F407">
        <w:rPr>
          <w:rFonts w:ascii="Arial" w:eastAsia="Arial" w:hAnsi="Arial" w:cs="Arial"/>
          <w:i/>
          <w:iCs/>
          <w:sz w:val="24"/>
          <w:szCs w:val="24"/>
        </w:rPr>
        <w:t>Behavior</w:t>
      </w:r>
      <w:proofErr w:type="spellEnd"/>
      <w:r w:rsidRPr="0511F407">
        <w:rPr>
          <w:rFonts w:ascii="Arial" w:eastAsia="Arial" w:hAnsi="Arial" w:cs="Arial"/>
          <w:sz w:val="24"/>
          <w:szCs w:val="24"/>
        </w:rPr>
        <w:t>. New York: Plenum Press.</w:t>
      </w:r>
    </w:p>
    <w:p w14:paraId="1E32F498" w14:textId="1AF2AF85" w:rsidR="000A414C" w:rsidRPr="000A414C" w:rsidRDefault="670CCC91" w:rsidP="0511F407">
      <w:pPr>
        <w:spacing w:before="240" w:after="240"/>
        <w:jc w:val="both"/>
      </w:pPr>
      <w:r w:rsidRPr="0511F407">
        <w:rPr>
          <w:rFonts w:ascii="Arial" w:eastAsia="Arial" w:hAnsi="Arial" w:cs="Arial"/>
          <w:sz w:val="24"/>
          <w:szCs w:val="24"/>
        </w:rPr>
        <w:t xml:space="preserve">DfE (Department for Education) (2023) </w:t>
      </w:r>
      <w:r w:rsidRPr="0511F407">
        <w:rPr>
          <w:rFonts w:ascii="Arial" w:eastAsia="Arial" w:hAnsi="Arial" w:cs="Arial"/>
          <w:i/>
          <w:iCs/>
          <w:sz w:val="24"/>
          <w:szCs w:val="24"/>
        </w:rPr>
        <w:t>Apprenticeship Funding Rules 2023/24</w:t>
      </w:r>
      <w:r w:rsidRPr="0511F407">
        <w:rPr>
          <w:rFonts w:ascii="Arial" w:eastAsia="Arial" w:hAnsi="Arial" w:cs="Arial"/>
          <w:sz w:val="24"/>
          <w:szCs w:val="24"/>
        </w:rPr>
        <w:t>. London: DfE.</w:t>
      </w:r>
    </w:p>
    <w:p w14:paraId="08A72956" w14:textId="77976D82" w:rsidR="000A414C" w:rsidRPr="000A414C" w:rsidRDefault="670CCC91" w:rsidP="0511F407">
      <w:pPr>
        <w:spacing w:before="240" w:after="240"/>
        <w:jc w:val="both"/>
      </w:pPr>
      <w:r w:rsidRPr="0511F407">
        <w:rPr>
          <w:rFonts w:ascii="Arial" w:eastAsia="Arial" w:hAnsi="Arial" w:cs="Arial"/>
          <w:sz w:val="24"/>
          <w:szCs w:val="24"/>
        </w:rPr>
        <w:t xml:space="preserve">Dumas, C. and Beinecke, R. H. (2018) ‘Change leadership in the 21st century’, </w:t>
      </w:r>
      <w:r w:rsidRPr="0511F407">
        <w:rPr>
          <w:rFonts w:ascii="Arial" w:eastAsia="Arial" w:hAnsi="Arial" w:cs="Arial"/>
          <w:i/>
          <w:iCs/>
          <w:sz w:val="24"/>
          <w:szCs w:val="24"/>
        </w:rPr>
        <w:t>Journal of Organizational Change Management</w:t>
      </w:r>
      <w:r w:rsidRPr="0511F407">
        <w:rPr>
          <w:rFonts w:ascii="Arial" w:eastAsia="Arial" w:hAnsi="Arial" w:cs="Arial"/>
          <w:sz w:val="24"/>
          <w:szCs w:val="24"/>
        </w:rPr>
        <w:t>, 31(4), pp. 867–876.</w:t>
      </w:r>
    </w:p>
    <w:p w14:paraId="0AF16ED1" w14:textId="51D511C7" w:rsidR="000A414C" w:rsidRPr="000A414C" w:rsidRDefault="670CCC91" w:rsidP="0511F407">
      <w:pPr>
        <w:spacing w:before="240" w:after="240"/>
        <w:jc w:val="both"/>
      </w:pPr>
      <w:r w:rsidRPr="0511F407">
        <w:rPr>
          <w:rFonts w:ascii="Arial" w:eastAsia="Arial" w:hAnsi="Arial" w:cs="Arial"/>
          <w:sz w:val="24"/>
          <w:szCs w:val="24"/>
        </w:rPr>
        <w:t xml:space="preserve">Goleman, D. (1995) </w:t>
      </w:r>
      <w:r w:rsidRPr="0511F407">
        <w:rPr>
          <w:rFonts w:ascii="Arial" w:eastAsia="Arial" w:hAnsi="Arial" w:cs="Arial"/>
          <w:i/>
          <w:iCs/>
          <w:sz w:val="24"/>
          <w:szCs w:val="24"/>
        </w:rPr>
        <w:t>Emotional Intelligence: Why It Can Matter More than IQ</w:t>
      </w:r>
      <w:r w:rsidRPr="0511F407">
        <w:rPr>
          <w:rFonts w:ascii="Arial" w:eastAsia="Arial" w:hAnsi="Arial" w:cs="Arial"/>
          <w:sz w:val="24"/>
          <w:szCs w:val="24"/>
        </w:rPr>
        <w:t>. London: Bloomsbury.</w:t>
      </w:r>
    </w:p>
    <w:p w14:paraId="78D2226A" w14:textId="42937B45" w:rsidR="000A414C" w:rsidRPr="000A414C" w:rsidRDefault="670CCC91" w:rsidP="0511F407">
      <w:pPr>
        <w:spacing w:before="240" w:after="240"/>
        <w:jc w:val="both"/>
      </w:pPr>
      <w:r w:rsidRPr="0511F407">
        <w:rPr>
          <w:rFonts w:ascii="Arial" w:eastAsia="Arial" w:hAnsi="Arial" w:cs="Arial"/>
          <w:sz w:val="24"/>
          <w:szCs w:val="24"/>
        </w:rPr>
        <w:t xml:space="preserve">Goodwin, R. (2019) ‘Effective leadership communication in higher education’, </w:t>
      </w:r>
      <w:r w:rsidRPr="0511F407">
        <w:rPr>
          <w:rFonts w:ascii="Arial" w:eastAsia="Arial" w:hAnsi="Arial" w:cs="Arial"/>
          <w:i/>
          <w:iCs/>
          <w:sz w:val="24"/>
          <w:szCs w:val="24"/>
        </w:rPr>
        <w:t>Higher Education Quarterly</w:t>
      </w:r>
      <w:r w:rsidRPr="0511F407">
        <w:rPr>
          <w:rFonts w:ascii="Arial" w:eastAsia="Arial" w:hAnsi="Arial" w:cs="Arial"/>
          <w:sz w:val="24"/>
          <w:szCs w:val="24"/>
        </w:rPr>
        <w:t>, 73(3), pp. 344–357.</w:t>
      </w:r>
    </w:p>
    <w:p w14:paraId="624E80F1" w14:textId="6224591D" w:rsidR="000A414C" w:rsidRPr="000A414C" w:rsidRDefault="670CCC91" w:rsidP="0511F407">
      <w:pPr>
        <w:spacing w:before="240" w:after="240"/>
        <w:jc w:val="both"/>
      </w:pPr>
      <w:r w:rsidRPr="0511F407">
        <w:rPr>
          <w:rFonts w:ascii="Arial" w:eastAsia="Arial" w:hAnsi="Arial" w:cs="Arial"/>
          <w:sz w:val="24"/>
          <w:szCs w:val="24"/>
        </w:rPr>
        <w:t xml:space="preserve">Jones, L. (2024) ‘Strategic leadership in a regulated work-based learning environment: navigating volatility in higher education apprenticeships’, </w:t>
      </w:r>
      <w:r w:rsidRPr="0511F407">
        <w:rPr>
          <w:rFonts w:ascii="Arial" w:eastAsia="Arial" w:hAnsi="Arial" w:cs="Arial"/>
          <w:i/>
          <w:iCs/>
          <w:sz w:val="24"/>
          <w:szCs w:val="24"/>
        </w:rPr>
        <w:t>Studies in Higher Education</w:t>
      </w:r>
      <w:r w:rsidRPr="0511F407">
        <w:rPr>
          <w:rFonts w:ascii="Arial" w:eastAsia="Arial" w:hAnsi="Arial" w:cs="Arial"/>
          <w:sz w:val="24"/>
          <w:szCs w:val="24"/>
        </w:rPr>
        <w:t>, 49(2), pp. 245–261.</w:t>
      </w:r>
    </w:p>
    <w:p w14:paraId="5A9ACD76" w14:textId="73805785" w:rsidR="000A414C" w:rsidRPr="000A414C" w:rsidRDefault="670CCC91" w:rsidP="0511F407">
      <w:pPr>
        <w:spacing w:before="240" w:after="240"/>
        <w:jc w:val="both"/>
      </w:pPr>
      <w:r w:rsidRPr="0511F407">
        <w:rPr>
          <w:rFonts w:ascii="Arial" w:eastAsia="Arial" w:hAnsi="Arial" w:cs="Arial"/>
          <w:sz w:val="24"/>
          <w:szCs w:val="24"/>
        </w:rPr>
        <w:lastRenderedPageBreak/>
        <w:t xml:space="preserve">Kabeyi, M. J. B. (2019) ‘Transformational vs transactional leadership’, </w:t>
      </w:r>
      <w:r w:rsidRPr="0511F407">
        <w:rPr>
          <w:rFonts w:ascii="Arial" w:eastAsia="Arial" w:hAnsi="Arial" w:cs="Arial"/>
          <w:i/>
          <w:iCs/>
          <w:sz w:val="24"/>
          <w:szCs w:val="24"/>
        </w:rPr>
        <w:t>International Journal of Science and Research</w:t>
      </w:r>
      <w:r w:rsidRPr="0511F407">
        <w:rPr>
          <w:rFonts w:ascii="Arial" w:eastAsia="Arial" w:hAnsi="Arial" w:cs="Arial"/>
          <w:sz w:val="24"/>
          <w:szCs w:val="24"/>
        </w:rPr>
        <w:t>, 8(5), pp. 850–858.</w:t>
      </w:r>
    </w:p>
    <w:p w14:paraId="3574868A" w14:textId="1A79B9BA" w:rsidR="000A414C" w:rsidRPr="000A414C" w:rsidRDefault="670CCC91" w:rsidP="0511F407">
      <w:pPr>
        <w:spacing w:before="240" w:after="240"/>
        <w:jc w:val="both"/>
      </w:pPr>
      <w:r w:rsidRPr="4C3CD194">
        <w:rPr>
          <w:rFonts w:ascii="Arial" w:eastAsia="Arial" w:hAnsi="Arial" w:cs="Arial"/>
          <w:sz w:val="24"/>
          <w:szCs w:val="24"/>
        </w:rPr>
        <w:t xml:space="preserve">Khan, </w:t>
      </w:r>
      <w:bookmarkStart w:id="4" w:name="_Int_n9W1FY0g"/>
      <w:r w:rsidRPr="4C3CD194">
        <w:rPr>
          <w:rFonts w:ascii="Arial" w:eastAsia="Arial" w:hAnsi="Arial" w:cs="Arial"/>
          <w:sz w:val="24"/>
          <w:szCs w:val="24"/>
        </w:rPr>
        <w:t>S.</w:t>
      </w:r>
      <w:bookmarkEnd w:id="4"/>
      <w:r w:rsidRPr="4C3CD194">
        <w:rPr>
          <w:rFonts w:ascii="Arial" w:eastAsia="Arial" w:hAnsi="Arial" w:cs="Arial"/>
          <w:sz w:val="24"/>
          <w:szCs w:val="24"/>
        </w:rPr>
        <w:t xml:space="preserve"> and Armstrong, P. (2024) ‘Leadership tensions in university apprenticeship delivery: balancing compliance, partnership and pedagogy’, </w:t>
      </w:r>
      <w:r w:rsidRPr="4C3CD194">
        <w:rPr>
          <w:rFonts w:ascii="Arial" w:eastAsia="Arial" w:hAnsi="Arial" w:cs="Arial"/>
          <w:i/>
          <w:iCs/>
          <w:sz w:val="24"/>
          <w:szCs w:val="24"/>
        </w:rPr>
        <w:t xml:space="preserve">Higher Education, </w:t>
      </w:r>
      <w:bookmarkStart w:id="5" w:name="_Int_u7bswpI8"/>
      <w:r w:rsidRPr="4C3CD194">
        <w:rPr>
          <w:rFonts w:ascii="Arial" w:eastAsia="Arial" w:hAnsi="Arial" w:cs="Arial"/>
          <w:i/>
          <w:iCs/>
          <w:sz w:val="24"/>
          <w:szCs w:val="24"/>
        </w:rPr>
        <w:t>Skills</w:t>
      </w:r>
      <w:bookmarkEnd w:id="5"/>
      <w:r w:rsidRPr="4C3CD194">
        <w:rPr>
          <w:rFonts w:ascii="Arial" w:eastAsia="Arial" w:hAnsi="Arial" w:cs="Arial"/>
          <w:i/>
          <w:iCs/>
          <w:sz w:val="24"/>
          <w:szCs w:val="24"/>
        </w:rPr>
        <w:t xml:space="preserve"> and Work-Based Learning</w:t>
      </w:r>
      <w:r w:rsidRPr="4C3CD194">
        <w:rPr>
          <w:rFonts w:ascii="Arial" w:eastAsia="Arial" w:hAnsi="Arial" w:cs="Arial"/>
          <w:sz w:val="24"/>
          <w:szCs w:val="24"/>
        </w:rPr>
        <w:t>, 14(1), pp. 55–67.</w:t>
      </w:r>
    </w:p>
    <w:p w14:paraId="546EBD24" w14:textId="6714374A" w:rsidR="000A414C" w:rsidRPr="000A414C" w:rsidRDefault="670CCC91" w:rsidP="0511F407">
      <w:pPr>
        <w:spacing w:before="240" w:after="240"/>
        <w:jc w:val="both"/>
      </w:pPr>
      <w:r w:rsidRPr="0511F407">
        <w:rPr>
          <w:rFonts w:ascii="Arial" w:eastAsia="Arial" w:hAnsi="Arial" w:cs="Arial"/>
          <w:sz w:val="24"/>
          <w:szCs w:val="24"/>
        </w:rPr>
        <w:t xml:space="preserve">Kotter, J. P. (1995) ‘Leading change: Why transformation efforts fail’, </w:t>
      </w:r>
      <w:r w:rsidRPr="0511F407">
        <w:rPr>
          <w:rFonts w:ascii="Arial" w:eastAsia="Arial" w:hAnsi="Arial" w:cs="Arial"/>
          <w:i/>
          <w:iCs/>
          <w:sz w:val="24"/>
          <w:szCs w:val="24"/>
        </w:rPr>
        <w:t>Harvard Business Review</w:t>
      </w:r>
      <w:r w:rsidRPr="0511F407">
        <w:rPr>
          <w:rFonts w:ascii="Arial" w:eastAsia="Arial" w:hAnsi="Arial" w:cs="Arial"/>
          <w:sz w:val="24"/>
          <w:szCs w:val="24"/>
        </w:rPr>
        <w:t>, 73(2), pp. 59–67.</w:t>
      </w:r>
    </w:p>
    <w:p w14:paraId="2B4E78E1" w14:textId="67A08A3A" w:rsidR="000A414C" w:rsidRPr="000A414C" w:rsidRDefault="670CCC91" w:rsidP="0511F407">
      <w:pPr>
        <w:spacing w:before="240" w:after="240"/>
        <w:jc w:val="both"/>
      </w:pPr>
      <w:r w:rsidRPr="0511F407">
        <w:rPr>
          <w:rFonts w:ascii="Arial" w:eastAsia="Arial" w:hAnsi="Arial" w:cs="Arial"/>
          <w:sz w:val="24"/>
          <w:szCs w:val="24"/>
        </w:rPr>
        <w:t xml:space="preserve">Kotter, J. P. (1996) </w:t>
      </w:r>
      <w:r w:rsidRPr="0511F407">
        <w:rPr>
          <w:rFonts w:ascii="Arial" w:eastAsia="Arial" w:hAnsi="Arial" w:cs="Arial"/>
          <w:i/>
          <w:iCs/>
          <w:sz w:val="24"/>
          <w:szCs w:val="24"/>
        </w:rPr>
        <w:t>Leading Change</w:t>
      </w:r>
      <w:r w:rsidRPr="0511F407">
        <w:rPr>
          <w:rFonts w:ascii="Arial" w:eastAsia="Arial" w:hAnsi="Arial" w:cs="Arial"/>
          <w:sz w:val="24"/>
          <w:szCs w:val="24"/>
        </w:rPr>
        <w:t>. Boston, MA: Harvard Business School Press.</w:t>
      </w:r>
    </w:p>
    <w:p w14:paraId="01DB2063" w14:textId="3EFF9BD6" w:rsidR="000A414C" w:rsidRPr="000A414C" w:rsidRDefault="670CCC91" w:rsidP="0511F407">
      <w:pPr>
        <w:spacing w:before="240" w:after="240"/>
        <w:jc w:val="both"/>
      </w:pPr>
      <w:r w:rsidRPr="4C3CD194">
        <w:rPr>
          <w:rFonts w:ascii="Arial" w:eastAsia="Arial" w:hAnsi="Arial" w:cs="Arial"/>
          <w:sz w:val="24"/>
          <w:szCs w:val="24"/>
        </w:rPr>
        <w:t xml:space="preserve">Kotter, J. P. (2012) </w:t>
      </w:r>
      <w:bookmarkStart w:id="6" w:name="_Int_JPqUsCDK"/>
      <w:proofErr w:type="gramStart"/>
      <w:r w:rsidRPr="4C3CD194">
        <w:rPr>
          <w:rFonts w:ascii="Arial" w:eastAsia="Arial" w:hAnsi="Arial" w:cs="Arial"/>
          <w:i/>
          <w:iCs/>
          <w:sz w:val="24"/>
          <w:szCs w:val="24"/>
        </w:rPr>
        <w:t>Accelerate!</w:t>
      </w:r>
      <w:r w:rsidRPr="4C3CD194">
        <w:rPr>
          <w:rFonts w:ascii="Arial" w:eastAsia="Arial" w:hAnsi="Arial" w:cs="Arial"/>
          <w:sz w:val="24"/>
          <w:szCs w:val="24"/>
        </w:rPr>
        <w:t>.</w:t>
      </w:r>
      <w:bookmarkEnd w:id="6"/>
      <w:proofErr w:type="gramEnd"/>
      <w:r w:rsidRPr="4C3CD194">
        <w:rPr>
          <w:rFonts w:ascii="Arial" w:eastAsia="Arial" w:hAnsi="Arial" w:cs="Arial"/>
          <w:sz w:val="24"/>
          <w:szCs w:val="24"/>
        </w:rPr>
        <w:t xml:space="preserve"> Boston, MA: Harvard Business Review Press.</w:t>
      </w:r>
    </w:p>
    <w:p w14:paraId="769882A6" w14:textId="4EF45669" w:rsidR="000A414C" w:rsidRPr="000A414C" w:rsidRDefault="670CCC91" w:rsidP="0511F407">
      <w:pPr>
        <w:spacing w:before="240" w:after="240"/>
        <w:jc w:val="both"/>
      </w:pPr>
      <w:r w:rsidRPr="4C3CD194">
        <w:rPr>
          <w:rFonts w:ascii="Arial" w:eastAsia="Arial" w:hAnsi="Arial" w:cs="Arial"/>
          <w:sz w:val="24"/>
          <w:szCs w:val="24"/>
        </w:rPr>
        <w:t xml:space="preserve">Lester, S. (2020) ‘Creating conditions for sustainable degree apprenticeships in England’, </w:t>
      </w:r>
      <w:r w:rsidRPr="4C3CD194">
        <w:rPr>
          <w:rFonts w:ascii="Arial" w:eastAsia="Arial" w:hAnsi="Arial" w:cs="Arial"/>
          <w:i/>
          <w:iCs/>
          <w:sz w:val="24"/>
          <w:szCs w:val="24"/>
        </w:rPr>
        <w:t xml:space="preserve">Higher Education, </w:t>
      </w:r>
      <w:bookmarkStart w:id="7" w:name="_Int_BnEtHSZs"/>
      <w:r w:rsidRPr="4C3CD194">
        <w:rPr>
          <w:rFonts w:ascii="Arial" w:eastAsia="Arial" w:hAnsi="Arial" w:cs="Arial"/>
          <w:i/>
          <w:iCs/>
          <w:sz w:val="24"/>
          <w:szCs w:val="24"/>
        </w:rPr>
        <w:t>Skills</w:t>
      </w:r>
      <w:bookmarkEnd w:id="7"/>
      <w:r w:rsidRPr="4C3CD194">
        <w:rPr>
          <w:rFonts w:ascii="Arial" w:eastAsia="Arial" w:hAnsi="Arial" w:cs="Arial"/>
          <w:i/>
          <w:iCs/>
          <w:sz w:val="24"/>
          <w:szCs w:val="24"/>
        </w:rPr>
        <w:t xml:space="preserve"> and Work-Based Learning</w:t>
      </w:r>
      <w:r w:rsidRPr="4C3CD194">
        <w:rPr>
          <w:rFonts w:ascii="Arial" w:eastAsia="Arial" w:hAnsi="Arial" w:cs="Arial"/>
          <w:sz w:val="24"/>
          <w:szCs w:val="24"/>
        </w:rPr>
        <w:t xml:space="preserve">, 10(5), pp. 701–714. </w:t>
      </w:r>
      <w:hyperlink r:id="rId11">
        <w:r w:rsidRPr="4C3CD194">
          <w:rPr>
            <w:rStyle w:val="Hyperlink"/>
            <w:rFonts w:ascii="Arial" w:eastAsia="Arial" w:hAnsi="Arial" w:cs="Arial"/>
            <w:sz w:val="24"/>
            <w:szCs w:val="24"/>
          </w:rPr>
          <w:t>https://doi.org/10.1108/HESWBL-04-2020-0062</w:t>
        </w:r>
      </w:hyperlink>
    </w:p>
    <w:p w14:paraId="3165DE31" w14:textId="1A3F3F24" w:rsidR="000A414C" w:rsidRPr="000A414C" w:rsidRDefault="670CCC91" w:rsidP="0511F407">
      <w:pPr>
        <w:spacing w:before="240" w:after="240"/>
        <w:jc w:val="both"/>
      </w:pPr>
      <w:r w:rsidRPr="0511F407">
        <w:rPr>
          <w:rFonts w:ascii="Arial" w:eastAsia="Arial" w:hAnsi="Arial" w:cs="Arial"/>
          <w:sz w:val="24"/>
          <w:szCs w:val="24"/>
        </w:rPr>
        <w:t xml:space="preserve">Lewin, K. (1951) </w:t>
      </w:r>
      <w:r w:rsidRPr="0511F407">
        <w:rPr>
          <w:rFonts w:ascii="Arial" w:eastAsia="Arial" w:hAnsi="Arial" w:cs="Arial"/>
          <w:i/>
          <w:iCs/>
          <w:sz w:val="24"/>
          <w:szCs w:val="24"/>
        </w:rPr>
        <w:t>Field Theory in Social Science</w:t>
      </w:r>
      <w:r w:rsidRPr="0511F407">
        <w:rPr>
          <w:rFonts w:ascii="Arial" w:eastAsia="Arial" w:hAnsi="Arial" w:cs="Arial"/>
          <w:sz w:val="24"/>
          <w:szCs w:val="24"/>
        </w:rPr>
        <w:t>. New York: Harper &amp; Row.</w:t>
      </w:r>
    </w:p>
    <w:p w14:paraId="2A1DC583" w14:textId="5859E8BC" w:rsidR="000A414C" w:rsidRPr="000A414C" w:rsidRDefault="670CCC91" w:rsidP="0511F407">
      <w:pPr>
        <w:spacing w:before="240" w:after="240"/>
        <w:jc w:val="both"/>
      </w:pPr>
      <w:r w:rsidRPr="4C3CD194">
        <w:rPr>
          <w:rFonts w:ascii="Arial" w:eastAsia="Arial" w:hAnsi="Arial" w:cs="Arial"/>
          <w:sz w:val="24"/>
          <w:szCs w:val="24"/>
        </w:rPr>
        <w:t xml:space="preserve">Lillis, F. and </w:t>
      </w:r>
      <w:proofErr w:type="spellStart"/>
      <w:r w:rsidRPr="4C3CD194">
        <w:rPr>
          <w:rFonts w:ascii="Arial" w:eastAsia="Arial" w:hAnsi="Arial" w:cs="Arial"/>
          <w:sz w:val="24"/>
          <w:szCs w:val="24"/>
        </w:rPr>
        <w:t>Varetto</w:t>
      </w:r>
      <w:proofErr w:type="spellEnd"/>
      <w:r w:rsidRPr="4C3CD194">
        <w:rPr>
          <w:rFonts w:ascii="Arial" w:eastAsia="Arial" w:hAnsi="Arial" w:cs="Arial"/>
          <w:sz w:val="24"/>
          <w:szCs w:val="24"/>
        </w:rPr>
        <w:t xml:space="preserve">, A. (2020) ‘Changing the course of </w:t>
      </w:r>
      <w:proofErr w:type="spellStart"/>
      <w:r w:rsidRPr="4C3CD194">
        <w:rPr>
          <w:rFonts w:ascii="Arial" w:eastAsia="Arial" w:hAnsi="Arial" w:cs="Arial"/>
          <w:sz w:val="24"/>
          <w:szCs w:val="24"/>
        </w:rPr>
        <w:t>IfATE</w:t>
      </w:r>
      <w:proofErr w:type="spellEnd"/>
      <w:r w:rsidRPr="4C3CD194">
        <w:rPr>
          <w:rFonts w:ascii="Arial" w:eastAsia="Arial" w:hAnsi="Arial" w:cs="Arial"/>
          <w:sz w:val="24"/>
          <w:szCs w:val="24"/>
        </w:rPr>
        <w:t xml:space="preserve">: healthier higher and degree apprenticeships for regulated healthcare professionals’, </w:t>
      </w:r>
      <w:r w:rsidRPr="4C3CD194">
        <w:rPr>
          <w:rFonts w:ascii="Arial" w:eastAsia="Arial" w:hAnsi="Arial" w:cs="Arial"/>
          <w:i/>
          <w:iCs/>
          <w:sz w:val="24"/>
          <w:szCs w:val="24"/>
        </w:rPr>
        <w:t xml:space="preserve">Higher Education, </w:t>
      </w:r>
      <w:bookmarkStart w:id="8" w:name="_Int_r9jW8NiQ"/>
      <w:r w:rsidRPr="4C3CD194">
        <w:rPr>
          <w:rFonts w:ascii="Arial" w:eastAsia="Arial" w:hAnsi="Arial" w:cs="Arial"/>
          <w:i/>
          <w:iCs/>
          <w:sz w:val="24"/>
          <w:szCs w:val="24"/>
        </w:rPr>
        <w:t>Skills</w:t>
      </w:r>
      <w:bookmarkEnd w:id="8"/>
      <w:r w:rsidRPr="4C3CD194">
        <w:rPr>
          <w:rFonts w:ascii="Arial" w:eastAsia="Arial" w:hAnsi="Arial" w:cs="Arial"/>
          <w:i/>
          <w:iCs/>
          <w:sz w:val="24"/>
          <w:szCs w:val="24"/>
        </w:rPr>
        <w:t xml:space="preserve"> and Work-Based Learning</w:t>
      </w:r>
      <w:r w:rsidRPr="4C3CD194">
        <w:rPr>
          <w:rFonts w:ascii="Arial" w:eastAsia="Arial" w:hAnsi="Arial" w:cs="Arial"/>
          <w:sz w:val="24"/>
          <w:szCs w:val="24"/>
        </w:rPr>
        <w:t xml:space="preserve">, 10(5), pp. 799–813. </w:t>
      </w:r>
      <w:hyperlink r:id="rId12">
        <w:r w:rsidRPr="4C3CD194">
          <w:rPr>
            <w:rStyle w:val="Hyperlink"/>
            <w:rFonts w:ascii="Arial" w:eastAsia="Arial" w:hAnsi="Arial" w:cs="Arial"/>
            <w:sz w:val="24"/>
            <w:szCs w:val="24"/>
          </w:rPr>
          <w:t>https://doi.org/10.1108/HESWBL-04-2020-0074</w:t>
        </w:r>
      </w:hyperlink>
    </w:p>
    <w:p w14:paraId="742204B0" w14:textId="2799EE3D" w:rsidR="000A414C" w:rsidRPr="000A414C" w:rsidRDefault="670CCC91" w:rsidP="0511F407">
      <w:pPr>
        <w:spacing w:before="240" w:after="240"/>
        <w:jc w:val="both"/>
      </w:pPr>
      <w:r w:rsidRPr="0511F407">
        <w:rPr>
          <w:rFonts w:ascii="Arial" w:eastAsia="Arial" w:hAnsi="Arial" w:cs="Arial"/>
          <w:sz w:val="24"/>
          <w:szCs w:val="24"/>
        </w:rPr>
        <w:t xml:space="preserve">Masten, A. S. (2001) ‘Ordinary magic: Resilience processes in development’, </w:t>
      </w:r>
      <w:r w:rsidRPr="0511F407">
        <w:rPr>
          <w:rFonts w:ascii="Arial" w:eastAsia="Arial" w:hAnsi="Arial" w:cs="Arial"/>
          <w:i/>
          <w:iCs/>
          <w:sz w:val="24"/>
          <w:szCs w:val="24"/>
        </w:rPr>
        <w:t>American Psychologist</w:t>
      </w:r>
      <w:r w:rsidRPr="0511F407">
        <w:rPr>
          <w:rFonts w:ascii="Arial" w:eastAsia="Arial" w:hAnsi="Arial" w:cs="Arial"/>
          <w:sz w:val="24"/>
          <w:szCs w:val="24"/>
        </w:rPr>
        <w:t>, 56(3), pp. 227–238.</w:t>
      </w:r>
    </w:p>
    <w:p w14:paraId="2B43AE84" w14:textId="6346BF28" w:rsidR="000A414C" w:rsidRPr="000A414C" w:rsidRDefault="670CCC91" w:rsidP="0511F407">
      <w:pPr>
        <w:spacing w:before="240" w:after="240"/>
        <w:jc w:val="both"/>
      </w:pPr>
      <w:r w:rsidRPr="0511F407">
        <w:rPr>
          <w:rFonts w:ascii="Arial" w:eastAsia="Arial" w:hAnsi="Arial" w:cs="Arial"/>
          <w:sz w:val="24"/>
          <w:szCs w:val="24"/>
        </w:rPr>
        <w:t xml:space="preserve">McDowall, A. and Kinman, G. (2016) ‘Work-life balance in higher education’, </w:t>
      </w:r>
      <w:r w:rsidRPr="0511F407">
        <w:rPr>
          <w:rFonts w:ascii="Arial" w:eastAsia="Arial" w:hAnsi="Arial" w:cs="Arial"/>
          <w:i/>
          <w:iCs/>
          <w:sz w:val="24"/>
          <w:szCs w:val="24"/>
        </w:rPr>
        <w:t>Journal of Education and Work</w:t>
      </w:r>
      <w:r w:rsidRPr="0511F407">
        <w:rPr>
          <w:rFonts w:ascii="Arial" w:eastAsia="Arial" w:hAnsi="Arial" w:cs="Arial"/>
          <w:sz w:val="24"/>
          <w:szCs w:val="24"/>
        </w:rPr>
        <w:t>, 29(7), pp. 744–768.</w:t>
      </w:r>
    </w:p>
    <w:p w14:paraId="7D1E1EDE" w14:textId="51A32712" w:rsidR="000A414C" w:rsidRPr="000A414C" w:rsidRDefault="670CCC91" w:rsidP="0511F407">
      <w:pPr>
        <w:spacing w:before="240" w:after="240"/>
        <w:jc w:val="both"/>
      </w:pPr>
      <w:r w:rsidRPr="0511F407">
        <w:rPr>
          <w:rFonts w:ascii="Arial" w:eastAsia="Arial" w:hAnsi="Arial" w:cs="Arial"/>
          <w:sz w:val="24"/>
          <w:szCs w:val="24"/>
        </w:rPr>
        <w:t xml:space="preserve">Mintzberg, H. (1994) </w:t>
      </w:r>
      <w:r w:rsidRPr="0511F407">
        <w:rPr>
          <w:rFonts w:ascii="Arial" w:eastAsia="Arial" w:hAnsi="Arial" w:cs="Arial"/>
          <w:i/>
          <w:iCs/>
          <w:sz w:val="24"/>
          <w:szCs w:val="24"/>
        </w:rPr>
        <w:t>The Rise and Fall of Strategic Planning</w:t>
      </w:r>
      <w:r w:rsidRPr="0511F407">
        <w:rPr>
          <w:rFonts w:ascii="Arial" w:eastAsia="Arial" w:hAnsi="Arial" w:cs="Arial"/>
          <w:sz w:val="24"/>
          <w:szCs w:val="24"/>
        </w:rPr>
        <w:t>. New York: Free Press.</w:t>
      </w:r>
    </w:p>
    <w:p w14:paraId="1D54338C" w14:textId="34614BC5" w:rsidR="000A414C" w:rsidRPr="000A414C" w:rsidRDefault="670CCC91" w:rsidP="0511F407">
      <w:pPr>
        <w:spacing w:before="240" w:after="240"/>
        <w:jc w:val="both"/>
      </w:pPr>
      <w:r w:rsidRPr="0511F407">
        <w:rPr>
          <w:rFonts w:ascii="Arial" w:eastAsia="Arial" w:hAnsi="Arial" w:cs="Arial"/>
          <w:sz w:val="24"/>
          <w:szCs w:val="24"/>
        </w:rPr>
        <w:t xml:space="preserve">Ofsted (2023) </w:t>
      </w:r>
      <w:r w:rsidRPr="0511F407">
        <w:rPr>
          <w:rFonts w:ascii="Arial" w:eastAsia="Arial" w:hAnsi="Arial" w:cs="Arial"/>
          <w:i/>
          <w:iCs/>
          <w:sz w:val="24"/>
          <w:szCs w:val="24"/>
        </w:rPr>
        <w:t>Education Inspection Framework</w:t>
      </w:r>
      <w:r w:rsidRPr="0511F407">
        <w:rPr>
          <w:rFonts w:ascii="Arial" w:eastAsia="Arial" w:hAnsi="Arial" w:cs="Arial"/>
          <w:sz w:val="24"/>
          <w:szCs w:val="24"/>
        </w:rPr>
        <w:t>. Manchester: Ofsted.</w:t>
      </w:r>
    </w:p>
    <w:p w14:paraId="145F6679" w14:textId="67C07F39" w:rsidR="000A414C" w:rsidRPr="000A414C" w:rsidRDefault="670CCC91" w:rsidP="0511F407">
      <w:pPr>
        <w:spacing w:before="240" w:after="240"/>
        <w:jc w:val="both"/>
      </w:pPr>
      <w:r w:rsidRPr="0511F407">
        <w:rPr>
          <w:rFonts w:ascii="Arial" w:eastAsia="Arial" w:hAnsi="Arial" w:cs="Arial"/>
          <w:sz w:val="24"/>
          <w:szCs w:val="24"/>
        </w:rPr>
        <w:t xml:space="preserve">Pettigrew, A. M. (1985) </w:t>
      </w:r>
      <w:r w:rsidRPr="0511F407">
        <w:rPr>
          <w:rFonts w:ascii="Arial" w:eastAsia="Arial" w:hAnsi="Arial" w:cs="Arial"/>
          <w:i/>
          <w:iCs/>
          <w:sz w:val="24"/>
          <w:szCs w:val="24"/>
        </w:rPr>
        <w:t>The Awakening Giant: Continuity and Change in ICI</w:t>
      </w:r>
      <w:r w:rsidRPr="0511F407">
        <w:rPr>
          <w:rFonts w:ascii="Arial" w:eastAsia="Arial" w:hAnsi="Arial" w:cs="Arial"/>
          <w:sz w:val="24"/>
          <w:szCs w:val="24"/>
        </w:rPr>
        <w:t>. Oxford: Blackwell.</w:t>
      </w:r>
    </w:p>
    <w:p w14:paraId="648D31AF" w14:textId="4A6C150E" w:rsidR="000A414C" w:rsidRPr="000A414C" w:rsidRDefault="670CCC91" w:rsidP="0511F407">
      <w:pPr>
        <w:spacing w:before="240" w:after="240"/>
        <w:jc w:val="both"/>
      </w:pPr>
      <w:r w:rsidRPr="0511F407">
        <w:rPr>
          <w:rFonts w:ascii="Arial" w:eastAsia="Arial" w:hAnsi="Arial" w:cs="Arial"/>
          <w:sz w:val="24"/>
          <w:szCs w:val="24"/>
        </w:rPr>
        <w:t xml:space="preserve">Pfeffer, J. (2003) </w:t>
      </w:r>
      <w:r w:rsidRPr="0511F407">
        <w:rPr>
          <w:rFonts w:ascii="Arial" w:eastAsia="Arial" w:hAnsi="Arial" w:cs="Arial"/>
          <w:i/>
          <w:iCs/>
          <w:sz w:val="24"/>
          <w:szCs w:val="24"/>
        </w:rPr>
        <w:t>Managing with Power: Politics and Influence in Organizations</w:t>
      </w:r>
      <w:r w:rsidRPr="0511F407">
        <w:rPr>
          <w:rFonts w:ascii="Arial" w:eastAsia="Arial" w:hAnsi="Arial" w:cs="Arial"/>
          <w:sz w:val="24"/>
          <w:szCs w:val="24"/>
        </w:rPr>
        <w:t>. Boston, MA: Harvard Business School Press.</w:t>
      </w:r>
    </w:p>
    <w:p w14:paraId="17B520D8" w14:textId="7D66763E" w:rsidR="000A414C" w:rsidRPr="000A414C" w:rsidRDefault="670CCC91" w:rsidP="0511F407">
      <w:pPr>
        <w:spacing w:before="240" w:after="240"/>
        <w:jc w:val="both"/>
      </w:pPr>
      <w:r w:rsidRPr="0511F407">
        <w:rPr>
          <w:rFonts w:ascii="Arial" w:eastAsia="Arial" w:hAnsi="Arial" w:cs="Arial"/>
          <w:sz w:val="24"/>
          <w:szCs w:val="24"/>
        </w:rPr>
        <w:t xml:space="preserve">Schein, E. H. (2010) </w:t>
      </w:r>
      <w:r w:rsidRPr="0511F407">
        <w:rPr>
          <w:rFonts w:ascii="Arial" w:eastAsia="Arial" w:hAnsi="Arial" w:cs="Arial"/>
          <w:i/>
          <w:iCs/>
          <w:sz w:val="24"/>
          <w:szCs w:val="24"/>
        </w:rPr>
        <w:t>Organizational Culture and Leadership</w:t>
      </w:r>
      <w:r w:rsidRPr="0511F407">
        <w:rPr>
          <w:rFonts w:ascii="Arial" w:eastAsia="Arial" w:hAnsi="Arial" w:cs="Arial"/>
          <w:sz w:val="24"/>
          <w:szCs w:val="24"/>
        </w:rPr>
        <w:t xml:space="preserve">. 4th </w:t>
      </w:r>
      <w:proofErr w:type="spellStart"/>
      <w:r w:rsidRPr="0511F407">
        <w:rPr>
          <w:rFonts w:ascii="Arial" w:eastAsia="Arial" w:hAnsi="Arial" w:cs="Arial"/>
          <w:sz w:val="24"/>
          <w:szCs w:val="24"/>
        </w:rPr>
        <w:t>edn</w:t>
      </w:r>
      <w:proofErr w:type="spellEnd"/>
      <w:r w:rsidRPr="0511F407">
        <w:rPr>
          <w:rFonts w:ascii="Arial" w:eastAsia="Arial" w:hAnsi="Arial" w:cs="Arial"/>
          <w:sz w:val="24"/>
          <w:szCs w:val="24"/>
        </w:rPr>
        <w:t>. San Francisco: Jossey-Bass.</w:t>
      </w:r>
    </w:p>
    <w:p w14:paraId="78661808" w14:textId="31A1A101" w:rsidR="000A414C" w:rsidRPr="000A414C" w:rsidRDefault="670CCC91" w:rsidP="0511F407">
      <w:pPr>
        <w:spacing w:before="240" w:after="240"/>
        <w:jc w:val="both"/>
      </w:pPr>
      <w:r w:rsidRPr="0511F407">
        <w:rPr>
          <w:rFonts w:ascii="Arial" w:eastAsia="Arial" w:hAnsi="Arial" w:cs="Arial"/>
          <w:sz w:val="24"/>
          <w:szCs w:val="24"/>
        </w:rPr>
        <w:t xml:space="preserve">Schwartz, T. and Porath, C. (2014) ‘Why you hate work’, </w:t>
      </w:r>
      <w:r w:rsidRPr="0511F407">
        <w:rPr>
          <w:rFonts w:ascii="Arial" w:eastAsia="Arial" w:hAnsi="Arial" w:cs="Arial"/>
          <w:i/>
          <w:iCs/>
          <w:sz w:val="24"/>
          <w:szCs w:val="24"/>
        </w:rPr>
        <w:t>Harvard Business Review</w:t>
      </w:r>
      <w:r w:rsidRPr="0511F407">
        <w:rPr>
          <w:rFonts w:ascii="Arial" w:eastAsia="Arial" w:hAnsi="Arial" w:cs="Arial"/>
          <w:sz w:val="24"/>
          <w:szCs w:val="24"/>
        </w:rPr>
        <w:t>, 92(6), pp. 58–66.</w:t>
      </w:r>
    </w:p>
    <w:p w14:paraId="7CFEFAB3" w14:textId="3CC12B23" w:rsidR="000A414C" w:rsidRPr="000A414C" w:rsidRDefault="670CCC91" w:rsidP="0511F407">
      <w:pPr>
        <w:spacing w:before="240" w:after="240"/>
        <w:jc w:val="both"/>
      </w:pPr>
      <w:r w:rsidRPr="0511F407">
        <w:rPr>
          <w:rFonts w:ascii="Arial" w:eastAsia="Arial" w:hAnsi="Arial" w:cs="Arial"/>
          <w:sz w:val="24"/>
          <w:szCs w:val="24"/>
        </w:rPr>
        <w:lastRenderedPageBreak/>
        <w:t xml:space="preserve">Senge, P. M. (2006) </w:t>
      </w:r>
      <w:r w:rsidRPr="0511F407">
        <w:rPr>
          <w:rFonts w:ascii="Arial" w:eastAsia="Arial" w:hAnsi="Arial" w:cs="Arial"/>
          <w:i/>
          <w:iCs/>
          <w:sz w:val="24"/>
          <w:szCs w:val="24"/>
        </w:rPr>
        <w:t>The Fifth Discipline: The Art and Practice of the Learning Organization</w:t>
      </w:r>
      <w:r w:rsidRPr="0511F407">
        <w:rPr>
          <w:rFonts w:ascii="Arial" w:eastAsia="Arial" w:hAnsi="Arial" w:cs="Arial"/>
          <w:sz w:val="24"/>
          <w:szCs w:val="24"/>
        </w:rPr>
        <w:t xml:space="preserve">. Revised </w:t>
      </w:r>
      <w:proofErr w:type="spellStart"/>
      <w:r w:rsidRPr="0511F407">
        <w:rPr>
          <w:rFonts w:ascii="Arial" w:eastAsia="Arial" w:hAnsi="Arial" w:cs="Arial"/>
          <w:sz w:val="24"/>
          <w:szCs w:val="24"/>
        </w:rPr>
        <w:t>edn</w:t>
      </w:r>
      <w:proofErr w:type="spellEnd"/>
      <w:r w:rsidRPr="0511F407">
        <w:rPr>
          <w:rFonts w:ascii="Arial" w:eastAsia="Arial" w:hAnsi="Arial" w:cs="Arial"/>
          <w:sz w:val="24"/>
          <w:szCs w:val="24"/>
        </w:rPr>
        <w:t>. London: Random House.</w:t>
      </w:r>
    </w:p>
    <w:p w14:paraId="610FC53B" w14:textId="72959343" w:rsidR="000A414C" w:rsidRPr="000A414C" w:rsidRDefault="670CCC91" w:rsidP="0511F407">
      <w:pPr>
        <w:spacing w:before="240" w:after="240"/>
        <w:jc w:val="both"/>
      </w:pPr>
      <w:r w:rsidRPr="4C3CD194">
        <w:rPr>
          <w:rFonts w:ascii="Arial" w:eastAsia="Arial" w:hAnsi="Arial" w:cs="Arial"/>
          <w:sz w:val="24"/>
          <w:szCs w:val="24"/>
        </w:rPr>
        <w:t xml:space="preserve">Shannon, C. </w:t>
      </w:r>
      <w:bookmarkStart w:id="9" w:name="_Int_OwM6UpEE"/>
      <w:r w:rsidRPr="4C3CD194">
        <w:rPr>
          <w:rFonts w:ascii="Arial" w:eastAsia="Arial" w:hAnsi="Arial" w:cs="Arial"/>
          <w:sz w:val="24"/>
          <w:szCs w:val="24"/>
        </w:rPr>
        <w:t>E.</w:t>
      </w:r>
      <w:bookmarkEnd w:id="9"/>
      <w:r w:rsidRPr="4C3CD194">
        <w:rPr>
          <w:rFonts w:ascii="Arial" w:eastAsia="Arial" w:hAnsi="Arial" w:cs="Arial"/>
          <w:sz w:val="24"/>
          <w:szCs w:val="24"/>
        </w:rPr>
        <w:t xml:space="preserve"> and Weaver, W. (1949) </w:t>
      </w:r>
      <w:r w:rsidRPr="4C3CD194">
        <w:rPr>
          <w:rFonts w:ascii="Arial" w:eastAsia="Arial" w:hAnsi="Arial" w:cs="Arial"/>
          <w:i/>
          <w:iCs/>
          <w:sz w:val="24"/>
          <w:szCs w:val="24"/>
        </w:rPr>
        <w:t>The Mathematical Theory of Communication</w:t>
      </w:r>
      <w:r w:rsidRPr="4C3CD194">
        <w:rPr>
          <w:rFonts w:ascii="Arial" w:eastAsia="Arial" w:hAnsi="Arial" w:cs="Arial"/>
          <w:sz w:val="24"/>
          <w:szCs w:val="24"/>
        </w:rPr>
        <w:t>. Urbana, IL: University of Illinois Press.</w:t>
      </w:r>
    </w:p>
    <w:p w14:paraId="7230BC95" w14:textId="4229A35E" w:rsidR="000A414C" w:rsidRPr="000A414C" w:rsidRDefault="670CCC91" w:rsidP="0511F407">
      <w:pPr>
        <w:spacing w:before="240" w:after="240"/>
        <w:jc w:val="both"/>
      </w:pPr>
      <w:r w:rsidRPr="4C3CD194">
        <w:rPr>
          <w:rFonts w:ascii="Arial" w:eastAsia="Arial" w:hAnsi="Arial" w:cs="Arial"/>
          <w:sz w:val="24"/>
          <w:szCs w:val="24"/>
        </w:rPr>
        <w:t xml:space="preserve">Smith, </w:t>
      </w:r>
      <w:bookmarkStart w:id="10" w:name="_Int_KnOpK2N2"/>
      <w:r w:rsidRPr="4C3CD194">
        <w:rPr>
          <w:rFonts w:ascii="Arial" w:eastAsia="Arial" w:hAnsi="Arial" w:cs="Arial"/>
          <w:sz w:val="24"/>
          <w:szCs w:val="24"/>
        </w:rPr>
        <w:t>J.</w:t>
      </w:r>
      <w:bookmarkEnd w:id="10"/>
      <w:r w:rsidRPr="4C3CD194">
        <w:rPr>
          <w:rFonts w:ascii="Arial" w:eastAsia="Arial" w:hAnsi="Arial" w:cs="Arial"/>
          <w:sz w:val="24"/>
          <w:szCs w:val="24"/>
        </w:rPr>
        <w:t xml:space="preserve"> and Phillips, A. (2023) ‘Leadership, accountability and adaptation in higher education apprenticeships’, </w:t>
      </w:r>
      <w:r w:rsidRPr="4C3CD194">
        <w:rPr>
          <w:rFonts w:ascii="Arial" w:eastAsia="Arial" w:hAnsi="Arial" w:cs="Arial"/>
          <w:i/>
          <w:iCs/>
          <w:sz w:val="24"/>
          <w:szCs w:val="24"/>
        </w:rPr>
        <w:t>Journal of Further and Higher Education</w:t>
      </w:r>
      <w:r w:rsidRPr="4C3CD194">
        <w:rPr>
          <w:rFonts w:ascii="Arial" w:eastAsia="Arial" w:hAnsi="Arial" w:cs="Arial"/>
          <w:sz w:val="24"/>
          <w:szCs w:val="24"/>
        </w:rPr>
        <w:t>, 47(8), pp. 1043–1060.</w:t>
      </w:r>
    </w:p>
    <w:p w14:paraId="20C0006F" w14:textId="407DCED0" w:rsidR="000A414C" w:rsidRPr="000A414C" w:rsidRDefault="670CCC91" w:rsidP="0511F407">
      <w:pPr>
        <w:spacing w:before="240" w:after="240"/>
        <w:jc w:val="both"/>
      </w:pPr>
      <w:r w:rsidRPr="0511F407">
        <w:rPr>
          <w:rFonts w:ascii="Arial" w:eastAsia="Arial" w:hAnsi="Arial" w:cs="Arial"/>
          <w:sz w:val="24"/>
          <w:szCs w:val="24"/>
        </w:rPr>
        <w:t xml:space="preserve">Tuckman, B. W. (1965) ‘Developmental sequence in small groups’, </w:t>
      </w:r>
      <w:r w:rsidRPr="0511F407">
        <w:rPr>
          <w:rFonts w:ascii="Arial" w:eastAsia="Arial" w:hAnsi="Arial" w:cs="Arial"/>
          <w:i/>
          <w:iCs/>
          <w:sz w:val="24"/>
          <w:szCs w:val="24"/>
        </w:rPr>
        <w:t>Psychological Bulletin</w:t>
      </w:r>
      <w:r w:rsidRPr="0511F407">
        <w:rPr>
          <w:rFonts w:ascii="Arial" w:eastAsia="Arial" w:hAnsi="Arial" w:cs="Arial"/>
          <w:sz w:val="24"/>
          <w:szCs w:val="24"/>
        </w:rPr>
        <w:t>, 63(6), pp. 384–399.</w:t>
      </w:r>
    </w:p>
    <w:p w14:paraId="6DF614E2" w14:textId="08864450" w:rsidR="000A414C" w:rsidRPr="000A414C" w:rsidRDefault="670CCC91" w:rsidP="0511F407">
      <w:pPr>
        <w:spacing w:before="240" w:after="240"/>
        <w:jc w:val="both"/>
      </w:pPr>
      <w:r w:rsidRPr="0511F407">
        <w:rPr>
          <w:rFonts w:ascii="Arial" w:eastAsia="Arial" w:hAnsi="Arial" w:cs="Arial"/>
          <w:sz w:val="24"/>
          <w:szCs w:val="24"/>
        </w:rPr>
        <w:t xml:space="preserve">Uhl-Bien, M., Marion, R. and McKelvey, B. (2007) ‘Complexity leadership theory: Shifting leadership from the industrial age to the knowledge era’, </w:t>
      </w:r>
      <w:r w:rsidRPr="0511F407">
        <w:rPr>
          <w:rFonts w:ascii="Arial" w:eastAsia="Arial" w:hAnsi="Arial" w:cs="Arial"/>
          <w:i/>
          <w:iCs/>
          <w:sz w:val="24"/>
          <w:szCs w:val="24"/>
        </w:rPr>
        <w:t>The Leadership Quarterly</w:t>
      </w:r>
      <w:r w:rsidRPr="0511F407">
        <w:rPr>
          <w:rFonts w:ascii="Arial" w:eastAsia="Arial" w:hAnsi="Arial" w:cs="Arial"/>
          <w:sz w:val="24"/>
          <w:szCs w:val="24"/>
        </w:rPr>
        <w:t>, 18(4), pp. 298–318.</w:t>
      </w:r>
    </w:p>
    <w:p w14:paraId="2613F657" w14:textId="0D88D42F" w:rsidR="000A414C" w:rsidRPr="000A414C" w:rsidRDefault="670CCC91" w:rsidP="0511F407">
      <w:pPr>
        <w:spacing w:before="240" w:after="240"/>
        <w:jc w:val="both"/>
      </w:pPr>
      <w:r w:rsidRPr="0511F407">
        <w:rPr>
          <w:rFonts w:ascii="Arial" w:eastAsia="Arial" w:hAnsi="Arial" w:cs="Arial"/>
          <w:sz w:val="24"/>
          <w:szCs w:val="24"/>
        </w:rPr>
        <w:t xml:space="preserve">Wildavsky, A. (1979) </w:t>
      </w:r>
      <w:r w:rsidRPr="0511F407">
        <w:rPr>
          <w:rFonts w:ascii="Arial" w:eastAsia="Arial" w:hAnsi="Arial" w:cs="Arial"/>
          <w:i/>
          <w:iCs/>
          <w:sz w:val="24"/>
          <w:szCs w:val="24"/>
        </w:rPr>
        <w:t>Speaking Truth to Power: The Art and Craft of Policy Analysis</w:t>
      </w:r>
      <w:r w:rsidRPr="0511F407">
        <w:rPr>
          <w:rFonts w:ascii="Arial" w:eastAsia="Arial" w:hAnsi="Arial" w:cs="Arial"/>
          <w:sz w:val="24"/>
          <w:szCs w:val="24"/>
        </w:rPr>
        <w:t>. Boston, MA: Little, Brown.</w:t>
      </w:r>
    </w:p>
    <w:sectPr w:rsidR="000A414C" w:rsidRPr="000A414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89F5F" w14:textId="77777777" w:rsidR="00ED4524" w:rsidRDefault="00ED4524" w:rsidP="00F2659F">
      <w:pPr>
        <w:spacing w:after="0" w:line="240" w:lineRule="auto"/>
      </w:pPr>
      <w:r>
        <w:separator/>
      </w:r>
    </w:p>
  </w:endnote>
  <w:endnote w:type="continuationSeparator" w:id="0">
    <w:p w14:paraId="5853E204" w14:textId="77777777" w:rsidR="00ED4524" w:rsidRDefault="00ED4524"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196532305"/>
      <w:docPartObj>
        <w:docPartGallery w:val="Page Numbers (Bottom of Page)"/>
        <w:docPartUnique/>
      </w:docPartObj>
    </w:sdtPr>
    <w:sdtEndPr/>
    <w:sdtContent>
      <w:p w14:paraId="630BEAD9" w14:textId="5D75FAD3" w:rsidR="000A414C" w:rsidRPr="000A414C" w:rsidRDefault="000A414C">
        <w:pPr>
          <w:pStyle w:val="Footer"/>
          <w:jc w:val="center"/>
          <w:rPr>
            <w:rFonts w:ascii="Arial" w:hAnsi="Arial" w:cs="Arial"/>
            <w:sz w:val="24"/>
            <w:szCs w:val="24"/>
          </w:rPr>
        </w:pPr>
        <w:r w:rsidRPr="000A414C">
          <w:rPr>
            <w:rFonts w:ascii="Arial" w:hAnsi="Arial" w:cs="Arial"/>
            <w:sz w:val="24"/>
            <w:szCs w:val="24"/>
          </w:rPr>
          <w:fldChar w:fldCharType="begin"/>
        </w:r>
        <w:r w:rsidRPr="000A414C">
          <w:rPr>
            <w:rFonts w:ascii="Arial" w:hAnsi="Arial" w:cs="Arial"/>
            <w:sz w:val="24"/>
            <w:szCs w:val="24"/>
          </w:rPr>
          <w:instrText>PAGE   \* MERGEFORMAT</w:instrText>
        </w:r>
        <w:r w:rsidRPr="000A414C">
          <w:rPr>
            <w:rFonts w:ascii="Arial" w:hAnsi="Arial" w:cs="Arial"/>
            <w:sz w:val="24"/>
            <w:szCs w:val="24"/>
          </w:rPr>
          <w:fldChar w:fldCharType="separate"/>
        </w:r>
        <w:r w:rsidRPr="000A414C">
          <w:rPr>
            <w:rFonts w:ascii="Arial" w:hAnsi="Arial" w:cs="Arial"/>
            <w:sz w:val="24"/>
            <w:szCs w:val="24"/>
          </w:rPr>
          <w:t>2</w:t>
        </w:r>
        <w:r w:rsidRPr="000A414C">
          <w:rPr>
            <w:rFonts w:ascii="Arial" w:hAnsi="Arial" w:cs="Arial"/>
            <w:sz w:val="24"/>
            <w:szCs w:val="24"/>
          </w:rPr>
          <w:fldChar w:fldCharType="end"/>
        </w:r>
      </w:p>
    </w:sdtContent>
  </w:sdt>
  <w:p w14:paraId="75ECA83C" w14:textId="77777777" w:rsidR="000A414C" w:rsidRDefault="000A4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386AD" w14:textId="77777777" w:rsidR="00ED4524" w:rsidRDefault="00ED4524" w:rsidP="00F2659F">
      <w:pPr>
        <w:spacing w:after="0" w:line="240" w:lineRule="auto"/>
      </w:pPr>
      <w:r>
        <w:separator/>
      </w:r>
    </w:p>
  </w:footnote>
  <w:footnote w:type="continuationSeparator" w:id="0">
    <w:p w14:paraId="184C8228" w14:textId="77777777" w:rsidR="00ED4524" w:rsidRDefault="00ED4524"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DD35" w14:textId="6E3BEB92" w:rsidR="0511F407" w:rsidRDefault="0511F407" w:rsidP="0511F407">
    <w:pPr>
      <w:pStyle w:val="Header"/>
      <w:spacing w:line="360" w:lineRule="auto"/>
      <w:jc w:val="right"/>
      <w:rPr>
        <w:rFonts w:ascii="Arial" w:eastAsia="Arial" w:hAnsi="Arial" w:cs="Arial"/>
        <w:color w:val="000000" w:themeColor="text1"/>
        <w:sz w:val="24"/>
        <w:szCs w:val="24"/>
      </w:rPr>
    </w:pPr>
    <w:r w:rsidRPr="0511F407">
      <w:rPr>
        <w:rFonts w:ascii="Arial" w:eastAsia="Arial" w:hAnsi="Arial" w:cs="Arial"/>
        <w:color w:val="000000" w:themeColor="text1"/>
        <w:sz w:val="24"/>
        <w:szCs w:val="24"/>
      </w:rPr>
      <w:t xml:space="preserve">Journal of Vocational Research and Practice (JVRP) </w:t>
    </w:r>
  </w:p>
  <w:p w14:paraId="4A58DF42" w14:textId="0782F502" w:rsidR="0511F407" w:rsidRDefault="0511F407" w:rsidP="0511F407">
    <w:pPr>
      <w:pStyle w:val="Header"/>
      <w:spacing w:line="360" w:lineRule="auto"/>
      <w:jc w:val="right"/>
      <w:rPr>
        <w:rFonts w:ascii="Arial" w:eastAsia="Arial" w:hAnsi="Arial" w:cs="Arial"/>
        <w:color w:val="000000" w:themeColor="text1"/>
        <w:sz w:val="24"/>
        <w:szCs w:val="24"/>
      </w:rPr>
    </w:pPr>
    <w:r w:rsidRPr="0511F407">
      <w:rPr>
        <w:rFonts w:ascii="Arial" w:eastAsia="Arial" w:hAnsi="Arial" w:cs="Arial"/>
        <w:color w:val="000000" w:themeColor="text1"/>
        <w:sz w:val="24"/>
        <w:szCs w:val="24"/>
      </w:rPr>
      <w:t>ISSN 2977-7275</w:t>
    </w:r>
  </w:p>
  <w:p w14:paraId="2522442B" w14:textId="27C886E7" w:rsidR="0511F407" w:rsidRDefault="0511F407" w:rsidP="0511F407">
    <w:pPr>
      <w:pStyle w:val="Header"/>
      <w:spacing w:line="360" w:lineRule="auto"/>
      <w:jc w:val="right"/>
      <w:rPr>
        <w:rFonts w:ascii="Arial" w:eastAsia="Arial" w:hAnsi="Arial" w:cs="Arial"/>
        <w:color w:val="000000" w:themeColor="text1"/>
        <w:sz w:val="24"/>
        <w:szCs w:val="24"/>
      </w:rPr>
    </w:pPr>
    <w:r w:rsidRPr="0511F407">
      <w:rPr>
        <w:rFonts w:ascii="Arial" w:eastAsia="Arial" w:hAnsi="Arial" w:cs="Arial"/>
        <w:color w:val="000000" w:themeColor="text1"/>
        <w:sz w:val="24"/>
        <w:szCs w:val="24"/>
      </w:rPr>
      <w:t>2026: Volume 2 (Issue 1)</w:t>
    </w:r>
  </w:p>
</w:hdr>
</file>

<file path=word/intelligence2.xml><?xml version="1.0" encoding="utf-8"?>
<int2:intelligence xmlns:int2="http://schemas.microsoft.com/office/intelligence/2020/intelligence" xmlns:oel="http://schemas.microsoft.com/office/2019/extlst">
  <int2:observations>
    <int2:textHash int2:hashCode="HnxegiH2wNc+xx" int2:id="U2XDav96">
      <int2:state int2:value="Rejected" int2:type="spell"/>
    </int2:textHash>
    <int2:textHash int2:hashCode="ewnzblLx/mgkkY" int2:id="MJazbJuH">
      <int2:state int2:value="Rejected" int2:type="spell"/>
    </int2:textHash>
    <int2:textHash int2:hashCode="1Z+CTRle1girae" int2:id="3qRvRvdC">
      <int2:state int2:value="Rejected" int2:type="spell"/>
    </int2:textHash>
    <int2:textHash int2:hashCode="Y7rxyEYEGk+h8X" int2:id="WhYiMbrH">
      <int2:state int2:value="Rejected" int2:type="spell"/>
    </int2:textHash>
    <int2:textHash int2:hashCode="7r3SOEBgW2ZIB9" int2:id="gKKCJj2q">
      <int2:state int2:value="Rejected" int2:type="spell"/>
    </int2:textHash>
    <int2:textHash int2:hashCode="vg6KQkIoUV/KBK" int2:id="Ro0MNnFy">
      <int2:state int2:value="Rejected" int2:type="spell"/>
    </int2:textHash>
    <int2:textHash int2:hashCode="bbJhIXA73TCh+6" int2:id="pbgrOrG6">
      <int2:state int2:value="Rejected" int2:type="spell"/>
    </int2:textHash>
    <int2:textHash int2:hashCode="A2OVH8mW6FVpQ1" int2:id="IRun922h">
      <int2:state int2:value="Rejected" int2:type="spell"/>
    </int2:textHash>
    <int2:textHash int2:hashCode="exKqF9BsJtAmOR" int2:id="w2lWbyO1">
      <int2:state int2:value="Rejected" int2:type="spell"/>
    </int2:textHash>
    <int2:bookmark int2:bookmarkName="_Int_KQrzXNbP" int2:invalidationBookmarkName="" int2:hashCode="BRAeOWiWGvwSQX" int2:id="4pyq7p1s">
      <int2:state int2:value="Rejected" int2:type="style"/>
    </int2:bookmark>
    <int2:bookmark int2:bookmarkName="_Int_V3pcHygc" int2:invalidationBookmarkName="" int2:hashCode="4JISx9Pqp2n7z2" int2:id="NpSYtQLa">
      <int2:state int2:value="Rejected" int2:type="style"/>
    </int2:bookmark>
    <int2:bookmark int2:bookmarkName="_Int_u7bswpI8" int2:invalidationBookmarkName="" int2:hashCode="4JISx9Pqp2n7z2" int2:id="YUJ7NZts">
      <int2:state int2:value="Rejected" int2:type="style"/>
    </int2:bookmark>
    <int2:bookmark int2:bookmarkName="_Int_KnOpK2N2" int2:invalidationBookmarkName="" int2:hashCode="Uzp5OH9w+wqWrK" int2:id="bvLLpLVi">
      <int2:state int2:value="Rejected" int2:type="style"/>
    </int2:bookmark>
    <int2:bookmark int2:bookmarkName="_Int_OwM6UpEE" int2:invalidationBookmarkName="" int2:hashCode="BHuuaJUHYNMEwW" int2:id="m9hZBi1o">
      <int2:state int2:value="Rejected" int2:type="style"/>
    </int2:bookmark>
    <int2:bookmark int2:bookmarkName="_Int_r9jW8NiQ" int2:invalidationBookmarkName="" int2:hashCode="4JISx9Pqp2n7z2" int2:id="rkFyTFRq">
      <int2:state int2:value="Rejected" int2:type="style"/>
    </int2:bookmark>
    <int2:bookmark int2:bookmarkName="_Int_BnEtHSZs" int2:invalidationBookmarkName="" int2:hashCode="4JISx9Pqp2n7z2" int2:id="kIZwezoF">
      <int2:state int2:value="Rejected" int2:type="style"/>
    </int2:bookmark>
    <int2:bookmark int2:bookmarkName="_Int_n9W1FY0g" int2:invalidationBookmarkName="" int2:hashCode="5CqeB4RWgLiq2V" int2:id="bJnsXT1c">
      <int2:state int2:value="Rejected" int2:type="style"/>
    </int2:bookmark>
    <int2:bookmark int2:bookmarkName="_Int_3X2mFN2c" int2:invalidationBookmarkName="" int2:hashCode="ncaJKe4Ujr96Su" int2:id="dicBRtKn">
      <int2:state int2:value="Rejected" int2:type="style"/>
    </int2:bookmark>
    <int2:bookmark int2:bookmarkName="_Int_SFgbI8LN" int2:invalidationBookmarkName="" int2:hashCode="z629eldxMwQaYP" int2:id="Debz8iUp">
      <int2:state int2:value="Rejected" int2:type="gram"/>
    </int2:bookmark>
    <int2:bookmark int2:bookmarkName="_Int_JPqUsCDK" int2:invalidationBookmarkName="" int2:hashCode="8onLuqrf0IyrJ9" int2:id="WNhujKF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5F6"/>
    <w:multiLevelType w:val="multilevel"/>
    <w:tmpl w:val="C08E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92889"/>
    <w:multiLevelType w:val="multilevel"/>
    <w:tmpl w:val="BA201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ADE8A0"/>
    <w:multiLevelType w:val="hybridMultilevel"/>
    <w:tmpl w:val="E4E0E9C4"/>
    <w:lvl w:ilvl="0" w:tplc="C5B2F294">
      <w:start w:val="1"/>
      <w:numFmt w:val="bullet"/>
      <w:lvlText w:val=""/>
      <w:lvlJc w:val="left"/>
      <w:pPr>
        <w:ind w:left="720" w:hanging="360"/>
      </w:pPr>
      <w:rPr>
        <w:rFonts w:ascii="Symbol" w:hAnsi="Symbol" w:hint="default"/>
      </w:rPr>
    </w:lvl>
    <w:lvl w:ilvl="1" w:tplc="9E909F00">
      <w:start w:val="1"/>
      <w:numFmt w:val="bullet"/>
      <w:lvlText w:val="o"/>
      <w:lvlJc w:val="left"/>
      <w:pPr>
        <w:ind w:left="1440" w:hanging="360"/>
      </w:pPr>
      <w:rPr>
        <w:rFonts w:ascii="Courier New" w:hAnsi="Courier New" w:hint="default"/>
      </w:rPr>
    </w:lvl>
    <w:lvl w:ilvl="2" w:tplc="419A3528">
      <w:start w:val="1"/>
      <w:numFmt w:val="bullet"/>
      <w:lvlText w:val=""/>
      <w:lvlJc w:val="left"/>
      <w:pPr>
        <w:ind w:left="2160" w:hanging="360"/>
      </w:pPr>
      <w:rPr>
        <w:rFonts w:ascii="Wingdings" w:hAnsi="Wingdings" w:hint="default"/>
      </w:rPr>
    </w:lvl>
    <w:lvl w:ilvl="3" w:tplc="AEB8519A">
      <w:start w:val="1"/>
      <w:numFmt w:val="bullet"/>
      <w:lvlText w:val=""/>
      <w:lvlJc w:val="left"/>
      <w:pPr>
        <w:ind w:left="2880" w:hanging="360"/>
      </w:pPr>
      <w:rPr>
        <w:rFonts w:ascii="Symbol" w:hAnsi="Symbol" w:hint="default"/>
      </w:rPr>
    </w:lvl>
    <w:lvl w:ilvl="4" w:tplc="F2EE2954">
      <w:start w:val="1"/>
      <w:numFmt w:val="bullet"/>
      <w:lvlText w:val="o"/>
      <w:lvlJc w:val="left"/>
      <w:pPr>
        <w:ind w:left="3600" w:hanging="360"/>
      </w:pPr>
      <w:rPr>
        <w:rFonts w:ascii="Courier New" w:hAnsi="Courier New" w:hint="default"/>
      </w:rPr>
    </w:lvl>
    <w:lvl w:ilvl="5" w:tplc="CC9C20AE">
      <w:start w:val="1"/>
      <w:numFmt w:val="bullet"/>
      <w:lvlText w:val=""/>
      <w:lvlJc w:val="left"/>
      <w:pPr>
        <w:ind w:left="4320" w:hanging="360"/>
      </w:pPr>
      <w:rPr>
        <w:rFonts w:ascii="Wingdings" w:hAnsi="Wingdings" w:hint="default"/>
      </w:rPr>
    </w:lvl>
    <w:lvl w:ilvl="6" w:tplc="3BE88286">
      <w:start w:val="1"/>
      <w:numFmt w:val="bullet"/>
      <w:lvlText w:val=""/>
      <w:lvlJc w:val="left"/>
      <w:pPr>
        <w:ind w:left="5040" w:hanging="360"/>
      </w:pPr>
      <w:rPr>
        <w:rFonts w:ascii="Symbol" w:hAnsi="Symbol" w:hint="default"/>
      </w:rPr>
    </w:lvl>
    <w:lvl w:ilvl="7" w:tplc="C40CAE42">
      <w:start w:val="1"/>
      <w:numFmt w:val="bullet"/>
      <w:lvlText w:val="o"/>
      <w:lvlJc w:val="left"/>
      <w:pPr>
        <w:ind w:left="5760" w:hanging="360"/>
      </w:pPr>
      <w:rPr>
        <w:rFonts w:ascii="Courier New" w:hAnsi="Courier New" w:hint="default"/>
      </w:rPr>
    </w:lvl>
    <w:lvl w:ilvl="8" w:tplc="C7963FA8">
      <w:start w:val="1"/>
      <w:numFmt w:val="bullet"/>
      <w:lvlText w:val=""/>
      <w:lvlJc w:val="left"/>
      <w:pPr>
        <w:ind w:left="6480" w:hanging="360"/>
      </w:pPr>
      <w:rPr>
        <w:rFonts w:ascii="Wingdings" w:hAnsi="Wingdings" w:hint="default"/>
      </w:rPr>
    </w:lvl>
  </w:abstractNum>
  <w:abstractNum w:abstractNumId="3" w15:restartNumberingAfterBreak="0">
    <w:nsid w:val="65D316E0"/>
    <w:multiLevelType w:val="multilevel"/>
    <w:tmpl w:val="7BDA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7386703">
    <w:abstractNumId w:val="2"/>
  </w:num>
  <w:num w:numId="2" w16cid:durableId="1256548660">
    <w:abstractNumId w:val="3"/>
  </w:num>
  <w:num w:numId="3" w16cid:durableId="776019277">
    <w:abstractNumId w:val="0"/>
  </w:num>
  <w:num w:numId="4" w16cid:durableId="1190794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06"/>
    <w:rsid w:val="00075C0C"/>
    <w:rsid w:val="000768D1"/>
    <w:rsid w:val="000A414C"/>
    <w:rsid w:val="00103CF9"/>
    <w:rsid w:val="00171604"/>
    <w:rsid w:val="00171FE9"/>
    <w:rsid w:val="00186A02"/>
    <w:rsid w:val="001902AF"/>
    <w:rsid w:val="0019496F"/>
    <w:rsid w:val="001A4E1C"/>
    <w:rsid w:val="00226533"/>
    <w:rsid w:val="00236359"/>
    <w:rsid w:val="00272A00"/>
    <w:rsid w:val="00274A3D"/>
    <w:rsid w:val="002D7FBB"/>
    <w:rsid w:val="002E462F"/>
    <w:rsid w:val="003A2B94"/>
    <w:rsid w:val="003A677E"/>
    <w:rsid w:val="003B5900"/>
    <w:rsid w:val="003D697C"/>
    <w:rsid w:val="003F7371"/>
    <w:rsid w:val="004268DA"/>
    <w:rsid w:val="0046371E"/>
    <w:rsid w:val="00475B1E"/>
    <w:rsid w:val="00476A77"/>
    <w:rsid w:val="004B7E39"/>
    <w:rsid w:val="004F41A4"/>
    <w:rsid w:val="00507F7C"/>
    <w:rsid w:val="0056D590"/>
    <w:rsid w:val="005A600F"/>
    <w:rsid w:val="00620B29"/>
    <w:rsid w:val="00666DD5"/>
    <w:rsid w:val="0067471E"/>
    <w:rsid w:val="006A6082"/>
    <w:rsid w:val="006B1E4B"/>
    <w:rsid w:val="006E6B59"/>
    <w:rsid w:val="007363B2"/>
    <w:rsid w:val="00775D06"/>
    <w:rsid w:val="007D0703"/>
    <w:rsid w:val="00911178"/>
    <w:rsid w:val="0094068D"/>
    <w:rsid w:val="009459D8"/>
    <w:rsid w:val="009675C0"/>
    <w:rsid w:val="009D1D3A"/>
    <w:rsid w:val="009E53E7"/>
    <w:rsid w:val="009F3B54"/>
    <w:rsid w:val="00A1654B"/>
    <w:rsid w:val="00A3146B"/>
    <w:rsid w:val="00A47577"/>
    <w:rsid w:val="00A95C2A"/>
    <w:rsid w:val="00A9671A"/>
    <w:rsid w:val="00AF24FF"/>
    <w:rsid w:val="00AF4A20"/>
    <w:rsid w:val="00AF698C"/>
    <w:rsid w:val="00B435F2"/>
    <w:rsid w:val="00B514BB"/>
    <w:rsid w:val="00B62CA8"/>
    <w:rsid w:val="00B706AC"/>
    <w:rsid w:val="00B72856"/>
    <w:rsid w:val="00BA2E57"/>
    <w:rsid w:val="00BB0F3D"/>
    <w:rsid w:val="00BF19F4"/>
    <w:rsid w:val="00BF332B"/>
    <w:rsid w:val="00C66CF9"/>
    <w:rsid w:val="00CA279B"/>
    <w:rsid w:val="00CE4ED5"/>
    <w:rsid w:val="00D0044D"/>
    <w:rsid w:val="00D33CAF"/>
    <w:rsid w:val="00D54371"/>
    <w:rsid w:val="00D875E2"/>
    <w:rsid w:val="00DF787A"/>
    <w:rsid w:val="00E02363"/>
    <w:rsid w:val="00E25236"/>
    <w:rsid w:val="00E45413"/>
    <w:rsid w:val="00E46B24"/>
    <w:rsid w:val="00ED4524"/>
    <w:rsid w:val="00ED5C3B"/>
    <w:rsid w:val="00F022AE"/>
    <w:rsid w:val="00F175D8"/>
    <w:rsid w:val="00F2659F"/>
    <w:rsid w:val="00F52639"/>
    <w:rsid w:val="00F61332"/>
    <w:rsid w:val="00F6296B"/>
    <w:rsid w:val="00FC4313"/>
    <w:rsid w:val="00FC701F"/>
    <w:rsid w:val="00FD5D57"/>
    <w:rsid w:val="00FE6B17"/>
    <w:rsid w:val="00FF2893"/>
    <w:rsid w:val="00FF6BEF"/>
    <w:rsid w:val="017234EF"/>
    <w:rsid w:val="01EB3FA3"/>
    <w:rsid w:val="024798E3"/>
    <w:rsid w:val="040DE68F"/>
    <w:rsid w:val="0483464D"/>
    <w:rsid w:val="04D62392"/>
    <w:rsid w:val="0511F407"/>
    <w:rsid w:val="0700D305"/>
    <w:rsid w:val="085E6C26"/>
    <w:rsid w:val="0C783FF2"/>
    <w:rsid w:val="0C82B03A"/>
    <w:rsid w:val="0D53F168"/>
    <w:rsid w:val="0E482CCC"/>
    <w:rsid w:val="0FACBC23"/>
    <w:rsid w:val="10A6DDFC"/>
    <w:rsid w:val="11D0FDC7"/>
    <w:rsid w:val="12970792"/>
    <w:rsid w:val="1305CA09"/>
    <w:rsid w:val="17531EE6"/>
    <w:rsid w:val="18986C0A"/>
    <w:rsid w:val="1B9C6DE9"/>
    <w:rsid w:val="1BEB346D"/>
    <w:rsid w:val="1DF18328"/>
    <w:rsid w:val="20046A92"/>
    <w:rsid w:val="213DB672"/>
    <w:rsid w:val="226AAB66"/>
    <w:rsid w:val="2289BC73"/>
    <w:rsid w:val="28BB8CBB"/>
    <w:rsid w:val="2C602C96"/>
    <w:rsid w:val="2F54DE10"/>
    <w:rsid w:val="33C493D4"/>
    <w:rsid w:val="36C2FE11"/>
    <w:rsid w:val="374248E6"/>
    <w:rsid w:val="3792FDF2"/>
    <w:rsid w:val="37A217F2"/>
    <w:rsid w:val="387E769A"/>
    <w:rsid w:val="3AA37864"/>
    <w:rsid w:val="3B3415BE"/>
    <w:rsid w:val="3B360FEF"/>
    <w:rsid w:val="3B3A9968"/>
    <w:rsid w:val="3BFE4110"/>
    <w:rsid w:val="3CE57085"/>
    <w:rsid w:val="3ECD92E0"/>
    <w:rsid w:val="3FA6E183"/>
    <w:rsid w:val="41495586"/>
    <w:rsid w:val="4208DBB6"/>
    <w:rsid w:val="436993A1"/>
    <w:rsid w:val="446A69C0"/>
    <w:rsid w:val="45910EC9"/>
    <w:rsid w:val="493E8C60"/>
    <w:rsid w:val="4A03B493"/>
    <w:rsid w:val="4A663761"/>
    <w:rsid w:val="4C3CD194"/>
    <w:rsid w:val="4EB3F8D8"/>
    <w:rsid w:val="4F62BE33"/>
    <w:rsid w:val="50B1083E"/>
    <w:rsid w:val="519695F8"/>
    <w:rsid w:val="5663D8C6"/>
    <w:rsid w:val="57718201"/>
    <w:rsid w:val="580B19E2"/>
    <w:rsid w:val="5836AD32"/>
    <w:rsid w:val="5ABF1C90"/>
    <w:rsid w:val="5B55251A"/>
    <w:rsid w:val="5D6ABD96"/>
    <w:rsid w:val="5E5089C2"/>
    <w:rsid w:val="5F362CE1"/>
    <w:rsid w:val="5F5C2249"/>
    <w:rsid w:val="5FE1CE5C"/>
    <w:rsid w:val="63C321AC"/>
    <w:rsid w:val="64C87A5F"/>
    <w:rsid w:val="64DBB802"/>
    <w:rsid w:val="670CCC91"/>
    <w:rsid w:val="6976E440"/>
    <w:rsid w:val="698A9AC8"/>
    <w:rsid w:val="6AFE9267"/>
    <w:rsid w:val="6B90C90A"/>
    <w:rsid w:val="6D847D17"/>
    <w:rsid w:val="6E4CE3AB"/>
    <w:rsid w:val="701F74DA"/>
    <w:rsid w:val="708B57DF"/>
    <w:rsid w:val="71A7755E"/>
    <w:rsid w:val="76980AEE"/>
    <w:rsid w:val="79A928C4"/>
    <w:rsid w:val="79F4B9AB"/>
    <w:rsid w:val="7BA46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ED105"/>
  <w15:chartTrackingRefBased/>
  <w15:docId w15:val="{46DFD8E6-17C9-4E4A-910A-77AF7CC6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customStyle="1" w:styleId="Heading1Char">
    <w:name w:val="Heading 1 Char"/>
    <w:basedOn w:val="DefaultParagraphFont"/>
    <w:link w:val="Heading1"/>
    <w:uiPriority w:val="9"/>
    <w:rsid w:val="00775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D06"/>
    <w:rPr>
      <w:rFonts w:eastAsiaTheme="majorEastAsia" w:cstheme="majorBidi"/>
      <w:color w:val="272727" w:themeColor="text1" w:themeTint="D8"/>
    </w:rPr>
  </w:style>
  <w:style w:type="paragraph" w:styleId="Title">
    <w:name w:val="Title"/>
    <w:basedOn w:val="Normal"/>
    <w:next w:val="Normal"/>
    <w:link w:val="TitleChar"/>
    <w:uiPriority w:val="10"/>
    <w:qFormat/>
    <w:rsid w:val="00775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D06"/>
    <w:pPr>
      <w:spacing w:before="160"/>
      <w:jc w:val="center"/>
    </w:pPr>
    <w:rPr>
      <w:i/>
      <w:iCs/>
      <w:color w:val="404040" w:themeColor="text1" w:themeTint="BF"/>
    </w:rPr>
  </w:style>
  <w:style w:type="character" w:customStyle="1" w:styleId="QuoteChar">
    <w:name w:val="Quote Char"/>
    <w:basedOn w:val="DefaultParagraphFont"/>
    <w:link w:val="Quote"/>
    <w:uiPriority w:val="29"/>
    <w:rsid w:val="00775D06"/>
    <w:rPr>
      <w:i/>
      <w:iCs/>
      <w:color w:val="404040" w:themeColor="text1" w:themeTint="BF"/>
    </w:rPr>
  </w:style>
  <w:style w:type="paragraph" w:styleId="ListParagraph">
    <w:name w:val="List Paragraph"/>
    <w:basedOn w:val="Normal"/>
    <w:uiPriority w:val="34"/>
    <w:qFormat/>
    <w:rsid w:val="00775D06"/>
    <w:pPr>
      <w:ind w:left="720"/>
      <w:contextualSpacing/>
    </w:pPr>
  </w:style>
  <w:style w:type="character" w:styleId="IntenseEmphasis">
    <w:name w:val="Intense Emphasis"/>
    <w:basedOn w:val="DefaultParagraphFont"/>
    <w:uiPriority w:val="21"/>
    <w:qFormat/>
    <w:rsid w:val="00775D06"/>
    <w:rPr>
      <w:i/>
      <w:iCs/>
      <w:color w:val="0F4761" w:themeColor="accent1" w:themeShade="BF"/>
    </w:rPr>
  </w:style>
  <w:style w:type="paragraph" w:styleId="IntenseQuote">
    <w:name w:val="Intense Quote"/>
    <w:basedOn w:val="Normal"/>
    <w:next w:val="Normal"/>
    <w:link w:val="IntenseQuoteChar"/>
    <w:uiPriority w:val="30"/>
    <w:qFormat/>
    <w:rsid w:val="00775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D06"/>
    <w:rPr>
      <w:i/>
      <w:iCs/>
      <w:color w:val="0F4761" w:themeColor="accent1" w:themeShade="BF"/>
    </w:rPr>
  </w:style>
  <w:style w:type="character" w:styleId="IntenseReference">
    <w:name w:val="Intense Reference"/>
    <w:basedOn w:val="DefaultParagraphFont"/>
    <w:uiPriority w:val="32"/>
    <w:qFormat/>
    <w:rsid w:val="00775D06"/>
    <w:rPr>
      <w:b/>
      <w:bCs/>
      <w:smallCaps/>
      <w:color w:val="0F4761" w:themeColor="accent1" w:themeShade="BF"/>
      <w:spacing w:val="5"/>
    </w:rPr>
  </w:style>
  <w:style w:type="paragraph" w:styleId="NoSpacing">
    <w:name w:val="No Spacing"/>
    <w:uiPriority w:val="1"/>
    <w:qFormat/>
    <w:rsid w:val="00775D06"/>
    <w:pPr>
      <w:spacing w:after="0" w:line="240" w:lineRule="auto"/>
    </w:pPr>
  </w:style>
  <w:style w:type="table" w:styleId="TableGrid">
    <w:name w:val="Table Grid"/>
    <w:basedOn w:val="TableNormal"/>
    <w:uiPriority w:val="39"/>
    <w:rsid w:val="007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68D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363B2"/>
    <w:rPr>
      <w:sz w:val="16"/>
      <w:szCs w:val="16"/>
    </w:rPr>
  </w:style>
  <w:style w:type="paragraph" w:styleId="CommentText">
    <w:name w:val="annotation text"/>
    <w:basedOn w:val="Normal"/>
    <w:link w:val="CommentTextChar"/>
    <w:uiPriority w:val="99"/>
    <w:unhideWhenUsed/>
    <w:rsid w:val="007363B2"/>
    <w:pPr>
      <w:spacing w:line="240" w:lineRule="auto"/>
    </w:pPr>
    <w:rPr>
      <w:sz w:val="20"/>
      <w:szCs w:val="20"/>
    </w:rPr>
  </w:style>
  <w:style w:type="character" w:customStyle="1" w:styleId="CommentTextChar">
    <w:name w:val="Comment Text Char"/>
    <w:basedOn w:val="DefaultParagraphFont"/>
    <w:link w:val="CommentText"/>
    <w:uiPriority w:val="99"/>
    <w:rsid w:val="007363B2"/>
    <w:rPr>
      <w:sz w:val="20"/>
      <w:szCs w:val="20"/>
    </w:rPr>
  </w:style>
  <w:style w:type="paragraph" w:styleId="CommentSubject">
    <w:name w:val="annotation subject"/>
    <w:basedOn w:val="CommentText"/>
    <w:next w:val="CommentText"/>
    <w:link w:val="CommentSubjectChar"/>
    <w:uiPriority w:val="99"/>
    <w:semiHidden/>
    <w:unhideWhenUsed/>
    <w:rsid w:val="007363B2"/>
    <w:rPr>
      <w:b/>
      <w:bCs/>
    </w:rPr>
  </w:style>
  <w:style w:type="character" w:customStyle="1" w:styleId="CommentSubjectChar">
    <w:name w:val="Comment Subject Char"/>
    <w:basedOn w:val="CommentTextChar"/>
    <w:link w:val="CommentSubject"/>
    <w:uiPriority w:val="99"/>
    <w:semiHidden/>
    <w:rsid w:val="007363B2"/>
    <w:rPr>
      <w:b/>
      <w:bCs/>
      <w:sz w:val="20"/>
      <w:szCs w:val="20"/>
    </w:rPr>
  </w:style>
  <w:style w:type="character" w:styleId="Hyperlink">
    <w:name w:val="Hyperlink"/>
    <w:basedOn w:val="DefaultParagraphFont"/>
    <w:uiPriority w:val="99"/>
    <w:unhideWhenUsed/>
    <w:rsid w:val="0511F40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3830">
      <w:bodyDiv w:val="1"/>
      <w:marLeft w:val="0"/>
      <w:marRight w:val="0"/>
      <w:marTop w:val="0"/>
      <w:marBottom w:val="0"/>
      <w:divBdr>
        <w:top w:val="none" w:sz="0" w:space="0" w:color="auto"/>
        <w:left w:val="none" w:sz="0" w:space="0" w:color="auto"/>
        <w:bottom w:val="none" w:sz="0" w:space="0" w:color="auto"/>
        <w:right w:val="none" w:sz="0" w:space="0" w:color="auto"/>
      </w:divBdr>
    </w:div>
    <w:div w:id="131991646">
      <w:bodyDiv w:val="1"/>
      <w:marLeft w:val="0"/>
      <w:marRight w:val="0"/>
      <w:marTop w:val="0"/>
      <w:marBottom w:val="0"/>
      <w:divBdr>
        <w:top w:val="none" w:sz="0" w:space="0" w:color="auto"/>
        <w:left w:val="none" w:sz="0" w:space="0" w:color="auto"/>
        <w:bottom w:val="none" w:sz="0" w:space="0" w:color="auto"/>
        <w:right w:val="none" w:sz="0" w:space="0" w:color="auto"/>
      </w:divBdr>
    </w:div>
    <w:div w:id="141654133">
      <w:bodyDiv w:val="1"/>
      <w:marLeft w:val="0"/>
      <w:marRight w:val="0"/>
      <w:marTop w:val="0"/>
      <w:marBottom w:val="0"/>
      <w:divBdr>
        <w:top w:val="none" w:sz="0" w:space="0" w:color="auto"/>
        <w:left w:val="none" w:sz="0" w:space="0" w:color="auto"/>
        <w:bottom w:val="none" w:sz="0" w:space="0" w:color="auto"/>
        <w:right w:val="none" w:sz="0" w:space="0" w:color="auto"/>
      </w:divBdr>
    </w:div>
    <w:div w:id="163011808">
      <w:bodyDiv w:val="1"/>
      <w:marLeft w:val="0"/>
      <w:marRight w:val="0"/>
      <w:marTop w:val="0"/>
      <w:marBottom w:val="0"/>
      <w:divBdr>
        <w:top w:val="none" w:sz="0" w:space="0" w:color="auto"/>
        <w:left w:val="none" w:sz="0" w:space="0" w:color="auto"/>
        <w:bottom w:val="none" w:sz="0" w:space="0" w:color="auto"/>
        <w:right w:val="none" w:sz="0" w:space="0" w:color="auto"/>
      </w:divBdr>
    </w:div>
    <w:div w:id="178590229">
      <w:bodyDiv w:val="1"/>
      <w:marLeft w:val="0"/>
      <w:marRight w:val="0"/>
      <w:marTop w:val="0"/>
      <w:marBottom w:val="0"/>
      <w:divBdr>
        <w:top w:val="none" w:sz="0" w:space="0" w:color="auto"/>
        <w:left w:val="none" w:sz="0" w:space="0" w:color="auto"/>
        <w:bottom w:val="none" w:sz="0" w:space="0" w:color="auto"/>
        <w:right w:val="none" w:sz="0" w:space="0" w:color="auto"/>
      </w:divBdr>
    </w:div>
    <w:div w:id="187716620">
      <w:bodyDiv w:val="1"/>
      <w:marLeft w:val="0"/>
      <w:marRight w:val="0"/>
      <w:marTop w:val="0"/>
      <w:marBottom w:val="0"/>
      <w:divBdr>
        <w:top w:val="none" w:sz="0" w:space="0" w:color="auto"/>
        <w:left w:val="none" w:sz="0" w:space="0" w:color="auto"/>
        <w:bottom w:val="none" w:sz="0" w:space="0" w:color="auto"/>
        <w:right w:val="none" w:sz="0" w:space="0" w:color="auto"/>
      </w:divBdr>
    </w:div>
    <w:div w:id="290213418">
      <w:bodyDiv w:val="1"/>
      <w:marLeft w:val="0"/>
      <w:marRight w:val="0"/>
      <w:marTop w:val="0"/>
      <w:marBottom w:val="0"/>
      <w:divBdr>
        <w:top w:val="none" w:sz="0" w:space="0" w:color="auto"/>
        <w:left w:val="none" w:sz="0" w:space="0" w:color="auto"/>
        <w:bottom w:val="none" w:sz="0" w:space="0" w:color="auto"/>
        <w:right w:val="none" w:sz="0" w:space="0" w:color="auto"/>
      </w:divBdr>
    </w:div>
    <w:div w:id="325666247">
      <w:bodyDiv w:val="1"/>
      <w:marLeft w:val="0"/>
      <w:marRight w:val="0"/>
      <w:marTop w:val="0"/>
      <w:marBottom w:val="0"/>
      <w:divBdr>
        <w:top w:val="none" w:sz="0" w:space="0" w:color="auto"/>
        <w:left w:val="none" w:sz="0" w:space="0" w:color="auto"/>
        <w:bottom w:val="none" w:sz="0" w:space="0" w:color="auto"/>
        <w:right w:val="none" w:sz="0" w:space="0" w:color="auto"/>
      </w:divBdr>
    </w:div>
    <w:div w:id="333650038">
      <w:bodyDiv w:val="1"/>
      <w:marLeft w:val="0"/>
      <w:marRight w:val="0"/>
      <w:marTop w:val="0"/>
      <w:marBottom w:val="0"/>
      <w:divBdr>
        <w:top w:val="none" w:sz="0" w:space="0" w:color="auto"/>
        <w:left w:val="none" w:sz="0" w:space="0" w:color="auto"/>
        <w:bottom w:val="none" w:sz="0" w:space="0" w:color="auto"/>
        <w:right w:val="none" w:sz="0" w:space="0" w:color="auto"/>
      </w:divBdr>
    </w:div>
    <w:div w:id="362288971">
      <w:bodyDiv w:val="1"/>
      <w:marLeft w:val="0"/>
      <w:marRight w:val="0"/>
      <w:marTop w:val="0"/>
      <w:marBottom w:val="0"/>
      <w:divBdr>
        <w:top w:val="none" w:sz="0" w:space="0" w:color="auto"/>
        <w:left w:val="none" w:sz="0" w:space="0" w:color="auto"/>
        <w:bottom w:val="none" w:sz="0" w:space="0" w:color="auto"/>
        <w:right w:val="none" w:sz="0" w:space="0" w:color="auto"/>
      </w:divBdr>
      <w:divsChild>
        <w:div w:id="1283030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0181581">
      <w:bodyDiv w:val="1"/>
      <w:marLeft w:val="0"/>
      <w:marRight w:val="0"/>
      <w:marTop w:val="0"/>
      <w:marBottom w:val="0"/>
      <w:divBdr>
        <w:top w:val="none" w:sz="0" w:space="0" w:color="auto"/>
        <w:left w:val="none" w:sz="0" w:space="0" w:color="auto"/>
        <w:bottom w:val="none" w:sz="0" w:space="0" w:color="auto"/>
        <w:right w:val="none" w:sz="0" w:space="0" w:color="auto"/>
      </w:divBdr>
    </w:div>
    <w:div w:id="571355202">
      <w:bodyDiv w:val="1"/>
      <w:marLeft w:val="0"/>
      <w:marRight w:val="0"/>
      <w:marTop w:val="0"/>
      <w:marBottom w:val="0"/>
      <w:divBdr>
        <w:top w:val="none" w:sz="0" w:space="0" w:color="auto"/>
        <w:left w:val="none" w:sz="0" w:space="0" w:color="auto"/>
        <w:bottom w:val="none" w:sz="0" w:space="0" w:color="auto"/>
        <w:right w:val="none" w:sz="0" w:space="0" w:color="auto"/>
      </w:divBdr>
    </w:div>
    <w:div w:id="588732964">
      <w:bodyDiv w:val="1"/>
      <w:marLeft w:val="0"/>
      <w:marRight w:val="0"/>
      <w:marTop w:val="0"/>
      <w:marBottom w:val="0"/>
      <w:divBdr>
        <w:top w:val="none" w:sz="0" w:space="0" w:color="auto"/>
        <w:left w:val="none" w:sz="0" w:space="0" w:color="auto"/>
        <w:bottom w:val="none" w:sz="0" w:space="0" w:color="auto"/>
        <w:right w:val="none" w:sz="0" w:space="0" w:color="auto"/>
      </w:divBdr>
    </w:div>
    <w:div w:id="641347841">
      <w:bodyDiv w:val="1"/>
      <w:marLeft w:val="0"/>
      <w:marRight w:val="0"/>
      <w:marTop w:val="0"/>
      <w:marBottom w:val="0"/>
      <w:divBdr>
        <w:top w:val="none" w:sz="0" w:space="0" w:color="auto"/>
        <w:left w:val="none" w:sz="0" w:space="0" w:color="auto"/>
        <w:bottom w:val="none" w:sz="0" w:space="0" w:color="auto"/>
        <w:right w:val="none" w:sz="0" w:space="0" w:color="auto"/>
      </w:divBdr>
    </w:div>
    <w:div w:id="722562153">
      <w:bodyDiv w:val="1"/>
      <w:marLeft w:val="0"/>
      <w:marRight w:val="0"/>
      <w:marTop w:val="0"/>
      <w:marBottom w:val="0"/>
      <w:divBdr>
        <w:top w:val="none" w:sz="0" w:space="0" w:color="auto"/>
        <w:left w:val="none" w:sz="0" w:space="0" w:color="auto"/>
        <w:bottom w:val="none" w:sz="0" w:space="0" w:color="auto"/>
        <w:right w:val="none" w:sz="0" w:space="0" w:color="auto"/>
      </w:divBdr>
    </w:div>
    <w:div w:id="760445854">
      <w:bodyDiv w:val="1"/>
      <w:marLeft w:val="0"/>
      <w:marRight w:val="0"/>
      <w:marTop w:val="0"/>
      <w:marBottom w:val="0"/>
      <w:divBdr>
        <w:top w:val="none" w:sz="0" w:space="0" w:color="auto"/>
        <w:left w:val="none" w:sz="0" w:space="0" w:color="auto"/>
        <w:bottom w:val="none" w:sz="0" w:space="0" w:color="auto"/>
        <w:right w:val="none" w:sz="0" w:space="0" w:color="auto"/>
      </w:divBdr>
    </w:div>
    <w:div w:id="809177399">
      <w:bodyDiv w:val="1"/>
      <w:marLeft w:val="0"/>
      <w:marRight w:val="0"/>
      <w:marTop w:val="0"/>
      <w:marBottom w:val="0"/>
      <w:divBdr>
        <w:top w:val="none" w:sz="0" w:space="0" w:color="auto"/>
        <w:left w:val="none" w:sz="0" w:space="0" w:color="auto"/>
        <w:bottom w:val="none" w:sz="0" w:space="0" w:color="auto"/>
        <w:right w:val="none" w:sz="0" w:space="0" w:color="auto"/>
      </w:divBdr>
    </w:div>
    <w:div w:id="866872704">
      <w:bodyDiv w:val="1"/>
      <w:marLeft w:val="0"/>
      <w:marRight w:val="0"/>
      <w:marTop w:val="0"/>
      <w:marBottom w:val="0"/>
      <w:divBdr>
        <w:top w:val="none" w:sz="0" w:space="0" w:color="auto"/>
        <w:left w:val="none" w:sz="0" w:space="0" w:color="auto"/>
        <w:bottom w:val="none" w:sz="0" w:space="0" w:color="auto"/>
        <w:right w:val="none" w:sz="0" w:space="0" w:color="auto"/>
      </w:divBdr>
    </w:div>
    <w:div w:id="969475719">
      <w:bodyDiv w:val="1"/>
      <w:marLeft w:val="0"/>
      <w:marRight w:val="0"/>
      <w:marTop w:val="0"/>
      <w:marBottom w:val="0"/>
      <w:divBdr>
        <w:top w:val="none" w:sz="0" w:space="0" w:color="auto"/>
        <w:left w:val="none" w:sz="0" w:space="0" w:color="auto"/>
        <w:bottom w:val="none" w:sz="0" w:space="0" w:color="auto"/>
        <w:right w:val="none" w:sz="0" w:space="0" w:color="auto"/>
      </w:divBdr>
    </w:div>
    <w:div w:id="1006053744">
      <w:bodyDiv w:val="1"/>
      <w:marLeft w:val="0"/>
      <w:marRight w:val="0"/>
      <w:marTop w:val="0"/>
      <w:marBottom w:val="0"/>
      <w:divBdr>
        <w:top w:val="none" w:sz="0" w:space="0" w:color="auto"/>
        <w:left w:val="none" w:sz="0" w:space="0" w:color="auto"/>
        <w:bottom w:val="none" w:sz="0" w:space="0" w:color="auto"/>
        <w:right w:val="none" w:sz="0" w:space="0" w:color="auto"/>
      </w:divBdr>
    </w:div>
    <w:div w:id="1025013913">
      <w:bodyDiv w:val="1"/>
      <w:marLeft w:val="0"/>
      <w:marRight w:val="0"/>
      <w:marTop w:val="0"/>
      <w:marBottom w:val="0"/>
      <w:divBdr>
        <w:top w:val="none" w:sz="0" w:space="0" w:color="auto"/>
        <w:left w:val="none" w:sz="0" w:space="0" w:color="auto"/>
        <w:bottom w:val="none" w:sz="0" w:space="0" w:color="auto"/>
        <w:right w:val="none" w:sz="0" w:space="0" w:color="auto"/>
      </w:divBdr>
    </w:div>
    <w:div w:id="1071974199">
      <w:bodyDiv w:val="1"/>
      <w:marLeft w:val="0"/>
      <w:marRight w:val="0"/>
      <w:marTop w:val="0"/>
      <w:marBottom w:val="0"/>
      <w:divBdr>
        <w:top w:val="none" w:sz="0" w:space="0" w:color="auto"/>
        <w:left w:val="none" w:sz="0" w:space="0" w:color="auto"/>
        <w:bottom w:val="none" w:sz="0" w:space="0" w:color="auto"/>
        <w:right w:val="none" w:sz="0" w:space="0" w:color="auto"/>
      </w:divBdr>
      <w:divsChild>
        <w:div w:id="1462458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1707950">
      <w:bodyDiv w:val="1"/>
      <w:marLeft w:val="0"/>
      <w:marRight w:val="0"/>
      <w:marTop w:val="0"/>
      <w:marBottom w:val="0"/>
      <w:divBdr>
        <w:top w:val="none" w:sz="0" w:space="0" w:color="auto"/>
        <w:left w:val="none" w:sz="0" w:space="0" w:color="auto"/>
        <w:bottom w:val="none" w:sz="0" w:space="0" w:color="auto"/>
        <w:right w:val="none" w:sz="0" w:space="0" w:color="auto"/>
      </w:divBdr>
    </w:div>
    <w:div w:id="1287080017">
      <w:bodyDiv w:val="1"/>
      <w:marLeft w:val="0"/>
      <w:marRight w:val="0"/>
      <w:marTop w:val="0"/>
      <w:marBottom w:val="0"/>
      <w:divBdr>
        <w:top w:val="none" w:sz="0" w:space="0" w:color="auto"/>
        <w:left w:val="none" w:sz="0" w:space="0" w:color="auto"/>
        <w:bottom w:val="none" w:sz="0" w:space="0" w:color="auto"/>
        <w:right w:val="none" w:sz="0" w:space="0" w:color="auto"/>
      </w:divBdr>
    </w:div>
    <w:div w:id="1322462167">
      <w:bodyDiv w:val="1"/>
      <w:marLeft w:val="0"/>
      <w:marRight w:val="0"/>
      <w:marTop w:val="0"/>
      <w:marBottom w:val="0"/>
      <w:divBdr>
        <w:top w:val="none" w:sz="0" w:space="0" w:color="auto"/>
        <w:left w:val="none" w:sz="0" w:space="0" w:color="auto"/>
        <w:bottom w:val="none" w:sz="0" w:space="0" w:color="auto"/>
        <w:right w:val="none" w:sz="0" w:space="0" w:color="auto"/>
      </w:divBdr>
    </w:div>
    <w:div w:id="1359233659">
      <w:bodyDiv w:val="1"/>
      <w:marLeft w:val="0"/>
      <w:marRight w:val="0"/>
      <w:marTop w:val="0"/>
      <w:marBottom w:val="0"/>
      <w:divBdr>
        <w:top w:val="none" w:sz="0" w:space="0" w:color="auto"/>
        <w:left w:val="none" w:sz="0" w:space="0" w:color="auto"/>
        <w:bottom w:val="none" w:sz="0" w:space="0" w:color="auto"/>
        <w:right w:val="none" w:sz="0" w:space="0" w:color="auto"/>
      </w:divBdr>
    </w:div>
    <w:div w:id="1467814558">
      <w:bodyDiv w:val="1"/>
      <w:marLeft w:val="0"/>
      <w:marRight w:val="0"/>
      <w:marTop w:val="0"/>
      <w:marBottom w:val="0"/>
      <w:divBdr>
        <w:top w:val="none" w:sz="0" w:space="0" w:color="auto"/>
        <w:left w:val="none" w:sz="0" w:space="0" w:color="auto"/>
        <w:bottom w:val="none" w:sz="0" w:space="0" w:color="auto"/>
        <w:right w:val="none" w:sz="0" w:space="0" w:color="auto"/>
      </w:divBdr>
    </w:div>
    <w:div w:id="1469543962">
      <w:bodyDiv w:val="1"/>
      <w:marLeft w:val="0"/>
      <w:marRight w:val="0"/>
      <w:marTop w:val="0"/>
      <w:marBottom w:val="0"/>
      <w:divBdr>
        <w:top w:val="none" w:sz="0" w:space="0" w:color="auto"/>
        <w:left w:val="none" w:sz="0" w:space="0" w:color="auto"/>
        <w:bottom w:val="none" w:sz="0" w:space="0" w:color="auto"/>
        <w:right w:val="none" w:sz="0" w:space="0" w:color="auto"/>
      </w:divBdr>
    </w:div>
    <w:div w:id="1518732510">
      <w:bodyDiv w:val="1"/>
      <w:marLeft w:val="0"/>
      <w:marRight w:val="0"/>
      <w:marTop w:val="0"/>
      <w:marBottom w:val="0"/>
      <w:divBdr>
        <w:top w:val="none" w:sz="0" w:space="0" w:color="auto"/>
        <w:left w:val="none" w:sz="0" w:space="0" w:color="auto"/>
        <w:bottom w:val="none" w:sz="0" w:space="0" w:color="auto"/>
        <w:right w:val="none" w:sz="0" w:space="0" w:color="auto"/>
      </w:divBdr>
    </w:div>
    <w:div w:id="1536310464">
      <w:bodyDiv w:val="1"/>
      <w:marLeft w:val="0"/>
      <w:marRight w:val="0"/>
      <w:marTop w:val="0"/>
      <w:marBottom w:val="0"/>
      <w:divBdr>
        <w:top w:val="none" w:sz="0" w:space="0" w:color="auto"/>
        <w:left w:val="none" w:sz="0" w:space="0" w:color="auto"/>
        <w:bottom w:val="none" w:sz="0" w:space="0" w:color="auto"/>
        <w:right w:val="none" w:sz="0" w:space="0" w:color="auto"/>
      </w:divBdr>
    </w:div>
    <w:div w:id="1656909811">
      <w:bodyDiv w:val="1"/>
      <w:marLeft w:val="0"/>
      <w:marRight w:val="0"/>
      <w:marTop w:val="0"/>
      <w:marBottom w:val="0"/>
      <w:divBdr>
        <w:top w:val="none" w:sz="0" w:space="0" w:color="auto"/>
        <w:left w:val="none" w:sz="0" w:space="0" w:color="auto"/>
        <w:bottom w:val="none" w:sz="0" w:space="0" w:color="auto"/>
        <w:right w:val="none" w:sz="0" w:space="0" w:color="auto"/>
      </w:divBdr>
    </w:div>
    <w:div w:id="1754204047">
      <w:bodyDiv w:val="1"/>
      <w:marLeft w:val="0"/>
      <w:marRight w:val="0"/>
      <w:marTop w:val="0"/>
      <w:marBottom w:val="0"/>
      <w:divBdr>
        <w:top w:val="none" w:sz="0" w:space="0" w:color="auto"/>
        <w:left w:val="none" w:sz="0" w:space="0" w:color="auto"/>
        <w:bottom w:val="none" w:sz="0" w:space="0" w:color="auto"/>
        <w:right w:val="none" w:sz="0" w:space="0" w:color="auto"/>
      </w:divBdr>
    </w:div>
    <w:div w:id="1772965601">
      <w:bodyDiv w:val="1"/>
      <w:marLeft w:val="0"/>
      <w:marRight w:val="0"/>
      <w:marTop w:val="0"/>
      <w:marBottom w:val="0"/>
      <w:divBdr>
        <w:top w:val="none" w:sz="0" w:space="0" w:color="auto"/>
        <w:left w:val="none" w:sz="0" w:space="0" w:color="auto"/>
        <w:bottom w:val="none" w:sz="0" w:space="0" w:color="auto"/>
        <w:right w:val="none" w:sz="0" w:space="0" w:color="auto"/>
      </w:divBdr>
    </w:div>
    <w:div w:id="1797790667">
      <w:bodyDiv w:val="1"/>
      <w:marLeft w:val="0"/>
      <w:marRight w:val="0"/>
      <w:marTop w:val="0"/>
      <w:marBottom w:val="0"/>
      <w:divBdr>
        <w:top w:val="none" w:sz="0" w:space="0" w:color="auto"/>
        <w:left w:val="none" w:sz="0" w:space="0" w:color="auto"/>
        <w:bottom w:val="none" w:sz="0" w:space="0" w:color="auto"/>
        <w:right w:val="none" w:sz="0" w:space="0" w:color="auto"/>
      </w:divBdr>
    </w:div>
    <w:div w:id="1809204661">
      <w:bodyDiv w:val="1"/>
      <w:marLeft w:val="0"/>
      <w:marRight w:val="0"/>
      <w:marTop w:val="0"/>
      <w:marBottom w:val="0"/>
      <w:divBdr>
        <w:top w:val="none" w:sz="0" w:space="0" w:color="auto"/>
        <w:left w:val="none" w:sz="0" w:space="0" w:color="auto"/>
        <w:bottom w:val="none" w:sz="0" w:space="0" w:color="auto"/>
        <w:right w:val="none" w:sz="0" w:space="0" w:color="auto"/>
      </w:divBdr>
    </w:div>
    <w:div w:id="1856843316">
      <w:bodyDiv w:val="1"/>
      <w:marLeft w:val="0"/>
      <w:marRight w:val="0"/>
      <w:marTop w:val="0"/>
      <w:marBottom w:val="0"/>
      <w:divBdr>
        <w:top w:val="none" w:sz="0" w:space="0" w:color="auto"/>
        <w:left w:val="none" w:sz="0" w:space="0" w:color="auto"/>
        <w:bottom w:val="none" w:sz="0" w:space="0" w:color="auto"/>
        <w:right w:val="none" w:sz="0" w:space="0" w:color="auto"/>
      </w:divBdr>
    </w:div>
    <w:div w:id="1863861189">
      <w:bodyDiv w:val="1"/>
      <w:marLeft w:val="0"/>
      <w:marRight w:val="0"/>
      <w:marTop w:val="0"/>
      <w:marBottom w:val="0"/>
      <w:divBdr>
        <w:top w:val="none" w:sz="0" w:space="0" w:color="auto"/>
        <w:left w:val="none" w:sz="0" w:space="0" w:color="auto"/>
        <w:bottom w:val="none" w:sz="0" w:space="0" w:color="auto"/>
        <w:right w:val="none" w:sz="0" w:space="0" w:color="auto"/>
      </w:divBdr>
    </w:div>
    <w:div w:id="20258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108/HESWBL-04-2020-0074"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08/HESWBL-04-2020-006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i.org/10.1108/HESWBL-09-2023-025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71AFB376792E45A97C1EC35D879658" ma:contentTypeVersion="6" ma:contentTypeDescription="Create a new document." ma:contentTypeScope="" ma:versionID="245759fcf1bd4cc203931d8c42e0645e">
  <xsd:schema xmlns:xsd="http://www.w3.org/2001/XMLSchema" xmlns:xs="http://www.w3.org/2001/XMLSchema" xmlns:p="http://schemas.microsoft.com/office/2006/metadata/properties" xmlns:ns2="d5ded4cb-aadc-47fc-ac28-47e11ae9388f" targetNamespace="http://schemas.microsoft.com/office/2006/metadata/properties" ma:root="true" ma:fieldsID="b1b31805c840841d4e0f8ed5d0e12203" ns2:_="">
    <xsd:import namespace="d5ded4cb-aadc-47fc-ac28-47e11ae938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ed4cb-aadc-47fc-ac28-47e11ae93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C1FB0-4CE4-4347-BD1D-2609A2BFB9B9}">
  <ds:schemaRefs>
    <ds:schemaRef ds:uri="http://schemas.microsoft.com/sharepoint/v3/contenttype/forms"/>
  </ds:schemaRefs>
</ds:datastoreItem>
</file>

<file path=customXml/itemProps2.xml><?xml version="1.0" encoding="utf-8"?>
<ds:datastoreItem xmlns:ds="http://schemas.openxmlformats.org/officeDocument/2006/customXml" ds:itemID="{1127361E-EC63-440F-9D40-463F97ECD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ed4cb-aadc-47fc-ac28-47e11ae93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8947D-2416-4204-B996-8E08295E62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3226</Words>
  <Characters>18390</Characters>
  <Application>Microsoft Office Word</Application>
  <DocSecurity>0</DocSecurity>
  <Lines>153</Lines>
  <Paragraphs>43</Paragraphs>
  <ScaleCrop>false</ScaleCrop>
  <Company>Staffordshire University</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Chadwick</dc:creator>
  <cp:keywords/>
  <dc:description/>
  <cp:lastModifiedBy>Tina Allen</cp:lastModifiedBy>
  <cp:revision>2</cp:revision>
  <dcterms:created xsi:type="dcterms:W3CDTF">2026-01-21T12:15:00Z</dcterms:created>
  <dcterms:modified xsi:type="dcterms:W3CDTF">2026-01-21T12:15:00Z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0x0101000271AFB376792E45A97C1EC35D879658</vt:lpwstr>
  </property>
</Properties>
</file>